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rPr>
        <w:t>中共津市市委统战部202</w:t>
      </w:r>
      <w:r>
        <w:rPr>
          <w:rFonts w:hint="eastAsia" w:eastAsia="方正小标宋_GBK"/>
          <w:sz w:val="36"/>
          <w:szCs w:val="36"/>
          <w:lang w:val="en-US" w:eastAsia="zh-CN"/>
        </w:rPr>
        <w:t>1</w:t>
      </w:r>
      <w:r>
        <w:rPr>
          <w:rFonts w:hint="eastAsia" w:eastAsia="方正小标宋_GBK"/>
          <w:sz w:val="36"/>
          <w:szCs w:val="36"/>
        </w:rPr>
        <w:t>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绩效报告</w:t>
      </w:r>
    </w:p>
    <w:p>
      <w:pPr>
        <w:widowControl/>
        <w:spacing w:line="600" w:lineRule="exact"/>
        <w:ind w:firstLine="640" w:firstLineChars="200"/>
        <w:jc w:val="left"/>
        <w:rPr>
          <w:rFonts w:eastAsia="仿宋_GB2312"/>
          <w:sz w:val="32"/>
          <w:szCs w:val="32"/>
        </w:rPr>
      </w:pPr>
      <w:r>
        <w:rPr>
          <w:rFonts w:hint="eastAsia" w:eastAsia="仿宋_GB2312"/>
          <w:sz w:val="32"/>
          <w:szCs w:val="32"/>
        </w:rPr>
        <w:t>为加强财政支出绩效管理，促进财政资金使用的科学化、合理化和精细化，根据中共湖南省委办公厅、湖南省人民政府办公厅《关于全面实施预算绩效管理的意见》（湘办发[2019]10号）等规定，以及津市市财政局的工作安排，中共津市市委统战部于202</w:t>
      </w:r>
      <w:r>
        <w:rPr>
          <w:rFonts w:hint="eastAsia" w:eastAsia="仿宋_GB2312"/>
          <w:sz w:val="32"/>
          <w:szCs w:val="32"/>
          <w:lang w:val="en-US" w:eastAsia="zh-CN"/>
        </w:rPr>
        <w:t>2</w:t>
      </w:r>
      <w:r>
        <w:rPr>
          <w:rFonts w:hint="eastAsia" w:eastAsia="仿宋_GB2312"/>
          <w:sz w:val="32"/>
          <w:szCs w:val="32"/>
        </w:rPr>
        <w:t>年3月</w:t>
      </w:r>
      <w:r>
        <w:rPr>
          <w:rFonts w:hint="eastAsia" w:eastAsia="仿宋_GB2312"/>
          <w:sz w:val="32"/>
          <w:szCs w:val="32"/>
          <w:lang w:val="en-US" w:eastAsia="zh-CN"/>
        </w:rPr>
        <w:t>18</w:t>
      </w:r>
      <w:r>
        <w:rPr>
          <w:rFonts w:hint="eastAsia" w:eastAsia="仿宋_GB2312"/>
          <w:sz w:val="32"/>
          <w:szCs w:val="32"/>
        </w:rPr>
        <w:t>日至</w:t>
      </w:r>
      <w:r>
        <w:rPr>
          <w:rFonts w:hint="eastAsia" w:eastAsia="仿宋_GB2312"/>
          <w:sz w:val="32"/>
          <w:szCs w:val="32"/>
          <w:lang w:val="en-US" w:eastAsia="zh-CN"/>
        </w:rPr>
        <w:t>25</w:t>
      </w:r>
      <w:r>
        <w:rPr>
          <w:rFonts w:hint="eastAsia" w:eastAsia="仿宋_GB2312"/>
          <w:sz w:val="32"/>
          <w:szCs w:val="32"/>
        </w:rPr>
        <w:t>日对本单位202</w:t>
      </w:r>
      <w:r>
        <w:rPr>
          <w:rFonts w:hint="eastAsia" w:eastAsia="仿宋_GB2312"/>
          <w:sz w:val="32"/>
          <w:szCs w:val="32"/>
          <w:lang w:val="en-US" w:eastAsia="zh-CN"/>
        </w:rPr>
        <w:t>1</w:t>
      </w:r>
      <w:r>
        <w:rPr>
          <w:rFonts w:hint="eastAsia" w:eastAsia="仿宋_GB2312"/>
          <w:sz w:val="32"/>
          <w:szCs w:val="32"/>
        </w:rPr>
        <w:t>年度部门整体支出绩效进行了自我评价，现将评价结果报告如下。</w:t>
      </w:r>
    </w:p>
    <w:p>
      <w:pPr>
        <w:pStyle w:val="4"/>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widowControl/>
        <w:spacing w:line="600" w:lineRule="exact"/>
        <w:ind w:firstLine="643" w:firstLineChars="200"/>
        <w:jc w:val="left"/>
        <w:rPr>
          <w:rFonts w:eastAsia="仿宋_GB2312"/>
          <w:b/>
          <w:bCs/>
          <w:sz w:val="32"/>
          <w:szCs w:val="32"/>
        </w:rPr>
      </w:pPr>
      <w:r>
        <w:rPr>
          <w:rFonts w:hint="eastAsia" w:eastAsia="仿宋_GB2312"/>
          <w:b/>
          <w:bCs/>
          <w:sz w:val="32"/>
          <w:szCs w:val="32"/>
        </w:rPr>
        <w:t>1.部门基本情况</w:t>
      </w:r>
    </w:p>
    <w:p>
      <w:pPr>
        <w:pStyle w:val="4"/>
        <w:widowControl/>
        <w:spacing w:line="560" w:lineRule="exact"/>
        <w:ind w:firstLine="640"/>
        <w:jc w:val="left"/>
        <w:rPr>
          <w:rFonts w:eastAsia="仿宋_GB2312"/>
          <w:sz w:val="32"/>
          <w:szCs w:val="32"/>
        </w:rPr>
      </w:pPr>
      <w:r>
        <w:rPr>
          <w:rFonts w:hint="eastAsia" w:eastAsia="仿宋_GB2312"/>
          <w:sz w:val="32"/>
          <w:szCs w:val="32"/>
        </w:rPr>
        <w:t>中共津市市委统战部内设组室含办公室、党外非公人士工作室、民族宗教工作室、港澳台侨工作室，管理二级机构新的社会阶层人士服务中心，因机构改革，统战部加挂市民宗局牌子，对外使用市政府侨务办公室。</w:t>
      </w:r>
    </w:p>
    <w:p>
      <w:pPr>
        <w:widowControl/>
        <w:spacing w:line="600" w:lineRule="exact"/>
        <w:ind w:firstLine="643" w:firstLineChars="200"/>
        <w:jc w:val="left"/>
        <w:rPr>
          <w:rFonts w:eastAsia="仿宋_GB2312"/>
          <w:b/>
          <w:bCs/>
          <w:sz w:val="32"/>
          <w:szCs w:val="32"/>
        </w:rPr>
      </w:pPr>
      <w:r>
        <w:rPr>
          <w:rFonts w:hint="eastAsia" w:eastAsia="仿宋_GB2312"/>
          <w:b/>
          <w:bCs/>
          <w:sz w:val="32"/>
          <w:szCs w:val="32"/>
        </w:rPr>
        <w:t>2.部门职能概述</w:t>
      </w:r>
    </w:p>
    <w:p>
      <w:pPr>
        <w:pStyle w:val="4"/>
        <w:widowControl/>
        <w:spacing w:line="560" w:lineRule="exact"/>
        <w:ind w:firstLine="640"/>
        <w:jc w:val="left"/>
        <w:rPr>
          <w:rFonts w:eastAsia="仿宋_GB2312"/>
          <w:sz w:val="32"/>
          <w:szCs w:val="32"/>
        </w:rPr>
      </w:pPr>
      <w:r>
        <w:rPr>
          <w:rFonts w:hint="eastAsia" w:eastAsia="仿宋_GB2312"/>
          <w:sz w:val="32"/>
          <w:szCs w:val="32"/>
        </w:rPr>
        <w:t>1.研究统一战线的理论和方针、政策，组织贯彻执行党的统一战线方针、政策；向市委反映统一战线全面情况，提出工作意见和建议。</w:t>
      </w:r>
    </w:p>
    <w:p>
      <w:pPr>
        <w:pStyle w:val="4"/>
        <w:widowControl/>
        <w:spacing w:line="560" w:lineRule="exact"/>
        <w:ind w:firstLine="640"/>
        <w:jc w:val="left"/>
        <w:rPr>
          <w:rFonts w:eastAsia="仿宋_GB2312"/>
          <w:sz w:val="32"/>
          <w:szCs w:val="32"/>
        </w:rPr>
      </w:pPr>
      <w:r>
        <w:rPr>
          <w:rFonts w:hint="eastAsia" w:eastAsia="仿宋_GB2312"/>
          <w:sz w:val="32"/>
          <w:szCs w:val="32"/>
        </w:rPr>
        <w:t>2.负责联系各民主党派和党外代表人士；研究、贯彻党领导的多党合作和政治协商制度以及对民主党派的方针、政策；支持、帮助各民主党派加强自身建设。</w:t>
      </w:r>
    </w:p>
    <w:p>
      <w:pPr>
        <w:pStyle w:val="4"/>
        <w:widowControl/>
        <w:spacing w:line="560" w:lineRule="exact"/>
        <w:ind w:firstLine="640"/>
        <w:jc w:val="left"/>
        <w:rPr>
          <w:rFonts w:eastAsia="仿宋_GB2312"/>
          <w:sz w:val="32"/>
          <w:szCs w:val="32"/>
        </w:rPr>
      </w:pPr>
      <w:r>
        <w:rPr>
          <w:rFonts w:hint="eastAsia" w:eastAsia="仿宋_GB2312"/>
          <w:sz w:val="32"/>
          <w:szCs w:val="32"/>
        </w:rPr>
        <w:t>3.负责开展以祖国统一为重点的海外统战工作。</w:t>
      </w:r>
    </w:p>
    <w:p>
      <w:pPr>
        <w:pStyle w:val="4"/>
        <w:widowControl/>
        <w:spacing w:line="560" w:lineRule="exact"/>
        <w:ind w:firstLine="640"/>
        <w:jc w:val="left"/>
        <w:rPr>
          <w:rFonts w:eastAsia="仿宋_GB2312"/>
          <w:sz w:val="32"/>
          <w:szCs w:val="32"/>
        </w:rPr>
      </w:pPr>
      <w:r>
        <w:rPr>
          <w:rFonts w:hint="eastAsia" w:eastAsia="仿宋_GB2312"/>
          <w:sz w:val="32"/>
          <w:szCs w:val="32"/>
        </w:rPr>
        <w:t>4.负责党外人士的政治安排，会同有关部门做好培养、选拔、推荐党外人士的工作；</w:t>
      </w:r>
    </w:p>
    <w:p>
      <w:pPr>
        <w:pStyle w:val="4"/>
        <w:widowControl/>
        <w:spacing w:line="560" w:lineRule="exact"/>
        <w:ind w:firstLine="640"/>
        <w:jc w:val="left"/>
        <w:rPr>
          <w:rFonts w:eastAsia="仿宋_GB2312"/>
          <w:sz w:val="32"/>
          <w:szCs w:val="32"/>
        </w:rPr>
      </w:pPr>
      <w:r>
        <w:rPr>
          <w:rFonts w:hint="eastAsia" w:eastAsia="仿宋_GB2312"/>
          <w:sz w:val="32"/>
          <w:szCs w:val="32"/>
        </w:rPr>
        <w:t>5.调查研究并反映全市非公有制经济代表人士的情况，协调关系，提出政策建议；团结、帮助、引导、教育非公有制经济代表人士，积极开展思想政治工作。</w:t>
      </w:r>
    </w:p>
    <w:p>
      <w:pPr>
        <w:pStyle w:val="4"/>
        <w:widowControl/>
        <w:spacing w:line="560" w:lineRule="exact"/>
        <w:ind w:firstLine="640"/>
        <w:jc w:val="left"/>
        <w:rPr>
          <w:rFonts w:eastAsia="仿宋_GB2312"/>
          <w:sz w:val="32"/>
          <w:szCs w:val="32"/>
        </w:rPr>
      </w:pPr>
      <w:r>
        <w:rPr>
          <w:rFonts w:hint="eastAsia" w:eastAsia="仿宋_GB2312"/>
          <w:sz w:val="32"/>
          <w:szCs w:val="32"/>
        </w:rPr>
        <w:t>6.联系党外代表人士和党外知识分子、新的社会阶层人士，开展对党外人士工作调研并提出政策性意见，调查了解党外知识分子的情况并反映动态。负责出国和归国留学人员的统战工作、新的社会阶层人士的统战工作。</w:t>
      </w:r>
    </w:p>
    <w:p>
      <w:pPr>
        <w:pStyle w:val="4"/>
        <w:widowControl/>
        <w:spacing w:line="560" w:lineRule="exact"/>
        <w:ind w:firstLine="640"/>
        <w:jc w:val="left"/>
        <w:rPr>
          <w:rFonts w:eastAsia="仿宋_GB2312"/>
          <w:sz w:val="32"/>
          <w:szCs w:val="32"/>
        </w:rPr>
      </w:pPr>
      <w:r>
        <w:rPr>
          <w:rFonts w:hint="eastAsia" w:eastAsia="仿宋_GB2312"/>
          <w:sz w:val="32"/>
          <w:szCs w:val="32"/>
        </w:rPr>
        <w:t>7.负责开展海内外统一战线的宣传工作。</w:t>
      </w:r>
    </w:p>
    <w:p>
      <w:pPr>
        <w:pStyle w:val="4"/>
        <w:widowControl/>
        <w:spacing w:line="560" w:lineRule="exact"/>
        <w:ind w:firstLine="640"/>
        <w:jc w:val="left"/>
        <w:rPr>
          <w:rFonts w:eastAsia="仿宋_GB2312"/>
          <w:sz w:val="32"/>
          <w:szCs w:val="32"/>
        </w:rPr>
      </w:pPr>
      <w:r>
        <w:rPr>
          <w:rFonts w:hint="eastAsia" w:eastAsia="仿宋_GB2312"/>
          <w:sz w:val="32"/>
          <w:szCs w:val="32"/>
        </w:rPr>
        <w:t>8.负责指导全市基层统战工作，协调政府各有关部门的统战工作。</w:t>
      </w:r>
    </w:p>
    <w:p>
      <w:pPr>
        <w:pStyle w:val="4"/>
        <w:widowControl/>
        <w:spacing w:line="560" w:lineRule="exact"/>
        <w:ind w:firstLine="640"/>
        <w:jc w:val="left"/>
        <w:rPr>
          <w:rFonts w:eastAsia="仿宋_GB2312"/>
          <w:sz w:val="32"/>
          <w:szCs w:val="32"/>
        </w:rPr>
      </w:pPr>
      <w:r>
        <w:rPr>
          <w:rFonts w:hint="eastAsia" w:eastAsia="仿宋_GB2312"/>
          <w:sz w:val="32"/>
          <w:szCs w:val="32"/>
        </w:rPr>
        <w:t>9.贯彻执行党和国家的对台方针、政策和各项涉台法律、法规。</w:t>
      </w:r>
    </w:p>
    <w:p>
      <w:pPr>
        <w:pStyle w:val="4"/>
        <w:widowControl/>
        <w:spacing w:line="560" w:lineRule="exact"/>
        <w:ind w:firstLine="640"/>
        <w:jc w:val="left"/>
        <w:rPr>
          <w:rFonts w:eastAsia="仿宋_GB2312"/>
          <w:sz w:val="32"/>
          <w:szCs w:val="32"/>
        </w:rPr>
      </w:pPr>
      <w:r>
        <w:rPr>
          <w:rFonts w:hint="eastAsia" w:eastAsia="仿宋_GB2312"/>
          <w:sz w:val="32"/>
          <w:szCs w:val="32"/>
        </w:rPr>
        <w:t>10.负责对民族、宗教工作进行调研并提出政策性建议。联系少数民族和宗教界的代表人士。协助有关部门做好少数民族和宗教界代表人士的培养。协助和配合有关部门处理涉及民族、宗教方面的重大问题。</w:t>
      </w:r>
    </w:p>
    <w:p>
      <w:pPr>
        <w:pStyle w:val="4"/>
        <w:widowControl/>
        <w:spacing w:line="560" w:lineRule="exact"/>
        <w:ind w:firstLine="640"/>
        <w:jc w:val="left"/>
        <w:rPr>
          <w:rFonts w:eastAsia="仿宋_GB2312"/>
          <w:sz w:val="32"/>
          <w:szCs w:val="32"/>
        </w:rPr>
      </w:pPr>
      <w:r>
        <w:rPr>
          <w:rFonts w:hint="eastAsia" w:eastAsia="仿宋_GB2312"/>
          <w:sz w:val="32"/>
          <w:szCs w:val="32"/>
        </w:rPr>
        <w:t>11.按照常德市委统战部的部署，实施以创建“同心项目”“同心园区”、“同心社区”、“同心乡村”为重点的同心工程，充分发挥统一战线成员作用，为津市经济社会发展服务。</w:t>
      </w:r>
    </w:p>
    <w:p>
      <w:pPr>
        <w:pStyle w:val="4"/>
        <w:widowControl/>
        <w:spacing w:line="560" w:lineRule="exact"/>
        <w:ind w:firstLine="640"/>
        <w:jc w:val="left"/>
        <w:rPr>
          <w:rFonts w:ascii="Times New Roman" w:hAnsi="Times New Roman" w:eastAsia="黑体"/>
          <w:sz w:val="32"/>
          <w:szCs w:val="32"/>
        </w:rPr>
      </w:pPr>
      <w:r>
        <w:rPr>
          <w:rFonts w:hint="eastAsia" w:eastAsia="仿宋_GB2312"/>
          <w:sz w:val="32"/>
          <w:szCs w:val="32"/>
        </w:rPr>
        <w:t>12.承办上级统战部门和市委交办的其他事项。</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widowControl/>
        <w:spacing w:line="600" w:lineRule="exact"/>
        <w:ind w:firstLine="640" w:firstLineChars="200"/>
        <w:jc w:val="left"/>
        <w:rPr>
          <w:rFonts w:eastAsia="仿宋_GB2312"/>
          <w:sz w:val="32"/>
          <w:szCs w:val="32"/>
        </w:rPr>
      </w:pPr>
      <w:r>
        <w:rPr>
          <w:rFonts w:hint="eastAsia" w:eastAsia="仿宋_GB2312"/>
          <w:sz w:val="32"/>
          <w:szCs w:val="32"/>
        </w:rPr>
        <w:t>基本支出是指为保障单位机构正常运转、完成日常工作任务而发生的各项支出，包括用于基本工资、津贴补贴等人员经费以及办公费、印刷费、水电费、办公设备购置等日常公用经费。</w:t>
      </w:r>
    </w:p>
    <w:p>
      <w:pPr>
        <w:widowControl/>
        <w:spacing w:line="600" w:lineRule="exact"/>
        <w:ind w:firstLine="640" w:firstLineChars="200"/>
        <w:jc w:val="left"/>
        <w:rPr>
          <w:rFonts w:eastAsia="仿宋_GB2312"/>
          <w:sz w:val="32"/>
          <w:szCs w:val="32"/>
        </w:rPr>
      </w:pPr>
      <w:r>
        <w:rPr>
          <w:rFonts w:hint="eastAsia" w:eastAsia="仿宋_GB2312"/>
          <w:sz w:val="32"/>
          <w:szCs w:val="32"/>
        </w:rPr>
        <w:t>202</w:t>
      </w:r>
      <w:r>
        <w:rPr>
          <w:rFonts w:hint="eastAsia" w:eastAsia="仿宋_GB2312"/>
          <w:sz w:val="32"/>
          <w:szCs w:val="32"/>
          <w:lang w:val="en-US" w:eastAsia="zh-CN"/>
        </w:rPr>
        <w:t>1</w:t>
      </w:r>
      <w:r>
        <w:rPr>
          <w:rFonts w:hint="eastAsia" w:eastAsia="仿宋_GB2312"/>
          <w:sz w:val="32"/>
          <w:szCs w:val="32"/>
        </w:rPr>
        <w:t>年，市财政局年初批复基本支出预算收入</w:t>
      </w:r>
      <w:r>
        <w:rPr>
          <w:rFonts w:hint="eastAsia" w:eastAsia="仿宋_GB2312"/>
          <w:sz w:val="32"/>
          <w:szCs w:val="32"/>
          <w:lang w:val="en-US" w:eastAsia="zh-CN"/>
        </w:rPr>
        <w:t>96.54</w:t>
      </w:r>
      <w:r>
        <w:rPr>
          <w:rFonts w:hint="eastAsia" w:eastAsia="仿宋_GB2312"/>
          <w:sz w:val="32"/>
          <w:szCs w:val="32"/>
        </w:rPr>
        <w:t>万元，本年基本支出决算收入</w:t>
      </w:r>
      <w:r>
        <w:rPr>
          <w:rFonts w:hint="eastAsia" w:eastAsia="仿宋_GB2312"/>
          <w:sz w:val="32"/>
          <w:szCs w:val="32"/>
          <w:lang w:val="en-US" w:eastAsia="zh-CN"/>
        </w:rPr>
        <w:t>141.66</w:t>
      </w:r>
      <w:r>
        <w:rPr>
          <w:rFonts w:hint="eastAsia" w:eastAsia="仿宋_GB2312"/>
          <w:sz w:val="32"/>
          <w:szCs w:val="32"/>
        </w:rPr>
        <w:t>万元。本年基本支出实际支出</w:t>
      </w:r>
      <w:r>
        <w:rPr>
          <w:rFonts w:hint="eastAsia" w:eastAsia="仿宋_GB2312"/>
          <w:sz w:val="32"/>
          <w:szCs w:val="32"/>
          <w:lang w:val="en-US" w:eastAsia="zh-CN"/>
        </w:rPr>
        <w:t>141.66</w:t>
      </w:r>
      <w:r>
        <w:rPr>
          <w:rFonts w:hint="eastAsia" w:eastAsia="仿宋_GB2312"/>
          <w:sz w:val="32"/>
          <w:szCs w:val="32"/>
        </w:rPr>
        <w:t>万元，其中：工资福利支出</w:t>
      </w:r>
      <w:r>
        <w:rPr>
          <w:rFonts w:hint="eastAsia" w:eastAsia="仿宋_GB2312"/>
          <w:sz w:val="32"/>
          <w:szCs w:val="32"/>
          <w:lang w:val="en-US" w:eastAsia="zh-CN"/>
        </w:rPr>
        <w:t>107.79</w:t>
      </w:r>
      <w:r>
        <w:rPr>
          <w:rFonts w:hint="eastAsia" w:eastAsia="仿宋_GB2312"/>
          <w:sz w:val="32"/>
          <w:szCs w:val="32"/>
        </w:rPr>
        <w:t>万元，商品和服务支出</w:t>
      </w:r>
      <w:r>
        <w:rPr>
          <w:rFonts w:hint="eastAsia" w:eastAsia="仿宋_GB2312"/>
          <w:sz w:val="32"/>
          <w:szCs w:val="32"/>
          <w:lang w:val="en-US" w:eastAsia="zh-CN"/>
        </w:rPr>
        <w:t>33.87</w:t>
      </w:r>
      <w:r>
        <w:rPr>
          <w:rFonts w:hint="eastAsia" w:eastAsia="仿宋_GB2312"/>
          <w:sz w:val="32"/>
          <w:szCs w:val="32"/>
        </w:rPr>
        <w:t>万元，预算执行率为100%。各项工作任务按时完成，取得较好的工作成效。</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widowControl/>
        <w:spacing w:line="600" w:lineRule="exact"/>
        <w:ind w:firstLine="640" w:firstLineChars="200"/>
        <w:jc w:val="left"/>
        <w:rPr>
          <w:rFonts w:eastAsia="仿宋_GB2312"/>
          <w:sz w:val="32"/>
          <w:szCs w:val="32"/>
        </w:rPr>
      </w:pPr>
      <w:r>
        <w:rPr>
          <w:rFonts w:hint="eastAsia" w:eastAsia="仿宋_GB2312"/>
          <w:sz w:val="32"/>
          <w:szCs w:val="32"/>
        </w:rPr>
        <w:t>项目支出是指单位为完成特定行政工作任务或事业发展目标而发生的支出，包括有关业务工作经费和运行维护经费。</w:t>
      </w:r>
    </w:p>
    <w:p>
      <w:pPr>
        <w:widowControl/>
        <w:spacing w:line="600" w:lineRule="exact"/>
        <w:ind w:firstLine="640" w:firstLineChars="200"/>
        <w:jc w:val="left"/>
        <w:rPr>
          <w:rFonts w:eastAsia="仿宋_GB2312"/>
          <w:sz w:val="32"/>
          <w:szCs w:val="32"/>
        </w:rPr>
      </w:pPr>
      <w:r>
        <w:rPr>
          <w:rFonts w:hint="eastAsia" w:eastAsia="仿宋_GB2312"/>
          <w:sz w:val="32"/>
          <w:szCs w:val="32"/>
        </w:rPr>
        <w:t>202</w:t>
      </w:r>
      <w:r>
        <w:rPr>
          <w:rFonts w:hint="eastAsia" w:eastAsia="仿宋_GB2312"/>
          <w:sz w:val="32"/>
          <w:szCs w:val="32"/>
          <w:lang w:val="en-US" w:eastAsia="zh-CN"/>
        </w:rPr>
        <w:t>1</w:t>
      </w:r>
      <w:r>
        <w:rPr>
          <w:rFonts w:hint="eastAsia" w:eastAsia="仿宋_GB2312"/>
          <w:sz w:val="32"/>
          <w:szCs w:val="32"/>
        </w:rPr>
        <w:t>年度，市财政部门年初批复项目支出预算收入</w:t>
      </w:r>
      <w:r>
        <w:rPr>
          <w:rFonts w:hint="eastAsia" w:eastAsia="仿宋_GB2312"/>
          <w:sz w:val="32"/>
          <w:szCs w:val="32"/>
          <w:lang w:val="en-US" w:eastAsia="zh-CN"/>
        </w:rPr>
        <w:t>71.6</w:t>
      </w:r>
      <w:r>
        <w:rPr>
          <w:rFonts w:hint="eastAsia" w:eastAsia="仿宋_GB2312"/>
          <w:sz w:val="32"/>
          <w:szCs w:val="32"/>
        </w:rPr>
        <w:t>万元。年内实际下达项目支出指标</w:t>
      </w:r>
      <w:r>
        <w:rPr>
          <w:rFonts w:hint="eastAsia" w:eastAsia="仿宋_GB2312"/>
          <w:sz w:val="32"/>
          <w:szCs w:val="32"/>
          <w:lang w:val="en-US" w:eastAsia="zh-CN"/>
        </w:rPr>
        <w:t>71.6</w:t>
      </w:r>
      <w:r>
        <w:rPr>
          <w:rFonts w:hint="eastAsia" w:eastAsia="仿宋_GB2312"/>
          <w:sz w:val="32"/>
          <w:szCs w:val="32"/>
        </w:rPr>
        <w:t>万元，其</w:t>
      </w:r>
      <w:bookmarkStart w:id="0" w:name="_GoBack"/>
      <w:bookmarkEnd w:id="0"/>
      <w:r>
        <w:rPr>
          <w:rFonts w:hint="eastAsia" w:eastAsia="仿宋_GB2312"/>
          <w:sz w:val="32"/>
          <w:szCs w:val="32"/>
        </w:rPr>
        <w:t>中：业务工作经费</w:t>
      </w:r>
      <w:r>
        <w:rPr>
          <w:rFonts w:hint="eastAsia" w:eastAsia="仿宋_GB2312"/>
          <w:sz w:val="32"/>
          <w:szCs w:val="32"/>
          <w:lang w:val="en-US" w:eastAsia="zh-CN"/>
        </w:rPr>
        <w:t>71.6</w:t>
      </w:r>
      <w:r>
        <w:rPr>
          <w:rFonts w:hint="eastAsia" w:eastAsia="仿宋_GB2312"/>
          <w:sz w:val="32"/>
          <w:szCs w:val="32"/>
        </w:rPr>
        <w:t>万元，主要用于办公用品、专项设备等购买、租赁、维修；“同心工程”创建；新的社会阶层人士联谊会开展活动；团结党外代表人士；迎接省、常德市各项工作督查、调研、考核；公务接待及工作会议支出等方面；各项运行维护经费</w:t>
      </w:r>
      <w:r>
        <w:rPr>
          <w:rFonts w:eastAsia="仿宋_GB2312"/>
          <w:sz w:val="32"/>
          <w:szCs w:val="32"/>
        </w:rPr>
        <w:t>。</w:t>
      </w:r>
    </w:p>
    <w:p>
      <w:pPr>
        <w:pStyle w:val="4"/>
        <w:widowControl/>
        <w:numPr>
          <w:numId w:val="0"/>
        </w:numPr>
        <w:spacing w:line="600" w:lineRule="exact"/>
        <w:ind w:left="640" w:leftChars="0"/>
        <w:jc w:val="left"/>
        <w:rPr>
          <w:rFonts w:ascii="Times New Roman" w:hAnsi="Times New Roman" w:eastAsia="黑体"/>
          <w:sz w:val="32"/>
          <w:szCs w:val="32"/>
        </w:rPr>
      </w:pPr>
      <w:r>
        <w:rPr>
          <w:rFonts w:hint="eastAsia" w:ascii="Times New Roman" w:hAnsi="Times New Roman" w:eastAsia="黑体"/>
          <w:sz w:val="32"/>
          <w:szCs w:val="32"/>
          <w:lang w:eastAsia="zh-CN"/>
        </w:rPr>
        <w:t>三、</w:t>
      </w:r>
      <w:r>
        <w:rPr>
          <w:rFonts w:ascii="Times New Roman" w:hAnsi="Times New Roman" w:eastAsia="黑体"/>
          <w:sz w:val="32"/>
          <w:szCs w:val="32"/>
        </w:rPr>
        <w:t>政府性基金预算支出情况</w:t>
      </w:r>
    </w:p>
    <w:p>
      <w:pPr>
        <w:pStyle w:val="4"/>
        <w:widowControl/>
        <w:numPr>
          <w:numId w:val="0"/>
        </w:numPr>
        <w:spacing w:line="600" w:lineRule="exact"/>
        <w:ind w:left="640" w:leftChars="0"/>
        <w:jc w:val="left"/>
        <w:rPr>
          <w:rFonts w:ascii="Times New Roman" w:hAnsi="Times New Roman" w:eastAsia="黑体"/>
          <w:sz w:val="32"/>
          <w:szCs w:val="32"/>
        </w:rPr>
      </w:pPr>
      <w:r>
        <w:rPr>
          <w:rFonts w:hint="eastAsia" w:eastAsia="仿宋_GB2312"/>
          <w:color w:val="000000"/>
          <w:sz w:val="32"/>
          <w:szCs w:val="32"/>
        </w:rPr>
        <w:t>202</w:t>
      </w:r>
      <w:r>
        <w:rPr>
          <w:rFonts w:hint="eastAsia" w:eastAsia="仿宋_GB2312"/>
          <w:color w:val="000000"/>
          <w:sz w:val="32"/>
          <w:szCs w:val="32"/>
          <w:lang w:val="en-US" w:eastAsia="zh-CN"/>
        </w:rPr>
        <w:t>1</w:t>
      </w:r>
      <w:r>
        <w:rPr>
          <w:rFonts w:hint="eastAsia" w:eastAsia="仿宋_GB2312"/>
          <w:color w:val="000000"/>
          <w:sz w:val="32"/>
          <w:szCs w:val="32"/>
        </w:rPr>
        <w:t>年本部门无政府性基金预算支出</w:t>
      </w:r>
    </w:p>
    <w:p>
      <w:pPr>
        <w:widowControl/>
        <w:spacing w:line="600" w:lineRule="exact"/>
        <w:ind w:firstLine="645"/>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完善实施同心工程联席会议制度，健全同心工程重点项目库，做好已授牌的省、常德市级示范点的动态管理和保牌工作，明确保牌标准。对今年常德市授牌的创建示范点做好向省示范点的升级工作，同时确立新的同心乡村创建示范点。结合市委政府的重要部署，为示范点融入新的内容，激励做出新的成绩，增添新的亮点。</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加强知联会建设，健全支持无党派代表人士发挥作用的工作机制。抓好知联会换届工作。以知联会为依托，发展优秀会员，完善全市无党派代表人士重点人物库。鼓励支持党外知识分子、非公有制经济人士参加“科技创新</w:t>
      </w:r>
      <w:r>
        <w:rPr>
          <w:rFonts w:hint="eastAsia" w:ascii="宋体" w:hAnsi="宋体" w:cs="宋体"/>
          <w:sz w:val="32"/>
          <w:szCs w:val="32"/>
        </w:rPr>
        <w:t>•</w:t>
      </w:r>
      <w:r>
        <w:rPr>
          <w:rFonts w:hint="eastAsia" w:ascii="仿宋_GB2312" w:hAnsi="仿宋_GB2312" w:eastAsia="仿宋_GB2312" w:cs="仿宋_GB2312"/>
          <w:sz w:val="32"/>
          <w:szCs w:val="32"/>
        </w:rPr>
        <w:t>贡献常德”活动，推动统一战线促进创新创业活动。推进新的社会阶层人士统战工作，把做好新社会阶层人士工作作为统战工作新的着力点，加强与新的社会阶层人士联系沟通，建立综合协调、举荐培养、管理服务、教育引导等长效机制，最大限度地把新社会阶层人士团结在党的周围，为加快津市发展凝心聚力。邀请新媒体代表人士一同参加党外干部座谈会，加强对“红色网络大</w:t>
      </w:r>
      <w:r>
        <w:rPr>
          <w:rFonts w:hint="eastAsia" w:ascii="仿宋_GB2312" w:hAnsi="仿宋" w:eastAsia="仿宋_GB2312"/>
          <w:sz w:val="32"/>
          <w:szCs w:val="32"/>
        </w:rPr>
        <w:t>V”的培养，探索组建党外网络评论员队伍。</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建立海外统战对象信息库。加大对外联络交流工作力度，探索留学人员、港澳台青年统战工作新方法。加强对台宣传和交流。开展反独促统工作，配合上级台办组织台胞台属参加在台津市籍后裔返乡行等交流活动。</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组织引导民主党派、无党派人士和非公有制经济人士开展主题教育活动，强化党外代表人士共识教育，增强中国特色社会主义道路“三个自信”。支持党外人士参与民主协商，开展重点考察调研和民主监督。引导党外人士创新创业，促进非公有制经济健康发展。发挥民族宗教界人士和信教群众在促进经济社会发展中的积极作用，引导港澳台侨人士参与本地发展战略实施。凝心聚力“十三五”行动作为统一战线服务大局的总品牌、总抓手，为“十三五”规划实施作出积极贡献。</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完善党外干部教育培训工作规划，促进党外干部教育培训工作制度化、规范化。对换届后的各民主党派市级组织领导班子成员开展集中谈心和政治交接教育培训。加强对党外后备干部的教育培养、实践锻炼、素质提升。同时，严格按照中央“把一部分优秀人士留在党外”的要求，加大党外领导干部的配备力度。建立健全党外干部考核评价体系，推行党外干部述职制度，促进他们更好地履行职责。</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推动统一战线服务经济发展。</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扎实做好新形势下民族宗教工作。认真学习贯彻党的十九大精神，把学习和贯彻会议精神落实到履职实践的全过程。加大统战干部教育培训、轮岗交流、挂职锻炼力度，打造一支政治上可靠、业务上精通、作风上深入、人格上服众的统战干部队伍。加大统战理论政策研究和信息宣传工作力度。深化对统战工作重点难点问题的研究，发挥统一战线各单位网站、客户端、微信公众号的作用，深入开展统一战线宣传。</w:t>
      </w:r>
    </w:p>
    <w:p>
      <w:pPr>
        <w:pStyle w:val="4"/>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widowControl/>
        <w:spacing w:line="600" w:lineRule="exact"/>
        <w:ind w:firstLine="640" w:firstLineChars="200"/>
        <w:jc w:val="left"/>
        <w:rPr>
          <w:rFonts w:eastAsia="仿宋_GB2312"/>
          <w:sz w:val="32"/>
          <w:szCs w:val="32"/>
        </w:rPr>
      </w:pPr>
      <w:r>
        <w:rPr>
          <w:rFonts w:hint="eastAsia" w:eastAsia="仿宋_GB2312"/>
          <w:sz w:val="32"/>
          <w:szCs w:val="32"/>
        </w:rPr>
        <w:t>1、部分项目资金支付进度滞后。</w:t>
      </w:r>
    </w:p>
    <w:p>
      <w:pPr>
        <w:widowControl/>
        <w:spacing w:line="600" w:lineRule="exact"/>
        <w:ind w:firstLine="640" w:firstLineChars="200"/>
        <w:jc w:val="left"/>
        <w:rPr>
          <w:rFonts w:eastAsia="仿宋_GB2312"/>
          <w:sz w:val="32"/>
          <w:szCs w:val="32"/>
        </w:rPr>
      </w:pPr>
      <w:r>
        <w:rPr>
          <w:rFonts w:hint="eastAsia" w:eastAsia="仿宋_GB2312"/>
          <w:sz w:val="32"/>
          <w:szCs w:val="32"/>
        </w:rPr>
        <w:t>2、内控制度需进一步完善，随着资金管理改革的进一步推进，我单位内部机构进行了相应的优化，建立健全了财务管理制度、固定资产管理制度、费用报销规程等制度，但仍需进一步强化财务约束监督体制</w:t>
      </w:r>
      <w:r>
        <w:rPr>
          <w:rFonts w:eastAsia="仿宋_GB2312"/>
          <w:sz w:val="32"/>
          <w:szCs w:val="32"/>
        </w:rPr>
        <w:t>。</w:t>
      </w:r>
    </w:p>
    <w:p>
      <w:pPr>
        <w:widowControl/>
        <w:spacing w:line="600" w:lineRule="exact"/>
        <w:ind w:firstLine="640" w:firstLineChars="200"/>
        <w:jc w:val="left"/>
        <w:rPr>
          <w:rFonts w:eastAsia="黑体"/>
          <w:sz w:val="32"/>
          <w:szCs w:val="32"/>
        </w:rPr>
      </w:pPr>
      <w:r>
        <w:rPr>
          <w:rFonts w:hint="eastAsia" w:eastAsia="黑体"/>
          <w:sz w:val="32"/>
          <w:szCs w:val="32"/>
          <w:lang w:eastAsia="zh-CN"/>
        </w:rPr>
        <w:t>六</w:t>
      </w:r>
      <w:r>
        <w:rPr>
          <w:rFonts w:eastAsia="黑体"/>
          <w:sz w:val="32"/>
          <w:szCs w:val="32"/>
        </w:rPr>
        <w:t>、下一步改进措施</w:t>
      </w:r>
    </w:p>
    <w:p>
      <w:pPr>
        <w:widowControl/>
        <w:spacing w:line="600" w:lineRule="exact"/>
        <w:ind w:firstLine="640" w:firstLineChars="200"/>
        <w:jc w:val="left"/>
        <w:rPr>
          <w:rFonts w:eastAsia="仿宋_GB2312"/>
          <w:sz w:val="32"/>
          <w:szCs w:val="32"/>
        </w:rPr>
      </w:pPr>
      <w:r>
        <w:rPr>
          <w:rFonts w:eastAsia="仿宋_GB2312"/>
          <w:sz w:val="32"/>
          <w:szCs w:val="32"/>
        </w:rPr>
        <w:t>1、科学合理编制预算，严格执行预算。进一步提高预算编制到位率，做准做全基本支出预算，做全项目支出预算，加强预算支出的审核、跟踪及预算执行情况分析，提高预算编制严谨性和可控性。　</w:t>
      </w:r>
    </w:p>
    <w:p>
      <w:pPr>
        <w:widowControl/>
        <w:spacing w:line="600" w:lineRule="exact"/>
        <w:ind w:firstLine="640" w:firstLineChars="200"/>
        <w:jc w:val="left"/>
        <w:rPr>
          <w:rFonts w:eastAsia="仿宋_GB2312"/>
          <w:sz w:val="32"/>
          <w:szCs w:val="32"/>
        </w:rPr>
      </w:pPr>
      <w:r>
        <w:rPr>
          <w:rFonts w:eastAsia="仿宋_GB2312"/>
          <w:sz w:val="32"/>
          <w:szCs w:val="32"/>
        </w:rPr>
        <w:t>2、进一步加强项目资金管理。严格实行项目管理程序化，实现项目申报、实施、拨付、评价全流程监督与控制，规范专项资金管理，提高专项资金的使用效益。</w:t>
      </w:r>
    </w:p>
    <w:p>
      <w:pPr>
        <w:widowControl/>
        <w:spacing w:line="600" w:lineRule="exact"/>
        <w:ind w:firstLine="640" w:firstLineChars="200"/>
        <w:jc w:val="left"/>
        <w:rPr>
          <w:rFonts w:eastAsia="黑体"/>
          <w:sz w:val="32"/>
          <w:szCs w:val="32"/>
        </w:rPr>
      </w:pPr>
      <w:r>
        <w:rPr>
          <w:rFonts w:eastAsia="仿宋_GB2312"/>
          <w:sz w:val="32"/>
          <w:szCs w:val="32"/>
        </w:rPr>
        <w:t>3、进一步完善内部管理制度，提升管理效能，更好地履行生态文明建设职能。</w:t>
      </w:r>
    </w:p>
    <w:p>
      <w:pPr>
        <w:widowControl/>
        <w:spacing w:line="600" w:lineRule="exact"/>
        <w:ind w:firstLine="645"/>
        <w:jc w:val="left"/>
        <w:rPr>
          <w:rFonts w:eastAsia="黑体"/>
          <w:sz w:val="32"/>
          <w:szCs w:val="32"/>
        </w:rPr>
      </w:pPr>
      <w:r>
        <w:rPr>
          <w:rFonts w:hint="eastAsia" w:eastAsia="黑体"/>
          <w:sz w:val="32"/>
          <w:szCs w:val="32"/>
          <w:lang w:eastAsia="zh-CN"/>
        </w:rPr>
        <w:t>七</w:t>
      </w:r>
      <w:r>
        <w:rPr>
          <w:rFonts w:eastAsia="黑体"/>
          <w:sz w:val="32"/>
          <w:szCs w:val="32"/>
        </w:rPr>
        <w:t>、其他需要说明的情况</w:t>
      </w:r>
    </w:p>
    <w:p>
      <w:pPr>
        <w:widowControl/>
        <w:spacing w:line="600" w:lineRule="exact"/>
        <w:ind w:firstLine="645"/>
        <w:jc w:val="left"/>
        <w:rPr>
          <w:rFonts w:hint="eastAsia" w:eastAsia="仿宋_GB2312"/>
          <w:sz w:val="32"/>
          <w:szCs w:val="32"/>
          <w:lang w:eastAsia="zh-CN"/>
        </w:rPr>
      </w:pPr>
      <w:r>
        <w:rPr>
          <w:rFonts w:hint="eastAsia" w:eastAsia="仿宋_GB2312"/>
          <w:sz w:val="32"/>
          <w:szCs w:val="32"/>
        </w:rPr>
        <w:t>无</w:t>
      </w:r>
      <w:r>
        <w:rPr>
          <w:rFonts w:hint="eastAsia" w:eastAsia="仿宋_GB2312"/>
          <w:sz w:val="32"/>
          <w:szCs w:val="32"/>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FA68A1"/>
    <w:multiLevelType w:val="singleLevel"/>
    <w:tmpl w:val="50FA68A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63A6A0E"/>
    <w:rsid w:val="3A076E09"/>
    <w:rsid w:val="3B8F3226"/>
    <w:rsid w:val="4816128A"/>
    <w:rsid w:val="5A9D5D9B"/>
    <w:rsid w:val="7E506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2800</Words>
  <Characters>2870</Characters>
  <Lines>0</Lines>
  <Paragraphs>0</Paragraphs>
  <TotalTime>8</TotalTime>
  <ScaleCrop>false</ScaleCrop>
  <LinksUpToDate>false</LinksUpToDate>
  <CharactersWithSpaces>2876</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Administrator</cp:lastModifiedBy>
  <dcterms:modified xsi:type="dcterms:W3CDTF">2022-03-25T04:30:19Z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7D43B314F7C24157BF42E5D065D8A65F</vt:lpwstr>
  </property>
</Properties>
</file>