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市委统战部2021年度</w:t>
      </w:r>
      <w:r>
        <w:rPr>
          <w:rFonts w:hint="eastAsia" w:eastAsia="方正小标宋_GBK"/>
          <w:sz w:val="36"/>
          <w:szCs w:val="36"/>
          <w:lang w:eastAsia="zh-CN"/>
        </w:rPr>
        <w:t>项目</w:t>
      </w:r>
      <w:r>
        <w:rPr>
          <w:rFonts w:eastAsia="方正小标宋_GBK"/>
          <w:sz w:val="36"/>
          <w:szCs w:val="36"/>
        </w:rPr>
        <w:t>支出</w:t>
      </w:r>
    </w:p>
    <w:p>
      <w:pPr>
        <w:spacing w:line="600" w:lineRule="exact"/>
        <w:jc w:val="center"/>
        <w:rPr>
          <w:rFonts w:eastAsia="方正小标宋_GBK"/>
          <w:sz w:val="36"/>
          <w:szCs w:val="36"/>
        </w:rPr>
      </w:pPr>
      <w:r>
        <w:rPr>
          <w:rFonts w:eastAsia="方正小标宋_GBK"/>
          <w:sz w:val="36"/>
          <w:szCs w:val="36"/>
        </w:rPr>
        <w:t>绩效报告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eastAsia="仿宋_GB2312"/>
          <w:sz w:val="32"/>
          <w:szCs w:val="32"/>
        </w:rPr>
      </w:pPr>
      <w:r>
        <w:rPr>
          <w:rFonts w:eastAsia="仿宋_GB2312"/>
          <w:sz w:val="32"/>
          <w:szCs w:val="32"/>
        </w:rPr>
        <w:t>（一）项目实施单位基本情况。</w:t>
      </w:r>
    </w:p>
    <w:p>
      <w:pPr>
        <w:pStyle w:val="4"/>
        <w:widowControl/>
        <w:spacing w:line="560" w:lineRule="exact"/>
        <w:ind w:firstLine="640"/>
        <w:jc w:val="left"/>
        <w:rPr>
          <w:rFonts w:eastAsia="仿宋_GB2312"/>
          <w:sz w:val="32"/>
          <w:szCs w:val="32"/>
        </w:rPr>
      </w:pPr>
      <w:r>
        <w:rPr>
          <w:rFonts w:hint="eastAsia" w:eastAsia="仿宋_GB2312"/>
          <w:sz w:val="32"/>
          <w:szCs w:val="32"/>
        </w:rPr>
        <w:t>中共津市市委统战部内设组室含办公室、党外非公人士工作室、民族宗教工作室、港澳台侨工作室，管理二级机构新的社会阶层人士服务中心，因机构改革，统战部加挂市民宗局牌子，对外使用市政府侨务办公室。</w:t>
      </w:r>
    </w:p>
    <w:p>
      <w:pPr>
        <w:numPr>
          <w:ilvl w:val="0"/>
          <w:numId w:val="1"/>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基本情况包括</w:t>
      </w:r>
      <w:r>
        <w:rPr>
          <w:rFonts w:hint="eastAsia" w:eastAsia="仿宋_GB2312"/>
          <w:sz w:val="32"/>
          <w:szCs w:val="32"/>
          <w:lang w:eastAsia="zh-CN"/>
        </w:rPr>
        <w:t>项目</w:t>
      </w:r>
      <w:r>
        <w:rPr>
          <w:rFonts w:eastAsia="仿宋_GB2312"/>
          <w:sz w:val="32"/>
          <w:szCs w:val="32"/>
        </w:rPr>
        <w:t>基本性质、用途和主要内容、涉及范围等。</w:t>
      </w:r>
    </w:p>
    <w:p>
      <w:pPr>
        <w:widowControl/>
        <w:spacing w:line="600" w:lineRule="exact"/>
        <w:ind w:firstLine="640" w:firstLineChars="200"/>
        <w:jc w:val="left"/>
        <w:rPr>
          <w:rFonts w:hint="default" w:eastAsia="仿宋_GB2312"/>
          <w:sz w:val="32"/>
          <w:szCs w:val="32"/>
          <w:lang w:val="en-US" w:eastAsia="zh-CN"/>
        </w:rPr>
      </w:pPr>
      <w:r>
        <w:rPr>
          <w:rFonts w:hint="eastAsia" w:eastAsia="仿宋_GB2312"/>
          <w:sz w:val="32"/>
          <w:szCs w:val="32"/>
          <w:lang w:val="en-US" w:eastAsia="zh-CN"/>
        </w:rPr>
        <w:t xml:space="preserve">  本单位</w:t>
      </w:r>
      <w:r>
        <w:rPr>
          <w:rFonts w:hint="eastAsia" w:eastAsia="仿宋_GB2312"/>
          <w:sz w:val="32"/>
          <w:szCs w:val="32"/>
        </w:rPr>
        <w:t>项目支出是为完成</w:t>
      </w:r>
      <w:r>
        <w:rPr>
          <w:rFonts w:hint="eastAsia" w:eastAsia="仿宋_GB2312"/>
          <w:sz w:val="32"/>
          <w:szCs w:val="32"/>
          <w:lang w:eastAsia="zh-CN"/>
        </w:rPr>
        <w:t>党委部门</w:t>
      </w:r>
      <w:r>
        <w:rPr>
          <w:rFonts w:hint="eastAsia" w:eastAsia="仿宋_GB2312"/>
          <w:sz w:val="32"/>
          <w:szCs w:val="32"/>
        </w:rPr>
        <w:t>行政工作任务或</w:t>
      </w:r>
      <w:r>
        <w:rPr>
          <w:rFonts w:hint="eastAsia" w:eastAsia="仿宋_GB2312"/>
          <w:sz w:val="32"/>
          <w:szCs w:val="32"/>
          <w:lang w:eastAsia="zh-CN"/>
        </w:rPr>
        <w:t>统战</w:t>
      </w:r>
      <w:r>
        <w:rPr>
          <w:rFonts w:hint="eastAsia" w:eastAsia="仿宋_GB2312"/>
          <w:sz w:val="32"/>
          <w:szCs w:val="32"/>
        </w:rPr>
        <w:t>事业发展目标而发生的支出，包括有关业务工作经费和运行维护经费。主要用于办公用品、专项设备等购买、租赁、维修；“同心工程”创建；</w:t>
      </w:r>
      <w:r>
        <w:rPr>
          <w:rFonts w:hint="eastAsia" w:eastAsia="仿宋_GB2312"/>
          <w:sz w:val="32"/>
          <w:szCs w:val="32"/>
          <w:lang w:eastAsia="zh-CN"/>
        </w:rPr>
        <w:t>党外知识分子联谊会、</w:t>
      </w:r>
      <w:r>
        <w:rPr>
          <w:rFonts w:hint="eastAsia" w:eastAsia="仿宋_GB2312"/>
          <w:sz w:val="32"/>
          <w:szCs w:val="32"/>
        </w:rPr>
        <w:t>新的社会阶层人士联谊会开展活动；团结党外代表人士；迎接省、常德市各项工作督查、调研、考核；公务接待及工作会议支出等方面；各项运行维护经费</w:t>
      </w:r>
      <w:r>
        <w:rPr>
          <w:rFonts w:hint="eastAsia" w:eastAsia="仿宋_GB2312"/>
          <w:sz w:val="32"/>
          <w:szCs w:val="32"/>
          <w:lang w:eastAsia="zh-CN"/>
        </w:rPr>
        <w:t>。</w:t>
      </w:r>
    </w:p>
    <w:p>
      <w:pPr>
        <w:numPr>
          <w:ilvl w:val="0"/>
          <w:numId w:val="1"/>
        </w:numPr>
        <w:adjustRightInd w:val="0"/>
        <w:snapToGrid w:val="0"/>
        <w:spacing w:line="600" w:lineRule="exact"/>
        <w:ind w:left="0" w:leftChars="0" w:firstLine="640" w:firstLineChars="200"/>
        <w:rPr>
          <w:rFonts w:hint="eastAsia" w:eastAsia="仿宋_GB2312"/>
          <w:sz w:val="32"/>
          <w:szCs w:val="32"/>
          <w:lang w:val="en-US" w:eastAsia="zh-CN"/>
        </w:rPr>
      </w:pPr>
      <w:r>
        <w:rPr>
          <w:rFonts w:hint="eastAsia" w:eastAsia="仿宋_GB2312"/>
          <w:sz w:val="32"/>
          <w:szCs w:val="32"/>
          <w:lang w:eastAsia="zh-CN"/>
        </w:rPr>
        <w:t>项目</w:t>
      </w:r>
      <w:r>
        <w:rPr>
          <w:rFonts w:eastAsia="仿宋_GB2312"/>
          <w:sz w:val="32"/>
          <w:szCs w:val="32"/>
        </w:rPr>
        <w:t>绩效目标，包括总体目标和年度目标。</w:t>
      </w:r>
    </w:p>
    <w:p>
      <w:pPr>
        <w:widowControl w:val="0"/>
        <w:numPr>
          <w:ilvl w:val="0"/>
          <w:numId w:val="0"/>
        </w:numPr>
        <w:adjustRightInd w:val="0"/>
        <w:snapToGrid w:val="0"/>
        <w:spacing w:line="600" w:lineRule="exact"/>
        <w:jc w:val="both"/>
        <w:rPr>
          <w:rFonts w:hint="default" w:eastAsia="仿宋_GB2312"/>
          <w:sz w:val="32"/>
          <w:szCs w:val="32"/>
          <w:lang w:val="en-US" w:eastAsia="zh-CN"/>
        </w:rPr>
      </w:pPr>
      <w:r>
        <w:rPr>
          <w:rFonts w:hint="eastAsia" w:eastAsia="仿宋_GB2312"/>
          <w:sz w:val="32"/>
          <w:szCs w:val="32"/>
          <w:lang w:val="en-US" w:eastAsia="zh-CN"/>
        </w:rPr>
        <w:t xml:space="preserve">   </w:t>
      </w:r>
      <w:r>
        <w:rPr>
          <w:rFonts w:hint="eastAsia" w:ascii="仿宋_GB2312" w:hAnsi="仿宋" w:eastAsia="仿宋_GB2312"/>
          <w:sz w:val="32"/>
          <w:szCs w:val="32"/>
        </w:rPr>
        <w:t>健全同心工程重点项目库，做好已授牌的省、常德市级示范点的动态管理和保牌工作，明确保牌标准。对今年常德市授牌的创建示范点做好向省示范点的升级工作，同时确立新的</w:t>
      </w:r>
      <w:r>
        <w:rPr>
          <w:rFonts w:hint="eastAsia" w:ascii="仿宋_GB2312" w:hAnsi="仿宋" w:eastAsia="仿宋_GB2312"/>
          <w:sz w:val="32"/>
          <w:szCs w:val="32"/>
          <w:lang w:eastAsia="zh-CN"/>
        </w:rPr>
        <w:t>常德市级</w:t>
      </w:r>
      <w:r>
        <w:rPr>
          <w:rFonts w:hint="eastAsia" w:ascii="仿宋_GB2312" w:hAnsi="仿宋" w:eastAsia="仿宋_GB2312"/>
          <w:sz w:val="32"/>
          <w:szCs w:val="32"/>
        </w:rPr>
        <w:t>同心乡村创建示范点。结合市委政府的重要部署，为示范点融入新的内容，激励做出新的成绩，增添新的亮点。加强知联会建设，健全支持无党派代表人士发挥作用的工作机制。以知联会为依托，发展优秀会员，完善全市无党派代表人士重点人物库。</w:t>
      </w:r>
      <w:r>
        <w:rPr>
          <w:rFonts w:hint="eastAsia" w:ascii="仿宋_GB2312" w:hAnsi="仿宋_GB2312" w:eastAsia="仿宋_GB2312" w:cs="仿宋_GB2312"/>
          <w:sz w:val="32"/>
          <w:szCs w:val="32"/>
        </w:rPr>
        <w:t>加强与新的社会阶层人士联系沟通，建立综合协调、举荐培养、管理服务、教育引导等长效机制，最大限度地把新社会阶层人士团结在党的周围，为加快津市发展凝心聚力。</w:t>
      </w:r>
      <w:r>
        <w:rPr>
          <w:rFonts w:hint="eastAsia" w:ascii="仿宋_GB2312" w:hAnsi="仿宋" w:eastAsia="仿宋_GB2312"/>
          <w:sz w:val="32"/>
          <w:szCs w:val="32"/>
        </w:rPr>
        <w:t>完善党外干部教育培训工作规划，促进党外干部教育培训工作制度化、规范化。对换届后的各民主党派市级组织领导班子成员开展集中谈心和政治交接教育培训。加强对党外后备干部的教育培养、实践锻炼、素质提升。</w:t>
      </w: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adjustRightInd w:val="0"/>
        <w:snapToGrid w:val="0"/>
        <w:spacing w:line="600" w:lineRule="exact"/>
        <w:ind w:firstLine="640" w:firstLineChars="200"/>
        <w:rPr>
          <w:rFonts w:eastAsia="仿宋_GB2312"/>
          <w:sz w:val="32"/>
          <w:szCs w:val="32"/>
        </w:rPr>
      </w:pPr>
      <w:r>
        <w:rPr>
          <w:rFonts w:eastAsia="仿宋_GB2312"/>
          <w:sz w:val="32"/>
          <w:szCs w:val="32"/>
        </w:rPr>
        <w:t>（一）</w:t>
      </w:r>
      <w:r>
        <w:rPr>
          <w:rFonts w:hint="eastAsia" w:eastAsia="仿宋_GB2312"/>
          <w:sz w:val="32"/>
          <w:szCs w:val="32"/>
          <w:lang w:eastAsia="zh-CN"/>
        </w:rPr>
        <w:t>项目</w:t>
      </w:r>
      <w:r>
        <w:rPr>
          <w:rFonts w:eastAsia="仿宋_GB2312"/>
          <w:sz w:val="32"/>
          <w:szCs w:val="32"/>
        </w:rPr>
        <w:t>资金及自筹资金的安排落实、总投入等情况。</w:t>
      </w:r>
    </w:p>
    <w:p>
      <w:pPr>
        <w:widowControl/>
        <w:spacing w:line="600" w:lineRule="exact"/>
        <w:ind w:firstLine="640" w:firstLineChars="200"/>
        <w:jc w:val="left"/>
        <w:rPr>
          <w:rFonts w:eastAsia="仿宋_GB2312"/>
          <w:sz w:val="32"/>
          <w:szCs w:val="32"/>
        </w:rPr>
      </w:pPr>
      <w:r>
        <w:rPr>
          <w:rFonts w:hint="eastAsia" w:eastAsia="仿宋_GB2312"/>
          <w:sz w:val="32"/>
          <w:szCs w:val="32"/>
        </w:rPr>
        <w:t>202</w:t>
      </w:r>
      <w:r>
        <w:rPr>
          <w:rFonts w:hint="eastAsia" w:eastAsia="仿宋_GB2312"/>
          <w:sz w:val="32"/>
          <w:szCs w:val="32"/>
          <w:lang w:val="en-US" w:eastAsia="zh-CN"/>
        </w:rPr>
        <w:t>1</w:t>
      </w:r>
      <w:r>
        <w:rPr>
          <w:rFonts w:hint="eastAsia" w:eastAsia="仿宋_GB2312"/>
          <w:sz w:val="32"/>
          <w:szCs w:val="32"/>
        </w:rPr>
        <w:t>年度，市财政部门年初批复项目支出预算收入</w:t>
      </w:r>
      <w:r>
        <w:rPr>
          <w:rFonts w:hint="eastAsia" w:eastAsia="仿宋_GB2312"/>
          <w:sz w:val="32"/>
          <w:szCs w:val="32"/>
          <w:lang w:val="en-US" w:eastAsia="zh-CN"/>
        </w:rPr>
        <w:t>71.6</w:t>
      </w:r>
      <w:r>
        <w:rPr>
          <w:rFonts w:hint="eastAsia" w:eastAsia="仿宋_GB2312"/>
          <w:sz w:val="32"/>
          <w:szCs w:val="32"/>
        </w:rPr>
        <w:t>万元。年内实际下达项目支出指标</w:t>
      </w:r>
      <w:r>
        <w:rPr>
          <w:rFonts w:hint="eastAsia" w:eastAsia="仿宋_GB2312"/>
          <w:sz w:val="32"/>
          <w:szCs w:val="32"/>
          <w:lang w:val="en-US" w:eastAsia="zh-CN"/>
        </w:rPr>
        <w:t>71.6</w:t>
      </w:r>
      <w:r>
        <w:rPr>
          <w:rFonts w:hint="eastAsia" w:eastAsia="仿宋_GB2312"/>
          <w:sz w:val="32"/>
          <w:szCs w:val="32"/>
        </w:rPr>
        <w:t>万元，其中：业务工作经费</w:t>
      </w:r>
      <w:r>
        <w:rPr>
          <w:rFonts w:hint="eastAsia" w:eastAsia="仿宋_GB2312"/>
          <w:sz w:val="32"/>
          <w:szCs w:val="32"/>
          <w:lang w:val="en-US" w:eastAsia="zh-CN"/>
        </w:rPr>
        <w:t>71.6</w:t>
      </w:r>
      <w:r>
        <w:rPr>
          <w:rFonts w:hint="eastAsia" w:eastAsia="仿宋_GB2312"/>
          <w:sz w:val="32"/>
          <w:szCs w:val="32"/>
        </w:rPr>
        <w:t>万元</w:t>
      </w:r>
      <w:r>
        <w:rPr>
          <w:rFonts w:hint="eastAsia" w:ascii="仿宋_GB2312" w:hAnsi="仿宋_GB2312" w:eastAsia="仿宋_GB2312" w:cs="仿宋_GB2312"/>
          <w:w w:val="95"/>
          <w:sz w:val="32"/>
          <w:szCs w:val="32"/>
        </w:rPr>
        <w:t>，</w:t>
      </w:r>
      <w:r>
        <w:rPr>
          <w:rFonts w:hint="eastAsia" w:eastAsia="仿宋_GB2312"/>
          <w:sz w:val="32"/>
          <w:szCs w:val="32"/>
        </w:rPr>
        <w:t>主要用于办公用品、专项设备等购买、租赁、维修；“同心工程”创建；</w:t>
      </w:r>
      <w:r>
        <w:rPr>
          <w:rFonts w:hint="eastAsia" w:eastAsia="仿宋_GB2312"/>
          <w:sz w:val="32"/>
          <w:szCs w:val="32"/>
          <w:lang w:eastAsia="zh-CN"/>
        </w:rPr>
        <w:t>党外知识分子联谊会、</w:t>
      </w:r>
      <w:r>
        <w:rPr>
          <w:rFonts w:hint="eastAsia" w:eastAsia="仿宋_GB2312"/>
          <w:sz w:val="32"/>
          <w:szCs w:val="32"/>
        </w:rPr>
        <w:t>新的社会阶层人士联谊会开展活动；团结党外代表人士；迎接省、常德市各项工作督查、调研、考核；公务接待及工作会议支出等方面；各项运行维护经费</w:t>
      </w:r>
      <w:r>
        <w:rPr>
          <w:rFonts w:eastAsia="仿宋_GB2312"/>
          <w:sz w:val="32"/>
          <w:szCs w:val="32"/>
        </w:rPr>
        <w:t>。</w:t>
      </w:r>
    </w:p>
    <w:p>
      <w:pPr>
        <w:numPr>
          <w:ilvl w:val="0"/>
          <w:numId w:val="2"/>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资金实际使用情况。</w:t>
      </w:r>
    </w:p>
    <w:p>
      <w:pPr>
        <w:numPr>
          <w:ilvl w:val="0"/>
          <w:numId w:val="0"/>
        </w:numPr>
        <w:adjustRightInd w:val="0"/>
        <w:snapToGrid w:val="0"/>
        <w:spacing w:line="600" w:lineRule="exact"/>
        <w:rPr>
          <w:rFonts w:hint="default" w:eastAsia="仿宋_GB2312"/>
          <w:sz w:val="32"/>
          <w:szCs w:val="32"/>
          <w:lang w:val="en-US" w:eastAsia="zh-CN"/>
        </w:rPr>
      </w:pPr>
      <w:r>
        <w:rPr>
          <w:rFonts w:hint="eastAsia" w:eastAsia="仿宋_GB2312"/>
          <w:sz w:val="32"/>
          <w:szCs w:val="32"/>
          <w:lang w:val="en-US" w:eastAsia="zh-CN"/>
        </w:rPr>
        <w:t xml:space="preserve">     本年度市委统战部资金主要用于</w:t>
      </w:r>
      <w:r>
        <w:rPr>
          <w:rFonts w:hint="eastAsia" w:eastAsia="仿宋_GB2312"/>
          <w:sz w:val="32"/>
          <w:szCs w:val="32"/>
        </w:rPr>
        <w:t>“同心工程”创建</w:t>
      </w:r>
      <w:r>
        <w:rPr>
          <w:rFonts w:hint="eastAsia" w:eastAsia="仿宋_GB2312"/>
          <w:sz w:val="32"/>
          <w:szCs w:val="32"/>
          <w:lang w:val="en-US" w:eastAsia="zh-CN"/>
        </w:rPr>
        <w:t>，</w:t>
      </w:r>
      <w:r>
        <w:rPr>
          <w:rFonts w:hint="eastAsia" w:eastAsia="仿宋_GB2312"/>
          <w:sz w:val="32"/>
          <w:szCs w:val="32"/>
          <w:lang w:eastAsia="zh-CN"/>
        </w:rPr>
        <w:t>党外知识分子联谊会、</w:t>
      </w:r>
      <w:r>
        <w:rPr>
          <w:rFonts w:hint="eastAsia" w:eastAsia="仿宋_GB2312"/>
          <w:sz w:val="32"/>
          <w:szCs w:val="32"/>
        </w:rPr>
        <w:t>新的社会阶层人士联谊会开展活动</w:t>
      </w:r>
      <w:r>
        <w:rPr>
          <w:rFonts w:hint="eastAsia" w:eastAsia="仿宋_GB2312"/>
          <w:sz w:val="32"/>
          <w:szCs w:val="32"/>
          <w:lang w:eastAsia="zh-CN"/>
        </w:rPr>
        <w:t>，日常办公及工作会议等方面。</w:t>
      </w:r>
      <w:r>
        <w:rPr>
          <w:rFonts w:hint="eastAsia" w:eastAsia="仿宋_GB2312"/>
          <w:sz w:val="32"/>
          <w:szCs w:val="32"/>
          <w:lang w:val="en-US" w:eastAsia="zh-CN"/>
        </w:rPr>
        <w:t>以同心美丽乡村建设为抓手，组织统一战线参与乡村振兴战略实施。万寿宫社区被授牌“省级同心社区”，大关山村被授牌“常德同心乡村”。五泉社区、樟树村正全力争创常德市级同心美丽乡村（社区）。开展“万企联村、共同发展”活动，引导非公人士参与村企共建服务大局。通过摸底调研、各方征询意见，经常委会审议通过，党外知识分子联谊会第二届会员代表大会成功召开，并组织各类主题学习活动。组织新的社会阶层人士开展建党一百周年座谈会，指导建设了以绿岛蓝湾为代表的新阶层人士实践创新基地项目，引导新的社会阶层人士担当新使命、展现新作为。</w:t>
      </w:r>
    </w:p>
    <w:p>
      <w:pPr>
        <w:numPr>
          <w:ilvl w:val="0"/>
          <w:numId w:val="2"/>
        </w:numPr>
        <w:adjustRightInd w:val="0"/>
        <w:snapToGrid w:val="0"/>
        <w:spacing w:line="600" w:lineRule="exact"/>
        <w:ind w:left="0" w:leftChars="0"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资金管理情况分析，主要包括管理制度、办法的制订及执行情况。</w:t>
      </w:r>
    </w:p>
    <w:p>
      <w:pPr>
        <w:numPr>
          <w:ilvl w:val="0"/>
          <w:numId w:val="0"/>
        </w:numPr>
        <w:adjustRightInd w:val="0"/>
        <w:snapToGrid w:val="0"/>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制定了《中共津市市委统战部内部控制管理制度》《中共津市市委统战部财务管理办法》，严格按照相关制度办法执行，确保了资金使用安全及合法。</w:t>
      </w:r>
    </w:p>
    <w:p>
      <w:pPr>
        <w:adjustRightInd w:val="0"/>
        <w:snapToGrid w:val="0"/>
        <w:spacing w:line="600" w:lineRule="exact"/>
        <w:ind w:firstLine="640" w:firstLineChars="200"/>
        <w:rPr>
          <w:rFonts w:eastAsia="黑体"/>
          <w:sz w:val="32"/>
          <w:szCs w:val="32"/>
        </w:rPr>
      </w:pPr>
      <w:r>
        <w:rPr>
          <w:rFonts w:eastAsia="黑体"/>
          <w:sz w:val="32"/>
          <w:szCs w:val="32"/>
        </w:rPr>
        <w:t>三、</w:t>
      </w:r>
      <w:r>
        <w:rPr>
          <w:rFonts w:hint="eastAsia" w:eastAsia="黑体"/>
          <w:sz w:val="32"/>
          <w:szCs w:val="32"/>
          <w:lang w:eastAsia="zh-CN"/>
        </w:rPr>
        <w:t>项目</w:t>
      </w:r>
      <w:r>
        <w:rPr>
          <w:rFonts w:eastAsia="黑体"/>
          <w:sz w:val="32"/>
          <w:szCs w:val="32"/>
        </w:rPr>
        <w:t>支出组织实施情况</w:t>
      </w:r>
    </w:p>
    <w:p>
      <w:pPr>
        <w:adjustRightInd w:val="0"/>
        <w:snapToGrid w:val="0"/>
        <w:spacing w:line="600" w:lineRule="exact"/>
        <w:ind w:firstLine="640" w:firstLineChars="200"/>
        <w:rPr>
          <w:rFonts w:hint="eastAsia" w:eastAsia="仿宋_GB2312"/>
          <w:sz w:val="32"/>
          <w:szCs w:val="32"/>
          <w:lang w:eastAsia="zh-CN"/>
        </w:rPr>
      </w:pPr>
      <w:r>
        <w:rPr>
          <w:rFonts w:eastAsia="仿宋_GB2312"/>
          <w:sz w:val="32"/>
          <w:szCs w:val="32"/>
        </w:rPr>
        <w:t>项目组织实施情况，主要包括项目招投标、调整、竣工验收等情况。</w:t>
      </w:r>
      <w:r>
        <w:rPr>
          <w:rFonts w:hint="eastAsia" w:eastAsia="仿宋_GB2312"/>
          <w:sz w:val="32"/>
          <w:szCs w:val="32"/>
          <w:lang w:eastAsia="zh-CN"/>
        </w:rPr>
        <w:t>本单位项目支出无招投标等建设工程项目。</w:t>
      </w:r>
    </w:p>
    <w:p>
      <w:pPr>
        <w:adjustRightInd w:val="0"/>
        <w:snapToGrid w:val="0"/>
        <w:spacing w:line="600" w:lineRule="exact"/>
        <w:ind w:firstLine="640" w:firstLineChars="200"/>
        <w:rPr>
          <w:rFonts w:eastAsia="黑体"/>
          <w:sz w:val="32"/>
          <w:szCs w:val="32"/>
        </w:rPr>
      </w:pPr>
      <w:r>
        <w:rPr>
          <w:rFonts w:eastAsia="黑体"/>
          <w:sz w:val="32"/>
          <w:szCs w:val="32"/>
        </w:rPr>
        <w:t>四、</w:t>
      </w:r>
      <w:r>
        <w:rPr>
          <w:rFonts w:hint="eastAsia" w:eastAsia="黑体"/>
          <w:sz w:val="32"/>
          <w:szCs w:val="32"/>
          <w:lang w:eastAsia="zh-CN"/>
        </w:rPr>
        <w:t>项目</w:t>
      </w:r>
      <w:r>
        <w:rPr>
          <w:rFonts w:eastAsia="黑体"/>
          <w:sz w:val="32"/>
          <w:szCs w:val="32"/>
        </w:rPr>
        <w:t>绩效情况</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主要从项目的经济性、效率性、有效性和可持续性等方面进行量化、具体分析。其中：</w:t>
      </w:r>
    </w:p>
    <w:p>
      <w:pPr>
        <w:adjustRightInd w:val="0"/>
        <w:snapToGrid w:val="0"/>
        <w:spacing w:line="600" w:lineRule="exact"/>
        <w:ind w:firstLine="640" w:firstLineChars="200"/>
        <w:rPr>
          <w:rFonts w:hint="eastAsia" w:eastAsia="仿宋_GB2312"/>
          <w:sz w:val="32"/>
          <w:szCs w:val="32"/>
          <w:lang w:eastAsia="zh-CN"/>
        </w:rPr>
      </w:pPr>
      <w:r>
        <w:rPr>
          <w:rFonts w:hint="eastAsia" w:eastAsia="仿宋_GB2312"/>
          <w:sz w:val="32"/>
          <w:szCs w:val="32"/>
        </w:rPr>
        <w:t>项目的经济性分析</w:t>
      </w:r>
      <w:r>
        <w:rPr>
          <w:rFonts w:hint="eastAsia" w:eastAsia="仿宋_GB2312"/>
          <w:sz w:val="32"/>
          <w:szCs w:val="32"/>
          <w:lang w:eastAsia="zh-CN"/>
        </w:rPr>
        <w:t>：本单位在对同心工程创建、知联会及新阶联开展活动过程中，严格按照经费预算开展工作，事前规划、节约成本，未产生超预算情况。</w:t>
      </w:r>
    </w:p>
    <w:p>
      <w:pPr>
        <w:adjustRightInd w:val="0"/>
        <w:snapToGrid w:val="0"/>
        <w:spacing w:line="600" w:lineRule="exact"/>
        <w:ind w:firstLine="640" w:firstLineChars="200"/>
        <w:rPr>
          <w:rFonts w:hint="eastAsia" w:eastAsia="仿宋_GB2312"/>
          <w:sz w:val="32"/>
          <w:szCs w:val="32"/>
          <w:lang w:eastAsia="zh-CN"/>
        </w:rPr>
      </w:pPr>
      <w:r>
        <w:rPr>
          <w:rFonts w:hint="eastAsia" w:eastAsia="仿宋_GB2312"/>
          <w:sz w:val="32"/>
          <w:szCs w:val="32"/>
        </w:rPr>
        <w:t>项目的效率性分析</w:t>
      </w:r>
      <w:r>
        <w:rPr>
          <w:rFonts w:hint="eastAsia" w:eastAsia="仿宋_GB2312"/>
          <w:sz w:val="32"/>
          <w:szCs w:val="32"/>
          <w:lang w:eastAsia="zh-CN"/>
        </w:rPr>
        <w:t>：本单位按照时间节点，成功创建</w:t>
      </w:r>
      <w:r>
        <w:rPr>
          <w:rFonts w:hint="eastAsia" w:eastAsia="仿宋_GB2312"/>
          <w:sz w:val="32"/>
          <w:szCs w:val="32"/>
          <w:lang w:val="en-US" w:eastAsia="zh-CN"/>
        </w:rPr>
        <w:t>2</w:t>
      </w:r>
      <w:r>
        <w:rPr>
          <w:rFonts w:hint="eastAsia" w:eastAsia="仿宋_GB2312"/>
          <w:sz w:val="32"/>
          <w:szCs w:val="32"/>
          <w:lang w:eastAsia="zh-CN"/>
        </w:rPr>
        <w:t>个常德市级同心示范点，顺利完成知联会换届工作。</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项目的有效性分析主要是对反映项目资金使用效果的个性指标进行分析；</w:t>
      </w:r>
    </w:p>
    <w:p>
      <w:pPr>
        <w:adjustRightInd w:val="0"/>
        <w:snapToGrid w:val="0"/>
        <w:spacing w:line="600" w:lineRule="exact"/>
        <w:ind w:firstLine="640" w:firstLineChars="200"/>
        <w:rPr>
          <w:rFonts w:eastAsia="仿宋_GB2312"/>
          <w:sz w:val="32"/>
          <w:szCs w:val="32"/>
        </w:rPr>
      </w:pPr>
      <w:r>
        <w:rPr>
          <w:rFonts w:hint="eastAsia" w:eastAsia="仿宋_GB2312"/>
          <w:sz w:val="32"/>
          <w:szCs w:val="32"/>
        </w:rPr>
        <w:t>项目的可持续性分析主要是对项目完成后，后续政策、资金、人员机构安排和管理措施等影响项目持续发展的因素进行分析。</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（一）后续工作计划。</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eastAsia="仿宋_GB2312"/>
          <w:sz w:val="32"/>
          <w:szCs w:val="32"/>
        </w:rPr>
        <w:t>科学合理编制预算，严格执行预算。进一步提高预算编制到位率，做准做全基本支出预算，做全项目支出预算，加强预算支出的审核、跟踪及预算执行情况分析，提高预算编制严谨性和可控性。</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（二）主要经验做法、存在的问题和建议。主要包括资金安排、使用过程中的经验、做法、存在的问题、改进措施和有关建议等。</w:t>
      </w:r>
    </w:p>
    <w:p>
      <w:pPr>
        <w:adjustRightInd w:val="0"/>
        <w:snapToGrid w:val="0"/>
        <w:spacing w:line="600" w:lineRule="exact"/>
        <w:ind w:firstLine="640" w:firstLineChars="200"/>
        <w:rPr>
          <w:rFonts w:eastAsia="黑体"/>
          <w:sz w:val="32"/>
          <w:szCs w:val="32"/>
        </w:rPr>
      </w:pPr>
      <w:r>
        <w:rPr>
          <w:rFonts w:hint="eastAsia" w:eastAsia="仿宋_GB2312"/>
          <w:sz w:val="32"/>
          <w:szCs w:val="32"/>
          <w:lang w:val="en-US" w:eastAsia="zh-CN"/>
        </w:rPr>
        <w:t>1.</w:t>
      </w:r>
      <w:r>
        <w:rPr>
          <w:rFonts w:eastAsia="仿宋_GB2312"/>
          <w:sz w:val="32"/>
          <w:szCs w:val="32"/>
        </w:rPr>
        <w:t>进一步加强项目资金管理。严格实行项目管理程序化，实现项目申报、实施、拨付、评价全流程监督与控制，规范专项资金管理，提高专项资金的使用效益。</w:t>
      </w:r>
    </w:p>
    <w:p>
      <w:pPr>
        <w:adjustRightInd w:val="0"/>
        <w:snapToGrid w:val="0"/>
        <w:spacing w:line="600" w:lineRule="exact"/>
        <w:ind w:firstLine="640" w:firstLineChars="200"/>
        <w:rPr>
          <w:rFonts w:eastAsia="仿宋_GB2312"/>
          <w:sz w:val="32"/>
          <w:szCs w:val="32"/>
        </w:rPr>
      </w:pPr>
      <w:r>
        <w:rPr>
          <w:rFonts w:hint="eastAsia" w:eastAsia="仿宋_GB2312"/>
          <w:sz w:val="32"/>
          <w:szCs w:val="32"/>
          <w:lang w:val="en-US" w:eastAsia="zh-CN"/>
        </w:rPr>
        <w:t>2.</w:t>
      </w:r>
      <w:r>
        <w:rPr>
          <w:rFonts w:eastAsia="仿宋_GB2312"/>
          <w:sz w:val="32"/>
          <w:szCs w:val="32"/>
        </w:rPr>
        <w:t>进一步完善内部管理制度，提升管理效能，更好地履行生态文明建设职能。</w:t>
      </w: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2"/>
        <w:tblW w:w="9999" w:type="dxa"/>
        <w:jc w:val="center"/>
        <w:tblLayout w:type="autofit"/>
        <w:tblCellMar>
          <w:top w:w="0" w:type="dxa"/>
          <w:left w:w="108" w:type="dxa"/>
          <w:bottom w:w="0" w:type="dxa"/>
          <w:right w:w="108" w:type="dxa"/>
        </w:tblCellMar>
      </w:tblPr>
      <w:tblGrid>
        <w:gridCol w:w="1135"/>
        <w:gridCol w:w="992"/>
        <w:gridCol w:w="1261"/>
        <w:gridCol w:w="1224"/>
        <w:gridCol w:w="1134"/>
        <w:gridCol w:w="1134"/>
        <w:gridCol w:w="828"/>
        <w:gridCol w:w="873"/>
        <w:gridCol w:w="1418"/>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rPr>
              <w:t>统战工作专项支出</w:t>
            </w: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color="auto" w:sz="4" w:space="0"/>
              <w:left w:val="nil"/>
              <w:bottom w:val="single" w:color="auto" w:sz="4" w:space="0"/>
              <w:right w:val="single" w:color="auto" w:sz="4" w:space="0"/>
            </w:tcBorders>
            <w:noWrap w:val="0"/>
            <w:vAlign w:val="center"/>
          </w:tcPr>
          <w:p>
            <w:pPr>
              <w:widowControl/>
              <w:tabs>
                <w:tab w:val="center" w:pos="2197"/>
              </w:tabs>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ab/>
              <w:t>市委统战部</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tabs>
                <w:tab w:val="center" w:pos="1451"/>
              </w:tabs>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ab/>
              <w:t>市委统战部</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71.6</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71.6</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71.6</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141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71.6</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71.6</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71.6</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141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71.6</w:t>
            </w:r>
            <w:r>
              <w:rPr>
                <w:rFonts w:hint="eastAsia" w:eastAsia="仿宋_GB2312"/>
                <w:color w:val="000000"/>
                <w:kern w:val="0"/>
                <w:szCs w:val="21"/>
              </w:rPr>
              <w:t>　</w:t>
            </w:r>
            <w:r>
              <w:rPr>
                <w:rFonts w:eastAsia="仿宋_GB2312"/>
                <w:color w:val="000000"/>
                <w:kern w:val="0"/>
                <w:szCs w:val="21"/>
              </w:rPr>
              <w:t>　　</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完成100%</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632"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同心工程创建数</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≥1个</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200%</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538"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督查、检查完成率</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100%</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100%</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537"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宣传信息上报</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100%</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100%</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446"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工作任务完成时间节点</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2021年12月31日</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2021年12月31日</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725"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支出成本控制额</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71.6万元</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71.6万元</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无</w:t>
            </w:r>
          </w:p>
        </w:tc>
        <w:tc>
          <w:tcPr>
            <w:tcW w:w="1134" w:type="dxa"/>
            <w:tcBorders>
              <w:top w:val="single" w:color="auto" w:sz="4" w:space="0"/>
              <w:left w:val="nil"/>
              <w:bottom w:val="single" w:color="auto" w:sz="4" w:space="0"/>
              <w:right w:val="single" w:color="auto" w:sz="4" w:space="0"/>
            </w:tcBorders>
            <w:noWrap w:val="0"/>
            <w:vAlign w:val="center"/>
          </w:tcPr>
          <w:p>
            <w:pPr>
              <w:jc w:val="center"/>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jc w:val="center"/>
              <w:rPr>
                <w:rFonts w:eastAsia="仿宋_GB2312"/>
                <w:color w:val="000000"/>
                <w:kern w:val="0"/>
                <w:szCs w:val="21"/>
              </w:rPr>
            </w:pPr>
          </w:p>
        </w:tc>
        <w:tc>
          <w:tcPr>
            <w:tcW w:w="828" w:type="dxa"/>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873" w:type="dxa"/>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提升服务能力</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优良</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优良</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注重环境保护</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优良</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优良</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92" w:type="dxa"/>
            <w:vMerge w:val="continue"/>
            <w:tcBorders>
              <w:left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保障党委重大决策落地落实</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精准</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精准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762"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61" w:type="dxa"/>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服务对象满意度</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≥95.3%</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服务对象满意度达               95.3%以上</w:t>
            </w:r>
          </w:p>
        </w:tc>
        <w:tc>
          <w:tcPr>
            <w:tcW w:w="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8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i w:val="0"/>
                <w:iCs w:val="0"/>
                <w:color w:val="000000"/>
                <w:kern w:val="0"/>
                <w:sz w:val="16"/>
                <w:szCs w:val="16"/>
                <w:u w:val="none"/>
                <w:lang w:val="en-US" w:eastAsia="zh-CN" w:bidi="ar"/>
              </w:rPr>
              <w:t>10</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100</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20" w:beforeLines="50"/>
      </w:pPr>
      <w:r>
        <w:rPr>
          <w:rFonts w:eastAsia="仿宋_GB2312"/>
          <w:sz w:val="24"/>
        </w:rPr>
        <w:t>填表人：</w:t>
      </w:r>
      <w:bookmarkStart w:id="0" w:name="_GoBack"/>
      <w:bookmarkEnd w:id="0"/>
      <w:r>
        <w:rPr>
          <w:rFonts w:eastAsia="仿宋_GB2312"/>
          <w:sz w:val="24"/>
        </w:rPr>
        <w:t xml:space="preserve">         填报日期：           联系电话：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363413"/>
    <w:multiLevelType w:val="singleLevel"/>
    <w:tmpl w:val="DA363413"/>
    <w:lvl w:ilvl="0" w:tentative="0">
      <w:start w:val="2"/>
      <w:numFmt w:val="chineseCounting"/>
      <w:suff w:val="nothing"/>
      <w:lvlText w:val="（%1）"/>
      <w:lvlJc w:val="left"/>
      <w:rPr>
        <w:rFonts w:hint="eastAsia"/>
      </w:rPr>
    </w:lvl>
  </w:abstractNum>
  <w:abstractNum w:abstractNumId="1">
    <w:nsid w:val="EA752E47"/>
    <w:multiLevelType w:val="singleLevel"/>
    <w:tmpl w:val="EA752E47"/>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CFE4450"/>
    <w:rsid w:val="0FFE74AF"/>
    <w:rsid w:val="15DC4E32"/>
    <w:rsid w:val="305B5409"/>
    <w:rsid w:val="3B0B4D7F"/>
    <w:rsid w:val="3C343492"/>
    <w:rsid w:val="487D713D"/>
    <w:rsid w:val="7CE21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2218</Words>
  <Characters>2254</Characters>
  <Lines>0</Lines>
  <Paragraphs>0</Paragraphs>
  <TotalTime>0</TotalTime>
  <ScaleCrop>false</ScaleCrop>
  <LinksUpToDate>false</LinksUpToDate>
  <CharactersWithSpaces>2419</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Administrator</cp:lastModifiedBy>
  <dcterms:modified xsi:type="dcterms:W3CDTF">2022-03-29T08:57:05Z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A63CACFC8CAF40158487FD1BFC1AE551</vt:lpwstr>
  </property>
</Properties>
</file>