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val="en-US" w:eastAsia="zh-CN"/>
        </w:rPr>
        <w:t>津市市统计局2021年度</w:t>
      </w:r>
      <w:r>
        <w:rPr>
          <w:rFonts w:eastAsia="方正小标宋_GBK"/>
          <w:sz w:val="36"/>
          <w:szCs w:val="36"/>
        </w:rPr>
        <w:t>部门整体支出</w:t>
      </w:r>
    </w:p>
    <w:p>
      <w:pPr>
        <w:spacing w:line="600" w:lineRule="exact"/>
        <w:jc w:val="center"/>
        <w:rPr>
          <w:rFonts w:eastAsia="方正小标宋_GBK"/>
          <w:sz w:val="32"/>
          <w:szCs w:val="32"/>
        </w:rPr>
      </w:pPr>
      <w:r>
        <w:rPr>
          <w:rFonts w:eastAsia="方正小标宋_GBK"/>
          <w:sz w:val="36"/>
          <w:szCs w:val="36"/>
        </w:rPr>
        <w:t>绩效报告</w:t>
      </w:r>
    </w:p>
    <w:p>
      <w:pPr>
        <w:spacing w:line="600" w:lineRule="exact"/>
        <w:jc w:val="center"/>
        <w:rPr>
          <w:rFonts w:eastAsia="方正小标宋_GBK"/>
          <w:sz w:val="32"/>
          <w:szCs w:val="32"/>
        </w:rPr>
      </w:pPr>
    </w:p>
    <w:p>
      <w:pPr>
        <w:pStyle w:val="6"/>
        <w:widowControl/>
        <w:spacing w:line="600" w:lineRule="exact"/>
        <w:rPr>
          <w:rFonts w:hint="eastAsia" w:ascii="Times New Roman" w:hAnsi="Times New Roman" w:eastAsia="黑体"/>
          <w:sz w:val="32"/>
          <w:szCs w:val="32"/>
        </w:rPr>
      </w:pPr>
      <w:r>
        <w:rPr>
          <w:rFonts w:eastAsia="仿宋"/>
          <w:sz w:val="32"/>
          <w:szCs w:val="32"/>
        </w:rPr>
        <w:t>为加强财政支出绩效管理，促进财政资金使用的科学化、合理化和精细化，根据</w:t>
      </w:r>
      <w:r>
        <w:rPr>
          <w:rFonts w:hint="eastAsia" w:eastAsia="仿宋"/>
          <w:sz w:val="32"/>
          <w:szCs w:val="32"/>
        </w:rPr>
        <w:t>《中共湖南省委办公厅 湖南省人民政府办公厅关于全面实施预算绩效管理的实施意见》（湘办发〔2019〕10号）、《湖南省预算支出绩效评价管理办法》（湘财绩[2020]7号）、《津市市财政局关于明确202</w:t>
      </w:r>
      <w:r>
        <w:rPr>
          <w:rFonts w:hint="eastAsia" w:eastAsia="仿宋"/>
          <w:sz w:val="32"/>
          <w:szCs w:val="32"/>
          <w:lang w:val="en-US" w:eastAsia="zh-CN"/>
        </w:rPr>
        <w:t>1</w:t>
      </w:r>
      <w:r>
        <w:rPr>
          <w:rFonts w:hint="eastAsia" w:eastAsia="仿宋"/>
          <w:sz w:val="32"/>
          <w:szCs w:val="32"/>
        </w:rPr>
        <w:t>年度预算绩效管理</w:t>
      </w:r>
      <w:r>
        <w:rPr>
          <w:rFonts w:hint="eastAsia" w:eastAsia="仿宋"/>
          <w:sz w:val="32"/>
          <w:szCs w:val="32"/>
          <w:lang w:eastAsia="zh-CN"/>
        </w:rPr>
        <w:t>目标</w:t>
      </w:r>
      <w:r>
        <w:rPr>
          <w:rFonts w:hint="eastAsia" w:eastAsia="仿宋"/>
          <w:sz w:val="32"/>
          <w:szCs w:val="32"/>
        </w:rPr>
        <w:t>任务的通知》(津财发[202</w:t>
      </w:r>
      <w:r>
        <w:rPr>
          <w:rFonts w:hint="default" w:eastAsia="仿宋"/>
          <w:sz w:val="32"/>
          <w:szCs w:val="32"/>
          <w:lang w:val="en-US" w:eastAsia="zh-CN"/>
        </w:rPr>
        <w:t>2</w:t>
      </w:r>
      <w:r>
        <w:rPr>
          <w:rFonts w:hint="eastAsia" w:eastAsia="仿宋"/>
          <w:sz w:val="32"/>
          <w:szCs w:val="32"/>
        </w:rPr>
        <w:t>]</w:t>
      </w:r>
      <w:r>
        <w:rPr>
          <w:rFonts w:hint="default" w:eastAsia="仿宋"/>
          <w:sz w:val="32"/>
          <w:szCs w:val="32"/>
          <w:lang w:val="en-US" w:eastAsia="zh-CN"/>
        </w:rPr>
        <w:t>3</w:t>
      </w:r>
      <w:r>
        <w:rPr>
          <w:rFonts w:hint="eastAsia" w:eastAsia="仿宋"/>
          <w:sz w:val="32"/>
          <w:szCs w:val="32"/>
        </w:rPr>
        <w:t>号)等</w:t>
      </w:r>
      <w:r>
        <w:rPr>
          <w:rFonts w:eastAsia="仿宋"/>
          <w:sz w:val="32"/>
          <w:szCs w:val="32"/>
        </w:rPr>
        <w:t>规定，对</w:t>
      </w:r>
      <w:r>
        <w:rPr>
          <w:rFonts w:hint="eastAsia" w:eastAsia="仿宋"/>
          <w:sz w:val="32"/>
          <w:szCs w:val="32"/>
          <w:lang w:val="en-US" w:eastAsia="zh-CN"/>
        </w:rPr>
        <w:t>2021年市市统计</w:t>
      </w:r>
      <w:r>
        <w:rPr>
          <w:rFonts w:hint="default" w:ascii="Times New Roman" w:hAnsi="Times New Roman" w:eastAsia="仿宋" w:cs="Times New Roman"/>
          <w:sz w:val="32"/>
          <w:szCs w:val="32"/>
          <w:lang w:eastAsia="zh-CN"/>
        </w:rPr>
        <w:t>局整体支出</w:t>
      </w:r>
      <w:r>
        <w:rPr>
          <w:rFonts w:hint="default" w:ascii="Times New Roman" w:hAnsi="Times New Roman" w:eastAsia="仿宋" w:cs="Times New Roman"/>
          <w:sz w:val="32"/>
          <w:szCs w:val="32"/>
        </w:rPr>
        <w:t>进行了绩效</w:t>
      </w:r>
      <w:r>
        <w:rPr>
          <w:rFonts w:hint="eastAsia" w:ascii="Times New Roman" w:hAnsi="Times New Roman" w:eastAsia="仿宋" w:cs="Times New Roman"/>
          <w:sz w:val="32"/>
          <w:szCs w:val="32"/>
          <w:lang w:val="en-US" w:eastAsia="zh-Hans"/>
        </w:rPr>
        <w:t>自评</w:t>
      </w:r>
      <w:r>
        <w:rPr>
          <w:rFonts w:eastAsia="仿宋"/>
          <w:sz w:val="32"/>
          <w:szCs w:val="32"/>
        </w:rPr>
        <w:t>，现将有关情况报告如下：</w:t>
      </w:r>
    </w:p>
    <w:p>
      <w:pPr>
        <w:pStyle w:val="6"/>
        <w:widowControl/>
        <w:numPr>
          <w:ilvl w:val="0"/>
          <w:numId w:val="1"/>
        </w:numPr>
        <w:spacing w:line="600" w:lineRule="exact"/>
        <w:ind w:left="640" w:firstLine="0" w:firstLineChars="0"/>
        <w:rPr>
          <w:rFonts w:ascii="Times New Roman" w:hAnsi="Times New Roman" w:eastAsia="黑体"/>
          <w:sz w:val="32"/>
          <w:szCs w:val="32"/>
        </w:rPr>
      </w:pPr>
      <w:r>
        <w:rPr>
          <w:rFonts w:ascii="Times New Roman" w:hAnsi="Times New Roman" w:eastAsia="黑体"/>
          <w:sz w:val="32"/>
          <w:szCs w:val="32"/>
        </w:rPr>
        <w:t>单位基本情况</w:t>
      </w:r>
    </w:p>
    <w:p>
      <w:pPr>
        <w:numPr>
          <w:ilvl w:val="0"/>
          <w:numId w:val="0"/>
        </w:numPr>
        <w:ind w:firstLine="643" w:firstLineChars="200"/>
        <w:rPr>
          <w:rFonts w:hint="default" w:ascii="楷体_GB2312" w:hAnsi="仿宋" w:eastAsia="楷体_GB2312" w:cs="Times New Roman"/>
          <w:b/>
          <w:bCs w:val="0"/>
          <w:kern w:val="2"/>
          <w:sz w:val="32"/>
          <w:szCs w:val="32"/>
          <w:lang w:val="en-US" w:eastAsia="zh-CN" w:bidi="ar-SA"/>
        </w:rPr>
      </w:pPr>
      <w:r>
        <w:rPr>
          <w:rFonts w:hint="eastAsia" w:ascii="楷体_GB2312" w:hAnsi="仿宋" w:eastAsia="楷体_GB2312" w:cs="Times New Roman"/>
          <w:b/>
          <w:bCs w:val="0"/>
          <w:kern w:val="2"/>
          <w:sz w:val="32"/>
          <w:szCs w:val="32"/>
          <w:lang w:val="en-US" w:eastAsia="zh-CN" w:bidi="ar-SA"/>
        </w:rPr>
        <w:t>（一）</w:t>
      </w:r>
      <w:r>
        <w:rPr>
          <w:rFonts w:hint="default" w:ascii="楷体_GB2312" w:hAnsi="仿宋" w:eastAsia="楷体_GB2312" w:cs="Times New Roman"/>
          <w:b/>
          <w:bCs w:val="0"/>
          <w:kern w:val="2"/>
          <w:sz w:val="32"/>
          <w:szCs w:val="32"/>
          <w:lang w:val="en-US" w:eastAsia="zh-CN" w:bidi="ar-SA"/>
        </w:rPr>
        <w:t>机构、人员构成</w:t>
      </w:r>
      <w:r>
        <w:rPr>
          <w:rFonts w:hint="eastAsia" w:ascii="楷体_GB2312" w:hAnsi="仿宋" w:eastAsia="楷体_GB2312" w:cs="Times New Roman"/>
          <w:b/>
          <w:bCs w:val="0"/>
          <w:kern w:val="2"/>
          <w:sz w:val="32"/>
          <w:szCs w:val="32"/>
          <w:lang w:val="en-US" w:eastAsia="zh-CN" w:bidi="ar-SA"/>
        </w:rPr>
        <w:t xml:space="preserve"> </w:t>
      </w:r>
    </w:p>
    <w:p>
      <w:pPr>
        <w:pStyle w:val="2"/>
        <w:ind w:firstLine="640" w:firstLineChars="200"/>
        <w:jc w:val="both"/>
        <w:rPr>
          <w:rFonts w:hint="default" w:eastAsia="仿宋"/>
          <w:lang w:val="en-US" w:eastAsia="zh-CN"/>
        </w:rPr>
      </w:pPr>
      <w:r>
        <w:rPr>
          <w:rFonts w:hint="eastAsia" w:eastAsia="仿宋"/>
          <w:sz w:val="32"/>
          <w:szCs w:val="32"/>
        </w:rPr>
        <w:t>津市市统计局</w:t>
      </w:r>
      <w:r>
        <w:rPr>
          <w:rFonts w:hint="eastAsia" w:ascii="仿宋_GB2312" w:hAnsi="仿宋" w:eastAsia="仿宋_GB2312"/>
          <w:sz w:val="32"/>
          <w:szCs w:val="32"/>
        </w:rPr>
        <w:t>为一级预算全额拨款行政单位，</w:t>
      </w:r>
      <w:r>
        <w:rPr>
          <w:rFonts w:hint="eastAsia" w:ascii="仿宋_GB2312" w:hAnsi="仿宋" w:eastAsia="仿宋_GB2312"/>
          <w:sz w:val="32"/>
          <w:szCs w:val="32"/>
          <w:lang w:eastAsia="zh-CN"/>
        </w:rPr>
        <w:t>局机关内设办公室等</w:t>
      </w:r>
      <w:r>
        <w:rPr>
          <w:rFonts w:hint="eastAsia" w:ascii="仿宋_GB2312" w:hAnsi="仿宋" w:eastAsia="仿宋_GB2312"/>
          <w:sz w:val="32"/>
          <w:szCs w:val="32"/>
          <w:lang w:val="en-US" w:eastAsia="zh-CN"/>
        </w:rPr>
        <w:t>4个股</w:t>
      </w:r>
      <w:r>
        <w:rPr>
          <w:rFonts w:hint="eastAsia" w:eastAsia="仿宋"/>
          <w:sz w:val="32"/>
          <w:szCs w:val="32"/>
          <w:lang w:val="en-US" w:eastAsia="zh-CN"/>
        </w:rPr>
        <w:t>室，直属事业单位有津市市城乡经济调查队等二个股级单位。</w:t>
      </w:r>
    </w:p>
    <w:p>
      <w:pPr>
        <w:pStyle w:val="6"/>
        <w:widowControl/>
        <w:spacing w:line="600" w:lineRule="exact"/>
        <w:ind w:firstLine="800" w:firstLineChars="250"/>
        <w:rPr>
          <w:rFonts w:hint="default" w:eastAsia="仿宋"/>
          <w:sz w:val="32"/>
          <w:szCs w:val="32"/>
        </w:rPr>
      </w:pPr>
      <w:r>
        <w:rPr>
          <w:rFonts w:hint="eastAsia" w:eastAsia="仿宋"/>
          <w:sz w:val="32"/>
          <w:szCs w:val="32"/>
        </w:rPr>
        <w:t>津市市统计局编制人员16人，其中：行政及参公编制11人，事业编制4人,工勤编制1人。编制内实有行政在职人员6人，参照公务员管理人员4人，事业编制</w:t>
      </w:r>
      <w:r>
        <w:rPr>
          <w:rFonts w:hint="eastAsia" w:eastAsia="仿宋"/>
          <w:sz w:val="32"/>
          <w:szCs w:val="32"/>
          <w:lang w:val="en-US" w:eastAsia="zh-CN"/>
        </w:rPr>
        <w:t>4</w:t>
      </w:r>
      <w:r>
        <w:rPr>
          <w:rFonts w:hint="eastAsia" w:eastAsia="仿宋"/>
          <w:sz w:val="32"/>
          <w:szCs w:val="32"/>
        </w:rPr>
        <w:t>人。</w:t>
      </w:r>
    </w:p>
    <w:p>
      <w:pPr>
        <w:numPr>
          <w:ilvl w:val="0"/>
          <w:numId w:val="0"/>
        </w:numPr>
        <w:ind w:firstLine="482" w:firstLineChars="150"/>
        <w:rPr>
          <w:rFonts w:hint="default" w:ascii="楷体_GB2312" w:hAnsi="仿宋" w:eastAsia="楷体_GB2312" w:cs="Times New Roman"/>
          <w:b/>
          <w:bCs w:val="0"/>
          <w:kern w:val="2"/>
          <w:sz w:val="32"/>
          <w:szCs w:val="32"/>
          <w:lang w:val="en-US" w:eastAsia="zh-CN" w:bidi="ar-SA"/>
        </w:rPr>
      </w:pPr>
      <w:r>
        <w:rPr>
          <w:rFonts w:hint="eastAsia" w:ascii="楷体_GB2312" w:hAnsi="仿宋" w:eastAsia="楷体_GB2312" w:cs="Times New Roman"/>
          <w:b/>
          <w:bCs w:val="0"/>
          <w:kern w:val="2"/>
          <w:sz w:val="32"/>
          <w:szCs w:val="32"/>
          <w:lang w:val="en-US" w:eastAsia="zh-CN" w:bidi="ar-SA"/>
        </w:rPr>
        <w:t>（二）</w:t>
      </w:r>
      <w:r>
        <w:rPr>
          <w:rFonts w:hint="default" w:ascii="楷体_GB2312" w:hAnsi="仿宋" w:eastAsia="楷体_GB2312" w:cs="Times New Roman"/>
          <w:b/>
          <w:bCs w:val="0"/>
          <w:kern w:val="2"/>
          <w:sz w:val="32"/>
          <w:szCs w:val="32"/>
          <w:lang w:val="en-US" w:eastAsia="zh-CN" w:bidi="ar-SA"/>
        </w:rPr>
        <w:t>单位主要职责</w:t>
      </w:r>
    </w:p>
    <w:p>
      <w:pPr>
        <w:numPr>
          <w:ilvl w:val="0"/>
          <w:numId w:val="0"/>
        </w:numPr>
        <w:ind w:left="630" w:leftChars="0"/>
        <w:rPr>
          <w:rFonts w:hint="eastAsia" w:ascii="仿宋_GB2312" w:hAnsi="仿宋" w:eastAsia="仿宋_GB2312"/>
          <w:sz w:val="32"/>
          <w:szCs w:val="32"/>
        </w:rPr>
      </w:pPr>
      <w:r>
        <w:rPr>
          <w:rFonts w:hint="default" w:ascii="仿宋_GB2312" w:hAnsi="仿宋" w:eastAsia="仿宋_GB2312"/>
          <w:sz w:val="32"/>
          <w:szCs w:val="32"/>
          <w:lang w:val="en-US"/>
        </w:rPr>
        <w:t>1.</w:t>
      </w:r>
      <w:r>
        <w:rPr>
          <w:rFonts w:hint="eastAsia" w:ascii="仿宋_GB2312" w:hAnsi="仿宋" w:eastAsia="仿宋_GB2312"/>
          <w:sz w:val="32"/>
          <w:szCs w:val="32"/>
        </w:rPr>
        <w:t>贯彻执行国家、省、常德市关于统计工作的方针政策和统计法律法规。</w:t>
      </w:r>
    </w:p>
    <w:p>
      <w:pPr>
        <w:ind w:firstLine="640" w:firstLineChars="200"/>
        <w:rPr>
          <w:rFonts w:hint="eastAsia" w:ascii="仿宋_GB2312" w:hAnsi="仿宋" w:eastAsia="仿宋_GB2312"/>
          <w:sz w:val="32"/>
          <w:szCs w:val="32"/>
        </w:rPr>
      </w:pPr>
      <w:r>
        <w:rPr>
          <w:rFonts w:hint="default" w:ascii="仿宋_GB2312" w:hAnsi="仿宋" w:eastAsia="仿宋_GB2312"/>
          <w:sz w:val="32"/>
          <w:szCs w:val="32"/>
          <w:lang w:val="en-US"/>
        </w:rPr>
        <w:t>2.</w:t>
      </w:r>
      <w:r>
        <w:rPr>
          <w:rFonts w:hint="eastAsia" w:ascii="仿宋_GB2312" w:hAnsi="仿宋" w:eastAsia="仿宋_GB2312"/>
          <w:sz w:val="32"/>
          <w:szCs w:val="32"/>
        </w:rPr>
        <w:t>监督检查统计法律法规的实施情况，查处各类违法行为。</w:t>
      </w:r>
    </w:p>
    <w:p>
      <w:pPr>
        <w:ind w:firstLine="640" w:firstLineChars="200"/>
        <w:rPr>
          <w:rFonts w:hint="eastAsia" w:ascii="仿宋_GB2312" w:hAnsi="仿宋" w:eastAsia="仿宋_GB2312"/>
          <w:sz w:val="32"/>
          <w:szCs w:val="32"/>
        </w:rPr>
      </w:pPr>
      <w:r>
        <w:rPr>
          <w:rFonts w:hint="default" w:ascii="仿宋_GB2312" w:hAnsi="仿宋" w:eastAsia="仿宋_GB2312"/>
          <w:sz w:val="32"/>
          <w:szCs w:val="32"/>
          <w:lang w:val="en-US"/>
        </w:rPr>
        <w:t>3.</w:t>
      </w:r>
      <w:r>
        <w:rPr>
          <w:rFonts w:hint="eastAsia" w:ascii="仿宋_GB2312" w:hAnsi="仿宋" w:eastAsia="仿宋_GB2312"/>
          <w:sz w:val="32"/>
          <w:szCs w:val="32"/>
        </w:rPr>
        <w:t>制定的组织实施全市统计改革及统计现代化建设规划和统计调查计划。</w:t>
      </w:r>
    </w:p>
    <w:p>
      <w:pPr>
        <w:ind w:firstLine="640" w:firstLineChars="200"/>
        <w:rPr>
          <w:rFonts w:hint="eastAsia" w:ascii="仿宋_GB2312" w:hAnsi="仿宋" w:eastAsia="仿宋_GB2312"/>
          <w:sz w:val="32"/>
          <w:szCs w:val="32"/>
        </w:rPr>
      </w:pPr>
      <w:r>
        <w:rPr>
          <w:rFonts w:hint="default" w:ascii="仿宋_GB2312" w:hAnsi="仿宋" w:eastAsia="仿宋_GB2312"/>
          <w:sz w:val="32"/>
          <w:szCs w:val="32"/>
          <w:lang w:val="en-US"/>
        </w:rPr>
        <w:t>4.</w:t>
      </w:r>
      <w:r>
        <w:rPr>
          <w:rFonts w:hint="eastAsia" w:ascii="仿宋_GB2312" w:hAnsi="仿宋" w:eastAsia="仿宋_GB2312"/>
          <w:sz w:val="32"/>
          <w:szCs w:val="32"/>
        </w:rPr>
        <w:t>组织实施全市的人口、经济、农业等大型普查；组织实施全市经济社会各行业的统计数据收集、汇总、整理工作。</w:t>
      </w:r>
    </w:p>
    <w:p>
      <w:pPr>
        <w:ind w:firstLine="640" w:firstLineChars="200"/>
        <w:rPr>
          <w:rFonts w:hint="eastAsia" w:ascii="仿宋_GB2312" w:hAnsi="仿宋" w:eastAsia="仿宋_GB2312"/>
          <w:sz w:val="32"/>
          <w:szCs w:val="32"/>
        </w:rPr>
      </w:pPr>
      <w:r>
        <w:rPr>
          <w:rFonts w:hint="default" w:ascii="仿宋_GB2312" w:hAnsi="仿宋" w:eastAsia="仿宋_GB2312"/>
          <w:sz w:val="32"/>
          <w:szCs w:val="32"/>
          <w:lang w:val="en-US"/>
        </w:rPr>
        <w:t>5.</w:t>
      </w:r>
      <w:r>
        <w:rPr>
          <w:rFonts w:hint="eastAsia" w:ascii="仿宋_GB2312" w:hAnsi="仿宋" w:eastAsia="仿宋_GB2312"/>
          <w:sz w:val="32"/>
          <w:szCs w:val="32"/>
        </w:rPr>
        <w:t>定期发布全市国民经济和社会发展的统计信息。</w:t>
      </w:r>
    </w:p>
    <w:p>
      <w:pPr>
        <w:ind w:firstLine="640" w:firstLineChars="200"/>
        <w:rPr>
          <w:rFonts w:hint="eastAsia" w:ascii="仿宋_GB2312" w:hAnsi="仿宋" w:eastAsia="仿宋_GB2312"/>
          <w:sz w:val="32"/>
          <w:szCs w:val="32"/>
        </w:rPr>
      </w:pPr>
      <w:r>
        <w:rPr>
          <w:rFonts w:hint="default" w:ascii="仿宋_GB2312" w:hAnsi="仿宋" w:eastAsia="仿宋_GB2312"/>
          <w:sz w:val="32"/>
          <w:szCs w:val="32"/>
          <w:lang w:val="en-US"/>
        </w:rPr>
        <w:t>6.</w:t>
      </w:r>
      <w:r>
        <w:rPr>
          <w:rFonts w:hint="eastAsia" w:ascii="仿宋_GB2312" w:hAnsi="仿宋" w:eastAsia="仿宋_GB2312"/>
          <w:sz w:val="32"/>
          <w:szCs w:val="32"/>
        </w:rPr>
        <w:t>向市委市政府及有关部门提供统计信息和咨询建议。</w:t>
      </w:r>
    </w:p>
    <w:p>
      <w:pPr>
        <w:ind w:firstLine="640" w:firstLineChars="200"/>
        <w:rPr>
          <w:rFonts w:hint="eastAsia" w:ascii="仿宋_GB2312" w:hAnsi="仿宋" w:eastAsia="仿宋_GB2312"/>
          <w:sz w:val="32"/>
          <w:szCs w:val="32"/>
        </w:rPr>
      </w:pPr>
      <w:r>
        <w:rPr>
          <w:rFonts w:hint="default" w:ascii="仿宋_GB2312" w:hAnsi="仿宋" w:eastAsia="仿宋_GB2312"/>
          <w:sz w:val="32"/>
          <w:szCs w:val="32"/>
          <w:lang w:val="en-US"/>
        </w:rPr>
        <w:t>7.</w:t>
      </w:r>
      <w:r>
        <w:rPr>
          <w:rFonts w:hint="eastAsia" w:ascii="仿宋_GB2312" w:hAnsi="仿宋" w:eastAsia="仿宋_GB2312"/>
          <w:sz w:val="32"/>
          <w:szCs w:val="32"/>
        </w:rPr>
        <w:t>依法指导和协调全市的统计业务工作，审核市直各部门的统计调查计划及方案。</w:t>
      </w:r>
    </w:p>
    <w:p>
      <w:pPr>
        <w:ind w:firstLine="640" w:firstLineChars="200"/>
        <w:rPr>
          <w:rFonts w:hint="eastAsia" w:ascii="仿宋_GB2312" w:hAnsi="仿宋" w:eastAsia="仿宋_GB2312"/>
          <w:sz w:val="32"/>
          <w:szCs w:val="32"/>
        </w:rPr>
      </w:pPr>
      <w:r>
        <w:rPr>
          <w:rFonts w:hint="default" w:ascii="仿宋_GB2312" w:hAnsi="仿宋" w:eastAsia="仿宋_GB2312"/>
          <w:sz w:val="32"/>
          <w:szCs w:val="32"/>
          <w:lang w:val="en-US"/>
        </w:rPr>
        <w:t>8.</w:t>
      </w:r>
      <w:r>
        <w:rPr>
          <w:rFonts w:hint="eastAsia" w:ascii="仿宋_GB2312" w:hAnsi="仿宋" w:eastAsia="仿宋_GB2312"/>
          <w:sz w:val="32"/>
          <w:szCs w:val="32"/>
        </w:rPr>
        <w:t>开展统计科研、统计教育、统计宣传和统计干部培训工作，会同有关部门承办的统计专业资格考试。</w:t>
      </w:r>
    </w:p>
    <w:p>
      <w:pPr>
        <w:ind w:firstLine="640" w:firstLineChars="200"/>
        <w:rPr>
          <w:rFonts w:hint="eastAsia" w:ascii="仿宋_GB2312" w:hAnsi="仿宋" w:eastAsia="仿宋_GB2312"/>
          <w:sz w:val="32"/>
          <w:szCs w:val="32"/>
        </w:rPr>
      </w:pPr>
      <w:r>
        <w:rPr>
          <w:rFonts w:hint="default" w:ascii="仿宋_GB2312" w:hAnsi="仿宋" w:eastAsia="仿宋_GB2312"/>
          <w:sz w:val="32"/>
          <w:szCs w:val="32"/>
          <w:lang w:val="en-US"/>
        </w:rPr>
        <w:t>9.</w:t>
      </w:r>
      <w:r>
        <w:rPr>
          <w:rFonts w:hint="eastAsia" w:ascii="仿宋_GB2312" w:hAnsi="仿宋" w:eastAsia="仿宋_GB2312"/>
          <w:sz w:val="32"/>
          <w:szCs w:val="32"/>
        </w:rPr>
        <w:t>建立健全统计数据库，指导基层单位加强统计基层建设。</w:t>
      </w:r>
    </w:p>
    <w:p>
      <w:pPr>
        <w:pStyle w:val="6"/>
        <w:widowControl/>
        <w:spacing w:line="600" w:lineRule="exact"/>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ind w:firstLine="800" w:firstLineChars="250"/>
        <w:rPr>
          <w:rFonts w:ascii="仿宋_GB2312" w:eastAsia="仿宋_GB2312"/>
          <w:sz w:val="32"/>
          <w:szCs w:val="32"/>
        </w:rPr>
      </w:pPr>
      <w:r>
        <w:rPr>
          <w:rFonts w:ascii="仿宋_GB2312" w:eastAsia="仿宋_GB2312"/>
          <w:sz w:val="32"/>
          <w:szCs w:val="32"/>
          <w:highlight w:val="none"/>
        </w:rPr>
        <w:t>20</w:t>
      </w:r>
      <w:r>
        <w:rPr>
          <w:rFonts w:hint="eastAsia" w:ascii="仿宋_GB2312" w:eastAsia="仿宋_GB2312"/>
          <w:sz w:val="32"/>
          <w:szCs w:val="32"/>
          <w:highlight w:val="none"/>
          <w:lang w:val="en-US" w:eastAsia="zh-CN"/>
        </w:rPr>
        <w:t>21</w:t>
      </w:r>
      <w:r>
        <w:rPr>
          <w:rFonts w:hint="eastAsia" w:ascii="仿宋_GB2312" w:eastAsia="仿宋_GB2312"/>
          <w:sz w:val="32"/>
          <w:szCs w:val="32"/>
          <w:highlight w:val="none"/>
        </w:rPr>
        <w:t>年度公共预算财</w:t>
      </w:r>
      <w:r>
        <w:rPr>
          <w:rFonts w:hint="eastAsia" w:ascii="仿宋_GB2312" w:eastAsia="仿宋_GB2312"/>
          <w:sz w:val="32"/>
          <w:szCs w:val="32"/>
        </w:rPr>
        <w:t>政拨款支出</w:t>
      </w:r>
      <w:r>
        <w:rPr>
          <w:rFonts w:hint="eastAsia" w:ascii="仿宋_GB2312" w:hAnsi="仿宋" w:eastAsia="仿宋_GB2312"/>
          <w:sz w:val="32"/>
          <w:szCs w:val="32"/>
          <w:lang w:val="en-US" w:eastAsia="zh-CN"/>
        </w:rPr>
        <w:t>464.12</w:t>
      </w:r>
      <w:r>
        <w:rPr>
          <w:rFonts w:hint="eastAsia" w:ascii="仿宋_GB2312" w:eastAsia="仿宋_GB2312"/>
          <w:sz w:val="32"/>
          <w:szCs w:val="32"/>
        </w:rPr>
        <w:t>万元</w:t>
      </w:r>
      <w:r>
        <w:rPr>
          <w:rStyle w:val="7"/>
          <w:rFonts w:hint="eastAsia" w:ascii="仿宋_GB2312" w:hAnsi="仿宋" w:eastAsia="仿宋_GB2312" w:cs="仿宋_GB2312"/>
          <w:sz w:val="32"/>
          <w:szCs w:val="32"/>
        </w:rPr>
        <w:t>，年初安排公共财政预算资金预算</w:t>
      </w:r>
      <w:r>
        <w:rPr>
          <w:rFonts w:hint="eastAsia" w:ascii="仿宋_GB2312" w:hAnsi="仿宋" w:eastAsia="仿宋_GB2312"/>
          <w:sz w:val="32"/>
          <w:szCs w:val="32"/>
        </w:rPr>
        <w:t>384.25</w:t>
      </w:r>
      <w:r>
        <w:rPr>
          <w:rStyle w:val="7"/>
          <w:rFonts w:hint="eastAsia" w:ascii="仿宋_GB2312" w:hAnsi="仿宋" w:eastAsia="仿宋_GB2312" w:cs="仿宋_GB2312"/>
          <w:sz w:val="32"/>
          <w:szCs w:val="32"/>
        </w:rPr>
        <w:t>万元。其中</w:t>
      </w:r>
      <w:r>
        <w:rPr>
          <w:rStyle w:val="7"/>
          <w:rFonts w:ascii="仿宋_GB2312" w:hAnsi="仿宋" w:eastAsia="仿宋_GB2312" w:cs="仿宋_GB2312"/>
          <w:sz w:val="32"/>
          <w:szCs w:val="32"/>
        </w:rPr>
        <w:t>:</w:t>
      </w:r>
      <w:r>
        <w:rPr>
          <w:rStyle w:val="7"/>
          <w:rFonts w:hint="eastAsia" w:ascii="仿宋_GB2312" w:hAnsi="仿宋" w:eastAsia="仿宋_GB2312" w:cs="仿宋_GB2312"/>
          <w:sz w:val="32"/>
          <w:szCs w:val="32"/>
        </w:rPr>
        <w:t>公共财政预算的基本支出项目资金预算</w:t>
      </w:r>
      <w:r>
        <w:rPr>
          <w:rStyle w:val="7"/>
          <w:rFonts w:hint="eastAsia" w:ascii="仿宋_GB2312" w:hAnsi="仿宋" w:eastAsia="仿宋_GB2312" w:cs="仿宋_GB2312"/>
          <w:sz w:val="32"/>
          <w:szCs w:val="32"/>
          <w:lang w:val="en-US" w:eastAsia="zh-CN"/>
        </w:rPr>
        <w:t>246.38</w:t>
      </w:r>
      <w:r>
        <w:rPr>
          <w:rStyle w:val="7"/>
          <w:rFonts w:hint="eastAsia" w:ascii="仿宋_GB2312" w:hAnsi="仿宋" w:eastAsia="仿宋_GB2312" w:cs="仿宋_GB2312"/>
          <w:sz w:val="32"/>
          <w:szCs w:val="32"/>
        </w:rPr>
        <w:t>万元，项目支出预算</w:t>
      </w:r>
      <w:r>
        <w:rPr>
          <w:rStyle w:val="7"/>
          <w:rFonts w:hint="eastAsia" w:ascii="仿宋_GB2312" w:hAnsi="仿宋" w:eastAsia="仿宋_GB2312" w:cs="仿宋_GB2312"/>
          <w:sz w:val="32"/>
          <w:szCs w:val="32"/>
          <w:lang w:val="en-US" w:eastAsia="zh-CN"/>
        </w:rPr>
        <w:t>217.74</w:t>
      </w:r>
      <w:r>
        <w:rPr>
          <w:rStyle w:val="7"/>
          <w:rFonts w:hint="eastAsia" w:ascii="仿宋_GB2312" w:hAnsi="仿宋" w:eastAsia="仿宋_GB2312" w:cs="仿宋_GB2312"/>
          <w:sz w:val="32"/>
          <w:szCs w:val="32"/>
        </w:rPr>
        <w:t>万元。</w:t>
      </w:r>
    </w:p>
    <w:p>
      <w:pPr>
        <w:numPr>
          <w:ilvl w:val="0"/>
          <w:numId w:val="0"/>
        </w:numPr>
        <w:ind w:firstLine="643" w:firstLineChars="200"/>
        <w:rPr>
          <w:rFonts w:hint="eastAsia" w:ascii="楷体_GB2312" w:hAnsi="仿宋" w:eastAsia="楷体_GB2312" w:cs="Times New Roman"/>
          <w:b/>
          <w:bCs w:val="0"/>
          <w:kern w:val="2"/>
          <w:sz w:val="32"/>
          <w:szCs w:val="32"/>
          <w:lang w:val="en-US" w:eastAsia="zh-CN" w:bidi="ar-SA"/>
        </w:rPr>
      </w:pPr>
      <w:r>
        <w:rPr>
          <w:rFonts w:hint="eastAsia" w:ascii="楷体_GB2312" w:hAnsi="仿宋" w:eastAsia="楷体_GB2312" w:cs="Times New Roman"/>
          <w:b/>
          <w:bCs w:val="0"/>
          <w:kern w:val="2"/>
          <w:sz w:val="32"/>
          <w:szCs w:val="32"/>
          <w:lang w:val="en-US" w:eastAsia="zh-CN" w:bidi="ar-SA"/>
        </w:rPr>
        <w:t>（一）基本支出情况</w:t>
      </w:r>
    </w:p>
    <w:p>
      <w:pPr>
        <w:pStyle w:val="3"/>
        <w:widowControl/>
        <w:tabs>
          <w:tab w:val="left" w:pos="5565"/>
        </w:tabs>
        <w:spacing w:beforeAutospacing="0" w:afterAutospacing="0" w:line="560" w:lineRule="exact"/>
        <w:ind w:firstLine="800" w:firstLineChars="250"/>
        <w:rPr>
          <w:rFonts w:ascii="Times New Roman" w:hAnsi="Times New Roman" w:eastAsia="黑体"/>
          <w:sz w:val="32"/>
          <w:szCs w:val="32"/>
        </w:rPr>
      </w:pPr>
      <w:r>
        <w:rPr>
          <w:rFonts w:hint="eastAsia" w:eastAsia="仿宋"/>
          <w:sz w:val="32"/>
          <w:szCs w:val="32"/>
          <w:lang w:val="en-US" w:eastAsia="zh-CN"/>
        </w:rPr>
        <w:t>2021年度基本支出246.38万元，其中包括：工资福利支出164.32万元、一般商品和服务支出74.27万元、对个人和家庭补助支出0.86万元，资本性支出6.93万元。</w:t>
      </w:r>
    </w:p>
    <w:p>
      <w:pPr>
        <w:numPr>
          <w:ilvl w:val="0"/>
          <w:numId w:val="2"/>
        </w:numPr>
        <w:ind w:left="407" w:leftChars="0" w:firstLine="643" w:firstLineChars="0"/>
        <w:rPr>
          <w:rFonts w:hint="eastAsia" w:ascii="楷体_GB2312" w:hAnsi="仿宋" w:eastAsia="楷体_GB2312" w:cs="Times New Roman"/>
          <w:b/>
          <w:bCs w:val="0"/>
          <w:kern w:val="2"/>
          <w:sz w:val="32"/>
          <w:szCs w:val="32"/>
          <w:lang w:val="en-US" w:eastAsia="zh-CN" w:bidi="ar-SA"/>
        </w:rPr>
      </w:pPr>
      <w:r>
        <w:rPr>
          <w:rFonts w:hint="eastAsia" w:ascii="楷体_GB2312" w:hAnsi="仿宋" w:eastAsia="楷体_GB2312" w:cs="Times New Roman"/>
          <w:b/>
          <w:bCs w:val="0"/>
          <w:kern w:val="2"/>
          <w:sz w:val="32"/>
          <w:szCs w:val="32"/>
          <w:lang w:val="en-US" w:eastAsia="zh-CN" w:bidi="ar-SA"/>
        </w:rPr>
        <w:t>项目支出情况</w:t>
      </w:r>
    </w:p>
    <w:p>
      <w:pPr>
        <w:pStyle w:val="2"/>
        <w:numPr>
          <w:ilvl w:val="0"/>
          <w:numId w:val="0"/>
        </w:numPr>
        <w:ind w:firstLine="960" w:firstLineChars="300"/>
        <w:jc w:val="both"/>
        <w:rPr>
          <w:rFonts w:hint="eastAsia" w:eastAsia="仿宋"/>
          <w:sz w:val="32"/>
          <w:szCs w:val="32"/>
          <w:lang w:val="en-US" w:eastAsia="zh-CN"/>
        </w:rPr>
      </w:pPr>
      <w:r>
        <w:rPr>
          <w:rFonts w:eastAsia="仿宋_GB2312"/>
          <w:sz w:val="32"/>
          <w:szCs w:val="32"/>
        </w:rPr>
        <w:t>一是</w:t>
      </w:r>
      <w:r>
        <w:rPr>
          <w:rFonts w:hint="eastAsia" w:eastAsia="仿宋_GB2312"/>
          <w:sz w:val="32"/>
          <w:szCs w:val="32"/>
          <w:lang w:val="en-US" w:eastAsia="zh-CN"/>
        </w:rPr>
        <w:t>2021</w:t>
      </w:r>
      <w:r>
        <w:rPr>
          <w:rFonts w:eastAsia="仿宋_GB2312"/>
          <w:sz w:val="32"/>
          <w:szCs w:val="32"/>
        </w:rPr>
        <w:t>年度专项资金安排和使用管理情况</w:t>
      </w:r>
      <w:r>
        <w:rPr>
          <w:rFonts w:hint="eastAsia" w:eastAsia="仿宋_GB2312"/>
          <w:sz w:val="32"/>
          <w:szCs w:val="32"/>
          <w:lang w:eastAsia="zh-CN"/>
        </w:rPr>
        <w:t>。</w:t>
      </w:r>
      <w:r>
        <w:rPr>
          <w:rFonts w:hint="eastAsia" w:eastAsia="仿宋"/>
          <w:sz w:val="32"/>
          <w:szCs w:val="32"/>
          <w:lang w:val="en-US" w:eastAsia="zh-CN"/>
        </w:rPr>
        <w:t>2021年，纳入预算的专项有8个，预算资金184万元。其中：年初预算城乡住户收支调查等4个项目44万元， 第七次全国人口普查等4个项目140万元，上年结转39.06万元，为第七次全国人口普查经费。年末结转结余专项指标涉及2个项目24.84万元。项目资金实际支出217.74万元。主要项目使用的情况如下：</w:t>
      </w:r>
    </w:p>
    <w:tbl>
      <w:tblPr>
        <w:tblStyle w:val="4"/>
        <w:tblW w:w="868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00"/>
        <w:gridCol w:w="1590"/>
        <w:gridCol w:w="1650"/>
        <w:gridCol w:w="1500"/>
        <w:gridCol w:w="15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685" w:type="dxa"/>
            <w:gridSpan w:val="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仿宋_GB2312" w:hAnsi="宋体" w:eastAsia="仿宋_GB2312" w:cs="仿宋_GB2312"/>
                <w:i w:val="0"/>
                <w:iCs w:val="0"/>
                <w:color w:val="000000"/>
                <w:sz w:val="32"/>
                <w:szCs w:val="32"/>
                <w:u w:val="none"/>
              </w:rPr>
            </w:pPr>
            <w:r>
              <w:rPr>
                <w:rFonts w:hint="eastAsia" w:ascii="仿宋_GB2312" w:hAnsi="宋体" w:eastAsia="仿宋_GB2312" w:cs="仿宋_GB2312"/>
                <w:i w:val="0"/>
                <w:iCs w:val="0"/>
                <w:color w:val="000000"/>
                <w:kern w:val="0"/>
                <w:sz w:val="32"/>
                <w:szCs w:val="32"/>
                <w:u w:val="none"/>
                <w:lang w:val="en-US" w:eastAsia="zh-CN" w:bidi="ar"/>
              </w:rPr>
              <w:t>2021年决算主要项目支出情况表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0" w:type="auto"/>
            <w:tcBorders>
              <w:top w:val="nil"/>
              <w:left w:val="nil"/>
              <w:bottom w:val="nil"/>
              <w:right w:val="nil"/>
            </w:tcBorders>
            <w:shd w:val="clear" w:color="auto" w:fill="auto"/>
            <w:noWrap/>
            <w:vAlign w:val="center"/>
          </w:tcPr>
          <w:p>
            <w:pPr>
              <w:jc w:val="center"/>
              <w:rPr>
                <w:rFonts w:hint="eastAsia" w:ascii="仿宋_GB2312" w:hAnsi="宋体" w:eastAsia="仿宋_GB2312" w:cs="仿宋_GB2312"/>
                <w:i w:val="0"/>
                <w:iCs w:val="0"/>
                <w:color w:val="000000"/>
                <w:sz w:val="32"/>
                <w:szCs w:val="32"/>
                <w:u w:val="none"/>
              </w:rPr>
            </w:pPr>
          </w:p>
        </w:tc>
        <w:tc>
          <w:tcPr>
            <w:tcW w:w="0" w:type="auto"/>
            <w:gridSpan w:val="2"/>
            <w:tcBorders>
              <w:top w:val="nil"/>
              <w:left w:val="nil"/>
              <w:bottom w:val="nil"/>
              <w:right w:val="nil"/>
            </w:tcBorders>
            <w:shd w:val="clear" w:color="auto" w:fill="auto"/>
            <w:noWrap/>
            <w:vAlign w:val="center"/>
          </w:tcPr>
          <w:p>
            <w:pPr>
              <w:jc w:val="center"/>
              <w:rPr>
                <w:rFonts w:hint="eastAsia" w:ascii="仿宋_GB2312" w:hAnsi="宋体" w:eastAsia="仿宋_GB2312" w:cs="仿宋_GB2312"/>
                <w:i w:val="0"/>
                <w:iCs w:val="0"/>
                <w:color w:val="000000"/>
                <w:sz w:val="32"/>
                <w:szCs w:val="32"/>
                <w:u w:val="none"/>
              </w:rPr>
            </w:pPr>
          </w:p>
        </w:tc>
        <w:tc>
          <w:tcPr>
            <w:tcW w:w="0" w:type="auto"/>
            <w:tcBorders>
              <w:top w:val="nil"/>
              <w:left w:val="nil"/>
              <w:bottom w:val="nil"/>
              <w:right w:val="nil"/>
            </w:tcBorders>
            <w:shd w:val="clear" w:color="auto" w:fill="auto"/>
            <w:noWrap/>
            <w:vAlign w:val="center"/>
          </w:tcPr>
          <w:p>
            <w:pPr>
              <w:jc w:val="center"/>
              <w:rPr>
                <w:rFonts w:hint="eastAsia" w:ascii="仿宋_GB2312" w:hAnsi="宋体" w:eastAsia="仿宋_GB2312" w:cs="仿宋_GB2312"/>
                <w:i w:val="0"/>
                <w:iCs w:val="0"/>
                <w:color w:val="000000"/>
                <w:sz w:val="32"/>
                <w:szCs w:val="32"/>
                <w:u w:val="none"/>
              </w:rPr>
            </w:pP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w:t>
            </w:r>
            <w:r>
              <w:rPr>
                <w:rFonts w:hint="eastAsia" w:ascii="宋体" w:hAnsi="宋体" w:cs="宋体"/>
                <w:i w:val="0"/>
                <w:iCs w:val="0"/>
                <w:color w:val="000000"/>
                <w:kern w:val="0"/>
                <w:sz w:val="18"/>
                <w:szCs w:val="18"/>
                <w:u w:val="none"/>
                <w:lang w:val="en-US" w:eastAsia="zh-CN" w:bidi="ar"/>
              </w:rPr>
              <w:t>万</w:t>
            </w:r>
            <w:r>
              <w:rPr>
                <w:rFonts w:hint="eastAsia" w:ascii="宋体" w:hAnsi="宋体" w:eastAsia="宋体" w:cs="宋体"/>
                <w:i w:val="0"/>
                <w:iCs w:val="0"/>
                <w:color w:val="000000"/>
                <w:kern w:val="0"/>
                <w:sz w:val="18"/>
                <w:szCs w:val="18"/>
                <w:u w:val="none"/>
                <w:lang w:val="en-US" w:eastAsia="zh-CN" w:bidi="ar"/>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本年到位              （含上年结转）</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实际使用</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4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城乡住户收支调查</w:t>
            </w:r>
          </w:p>
        </w:tc>
        <w:tc>
          <w:tcPr>
            <w:tcW w:w="15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r>
              <w:rPr>
                <w:rFonts w:hint="default" w:ascii="宋体" w:hAnsi="宋体" w:cs="宋体"/>
                <w:i w:val="0"/>
                <w:iCs w:val="0"/>
                <w:color w:val="000000"/>
                <w:kern w:val="0"/>
                <w:sz w:val="18"/>
                <w:szCs w:val="18"/>
                <w:u w:val="none"/>
                <w:lang w:val="en-US" w:eastAsia="zh-CN" w:bidi="ar"/>
              </w:rPr>
              <w:t>0</w:t>
            </w:r>
            <w:r>
              <w:rPr>
                <w:rFonts w:hint="eastAsia" w:ascii="宋体" w:hAnsi="宋体" w:eastAsia="宋体" w:cs="宋体"/>
                <w:i w:val="0"/>
                <w:iCs w:val="0"/>
                <w:color w:val="000000"/>
                <w:kern w:val="0"/>
                <w:sz w:val="18"/>
                <w:szCs w:val="18"/>
                <w:u w:val="none"/>
                <w:lang w:val="en-US" w:eastAsia="zh-CN" w:bidi="ar"/>
              </w:rPr>
              <w:t>.00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r>
              <w:rPr>
                <w:rFonts w:hint="default" w:ascii="宋体" w:hAnsi="宋体" w:cs="宋体"/>
                <w:i w:val="0"/>
                <w:iCs w:val="0"/>
                <w:color w:val="000000"/>
                <w:kern w:val="0"/>
                <w:sz w:val="18"/>
                <w:szCs w:val="18"/>
                <w:u w:val="none"/>
                <w:lang w:val="en-US" w:eastAsia="zh-CN" w:bidi="ar"/>
              </w:rPr>
              <w:t>0</w:t>
            </w:r>
            <w:r>
              <w:rPr>
                <w:rFonts w:hint="eastAsia" w:ascii="宋体" w:hAnsi="宋体" w:eastAsia="宋体" w:cs="宋体"/>
                <w:i w:val="0"/>
                <w:iCs w:val="0"/>
                <w:color w:val="000000"/>
                <w:kern w:val="0"/>
                <w:sz w:val="18"/>
                <w:szCs w:val="18"/>
                <w:u w:val="none"/>
                <w:lang w:val="en-US" w:eastAsia="zh-CN" w:bidi="ar"/>
              </w:rPr>
              <w:t>.00</w:t>
            </w:r>
          </w:p>
        </w:tc>
        <w:tc>
          <w:tcPr>
            <w:tcW w:w="15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bookmarkStart w:id="0" w:name="_GoBack"/>
            <w:bookmarkEnd w:id="0"/>
            <w:r>
              <w:rPr>
                <w:rFonts w:hint="eastAsia" w:ascii="宋体" w:hAnsi="宋体" w:eastAsia="宋体" w:cs="宋体"/>
                <w:i w:val="0"/>
                <w:iCs w:val="0"/>
                <w:color w:val="000000"/>
                <w:kern w:val="0"/>
                <w:sz w:val="18"/>
                <w:szCs w:val="18"/>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4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抽样调查统计</w:t>
            </w:r>
          </w:p>
        </w:tc>
        <w:tc>
          <w:tcPr>
            <w:tcW w:w="15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25.00</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default" w:ascii="宋体" w:hAnsi="宋体" w:cs="宋体"/>
                <w:i w:val="0"/>
                <w:iCs w:val="0"/>
                <w:color w:val="000000"/>
                <w:kern w:val="0"/>
                <w:sz w:val="18"/>
                <w:szCs w:val="18"/>
                <w:u w:val="none"/>
                <w:lang w:val="en-US" w:eastAsia="zh-CN" w:bidi="ar"/>
              </w:rPr>
              <w:t>6</w:t>
            </w:r>
            <w:r>
              <w:rPr>
                <w:rFonts w:hint="eastAsia" w:ascii="宋体" w:hAnsi="宋体" w:eastAsia="宋体" w:cs="宋体"/>
                <w:i w:val="0"/>
                <w:iCs w:val="0"/>
                <w:color w:val="000000"/>
                <w:kern w:val="0"/>
                <w:sz w:val="18"/>
                <w:szCs w:val="18"/>
                <w:u w:val="none"/>
                <w:lang w:val="en-US" w:eastAsia="zh-CN" w:bidi="ar"/>
              </w:rPr>
              <w:t>.00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default" w:ascii="宋体" w:hAnsi="宋体" w:cs="宋体"/>
                <w:i w:val="0"/>
                <w:iCs w:val="0"/>
                <w:color w:val="000000"/>
                <w:kern w:val="0"/>
                <w:sz w:val="18"/>
                <w:szCs w:val="18"/>
                <w:u w:val="none"/>
                <w:lang w:val="en-US" w:eastAsia="zh-CN" w:bidi="ar"/>
              </w:rPr>
              <w:t>6</w:t>
            </w:r>
            <w:r>
              <w:rPr>
                <w:rFonts w:hint="eastAsia" w:ascii="宋体" w:hAnsi="宋体" w:eastAsia="宋体" w:cs="宋体"/>
                <w:i w:val="0"/>
                <w:iCs w:val="0"/>
                <w:color w:val="000000"/>
                <w:kern w:val="0"/>
                <w:sz w:val="18"/>
                <w:szCs w:val="18"/>
                <w:u w:val="none"/>
                <w:lang w:val="en-US" w:eastAsia="zh-CN" w:bidi="ar"/>
              </w:rPr>
              <w:t>.00</w:t>
            </w:r>
          </w:p>
        </w:tc>
        <w:tc>
          <w:tcPr>
            <w:tcW w:w="15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4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畜禽监测统计</w:t>
            </w:r>
          </w:p>
        </w:tc>
        <w:tc>
          <w:tcPr>
            <w:tcW w:w="15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w:t>
            </w:r>
          </w:p>
        </w:tc>
        <w:tc>
          <w:tcPr>
            <w:tcW w:w="15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4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年鉴编印</w:t>
            </w:r>
          </w:p>
        </w:tc>
        <w:tc>
          <w:tcPr>
            <w:tcW w:w="15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w:t>
            </w:r>
          </w:p>
        </w:tc>
        <w:tc>
          <w:tcPr>
            <w:tcW w:w="15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4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第七次全国人口普查</w:t>
            </w:r>
          </w:p>
        </w:tc>
        <w:tc>
          <w:tcPr>
            <w:tcW w:w="15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60.00</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99.06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80.11</w:t>
            </w:r>
          </w:p>
        </w:tc>
        <w:tc>
          <w:tcPr>
            <w:tcW w:w="15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4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工业统计</w:t>
            </w:r>
          </w:p>
        </w:tc>
        <w:tc>
          <w:tcPr>
            <w:tcW w:w="15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7.00</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15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4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劳动力调查</w:t>
            </w:r>
          </w:p>
        </w:tc>
        <w:tc>
          <w:tcPr>
            <w:tcW w:w="15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15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4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统计工作经费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37.00</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43.00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37.13</w:t>
            </w:r>
          </w:p>
        </w:tc>
        <w:tc>
          <w:tcPr>
            <w:tcW w:w="15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400" w:type="dxa"/>
            <w:tcBorders>
              <w:top w:val="nil"/>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上级补助</w:t>
            </w:r>
          </w:p>
        </w:tc>
        <w:tc>
          <w:tcPr>
            <w:tcW w:w="15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35.90</w:t>
            </w:r>
          </w:p>
        </w:tc>
        <w:tc>
          <w:tcPr>
            <w:tcW w:w="15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35.90</w:t>
            </w:r>
          </w:p>
        </w:tc>
        <w:tc>
          <w:tcPr>
            <w:tcW w:w="15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5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184.00</w:t>
            </w:r>
          </w:p>
        </w:tc>
        <w:tc>
          <w:tcPr>
            <w:tcW w:w="165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241.96</w:t>
            </w:r>
          </w:p>
        </w:tc>
        <w:tc>
          <w:tcPr>
            <w:tcW w:w="15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217.14</w:t>
            </w:r>
          </w:p>
        </w:tc>
        <w:tc>
          <w:tcPr>
            <w:tcW w:w="154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24.82</w:t>
            </w:r>
          </w:p>
        </w:tc>
      </w:tr>
    </w:tbl>
    <w:p>
      <w:pPr>
        <w:pStyle w:val="2"/>
        <w:jc w:val="left"/>
        <w:rPr>
          <w:rFonts w:hint="default" w:eastAsia="仿宋"/>
          <w:sz w:val="32"/>
          <w:szCs w:val="32"/>
          <w:lang w:val="en-US" w:eastAsia="zh-CN"/>
        </w:rPr>
      </w:pPr>
    </w:p>
    <w:p>
      <w:pPr>
        <w:pStyle w:val="3"/>
        <w:widowControl/>
        <w:tabs>
          <w:tab w:val="left" w:pos="5565"/>
        </w:tabs>
        <w:spacing w:beforeAutospacing="0" w:afterAutospacing="0" w:line="560" w:lineRule="exact"/>
        <w:ind w:firstLine="640" w:firstLineChars="200"/>
        <w:rPr>
          <w:rFonts w:hint="eastAsia" w:eastAsia="仿宋"/>
          <w:sz w:val="32"/>
          <w:szCs w:val="32"/>
          <w:lang w:val="en-US" w:eastAsia="zh-CN"/>
        </w:rPr>
      </w:pPr>
      <w:r>
        <w:rPr>
          <w:rFonts w:eastAsia="仿宋_GB2312"/>
          <w:sz w:val="32"/>
          <w:szCs w:val="32"/>
        </w:rPr>
        <w:t>二是</w:t>
      </w:r>
      <w:r>
        <w:rPr>
          <w:rFonts w:hint="eastAsia" w:eastAsia="仿宋_GB2312"/>
          <w:sz w:val="32"/>
          <w:szCs w:val="32"/>
          <w:lang w:eastAsia="zh-CN"/>
        </w:rPr>
        <w:t>我单位没有</w:t>
      </w:r>
      <w:r>
        <w:rPr>
          <w:rFonts w:eastAsia="仿宋_GB2312"/>
          <w:sz w:val="32"/>
          <w:szCs w:val="32"/>
        </w:rPr>
        <w:t>其他项目支出情况。</w:t>
      </w:r>
    </w:p>
    <w:p>
      <w:pPr>
        <w:pStyle w:val="6"/>
        <w:widowControl/>
        <w:numPr>
          <w:ilvl w:val="0"/>
          <w:numId w:val="1"/>
        </w:numPr>
        <w:spacing w:line="600" w:lineRule="exact"/>
        <w:ind w:left="640" w:leftChars="0" w:firstLine="0" w:firstLineChars="0"/>
        <w:jc w:val="left"/>
        <w:rPr>
          <w:rFonts w:ascii="Times New Roman" w:hAnsi="Times New Roman" w:eastAsia="黑体"/>
          <w:sz w:val="32"/>
          <w:szCs w:val="32"/>
        </w:rPr>
      </w:pPr>
      <w:r>
        <w:rPr>
          <w:rFonts w:ascii="Times New Roman" w:hAnsi="Times New Roman" w:eastAsia="黑体"/>
          <w:sz w:val="32"/>
          <w:szCs w:val="32"/>
        </w:rPr>
        <w:t>政府性基金预算支出情况</w:t>
      </w:r>
    </w:p>
    <w:p>
      <w:pPr>
        <w:pStyle w:val="6"/>
        <w:widowControl/>
        <w:numPr>
          <w:ilvl w:val="0"/>
          <w:numId w:val="0"/>
        </w:numPr>
        <w:spacing w:line="600" w:lineRule="exact"/>
        <w:ind w:firstLine="960" w:firstLineChars="300"/>
        <w:jc w:val="left"/>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无政府性基金预算支出</w:t>
      </w:r>
    </w:p>
    <w:p>
      <w:pPr>
        <w:widowControl/>
        <w:numPr>
          <w:ilvl w:val="0"/>
          <w:numId w:val="1"/>
        </w:numPr>
        <w:spacing w:line="600" w:lineRule="exact"/>
        <w:ind w:left="640" w:leftChars="0" w:firstLine="0" w:firstLineChars="0"/>
        <w:jc w:val="left"/>
        <w:rPr>
          <w:rFonts w:hint="eastAsia" w:ascii="Times New Roman" w:hAnsi="Times New Roman" w:eastAsia="黑体" w:cs="Times New Roman"/>
          <w:kern w:val="2"/>
          <w:sz w:val="32"/>
          <w:szCs w:val="32"/>
          <w:lang w:val="en-US" w:eastAsia="zh-CN" w:bidi="ar-SA"/>
        </w:rPr>
      </w:pPr>
      <w:r>
        <w:rPr>
          <w:rFonts w:ascii="Times New Roman" w:hAnsi="Times New Roman" w:eastAsia="黑体" w:cs="Times New Roman"/>
          <w:kern w:val="2"/>
          <w:sz w:val="32"/>
          <w:szCs w:val="32"/>
          <w:lang w:val="en-US" w:eastAsia="zh-CN" w:bidi="ar-SA"/>
        </w:rPr>
        <w:t>部门整体支出绩效情况</w:t>
      </w:r>
    </w:p>
    <w:p>
      <w:pPr>
        <w:widowControl/>
        <w:spacing w:line="520" w:lineRule="exact"/>
        <w:ind w:firstLine="800" w:firstLineChars="250"/>
        <w:rPr>
          <w:rFonts w:hint="eastAsia" w:ascii="仿宋_GB2312" w:hAnsi="仿宋" w:eastAsia="仿宋_GB2312"/>
          <w:kern w:val="0"/>
          <w:sz w:val="32"/>
          <w:szCs w:val="32"/>
          <w:lang w:eastAsia="zh-CN"/>
        </w:rPr>
      </w:pPr>
      <w:r>
        <w:rPr>
          <w:rFonts w:hint="eastAsia" w:ascii="仿宋_GB2312" w:hAnsi="仿宋" w:eastAsia="仿宋_GB2312"/>
          <w:kern w:val="0"/>
          <w:sz w:val="32"/>
          <w:szCs w:val="32"/>
          <w:lang w:eastAsia="zh-CN"/>
        </w:rPr>
        <w:t>202</w:t>
      </w:r>
      <w:r>
        <w:rPr>
          <w:rFonts w:hint="eastAsia" w:ascii="仿宋_GB2312" w:hAnsi="仿宋" w:eastAsia="仿宋_GB2312"/>
          <w:kern w:val="0"/>
          <w:sz w:val="32"/>
          <w:szCs w:val="32"/>
          <w:lang w:val="en-US" w:eastAsia="zh-CN"/>
        </w:rPr>
        <w:t>1</w:t>
      </w:r>
      <w:r>
        <w:rPr>
          <w:rFonts w:hint="eastAsia" w:ascii="仿宋_GB2312" w:hAnsi="仿宋" w:eastAsia="仿宋_GB2312"/>
          <w:kern w:val="0"/>
          <w:sz w:val="32"/>
          <w:szCs w:val="32"/>
          <w:lang w:eastAsia="zh-CN"/>
        </w:rPr>
        <w:t>年度本单位统一部署，完成了市委市政府下达的工作任务及本单位的发展规划，本单位的整体支出绩效目标的完成情况如下：</w:t>
      </w:r>
    </w:p>
    <w:p>
      <w:pPr>
        <w:widowControl/>
        <w:numPr>
          <w:ilvl w:val="0"/>
          <w:numId w:val="0"/>
        </w:numPr>
        <w:spacing w:line="600" w:lineRule="exact"/>
        <w:ind w:firstLine="640" w:firstLineChars="200"/>
        <w:jc w:val="left"/>
        <w:rPr>
          <w:rFonts w:hint="eastAsia" w:ascii="仿宋_GB2312" w:hAnsi="仿宋" w:eastAsia="仿宋_GB2312"/>
          <w:kern w:val="0"/>
          <w:sz w:val="32"/>
          <w:szCs w:val="32"/>
          <w:lang w:eastAsia="zh-CN"/>
        </w:rPr>
      </w:pPr>
      <w:r>
        <w:rPr>
          <w:rFonts w:hint="default" w:ascii="仿宋_GB2312" w:hAnsi="仿宋" w:eastAsia="仿宋_GB2312"/>
          <w:kern w:val="0"/>
          <w:sz w:val="32"/>
          <w:szCs w:val="32"/>
          <w:lang w:val="en-US" w:eastAsia="zh-CN"/>
        </w:rPr>
        <w:t>1.</w:t>
      </w:r>
      <w:r>
        <w:rPr>
          <w:rFonts w:hint="eastAsia" w:ascii="仿宋_GB2312" w:hAnsi="仿宋" w:eastAsia="仿宋_GB2312"/>
          <w:kern w:val="0"/>
          <w:sz w:val="32"/>
          <w:szCs w:val="32"/>
          <w:lang w:eastAsia="zh-CN"/>
        </w:rPr>
        <w:t>202</w:t>
      </w:r>
      <w:r>
        <w:rPr>
          <w:rFonts w:hint="eastAsia" w:ascii="仿宋_GB2312" w:hAnsi="仿宋" w:eastAsia="仿宋_GB2312"/>
          <w:kern w:val="0"/>
          <w:sz w:val="32"/>
          <w:szCs w:val="32"/>
          <w:lang w:val="en-US" w:eastAsia="zh-CN"/>
        </w:rPr>
        <w:t>1</w:t>
      </w:r>
      <w:r>
        <w:rPr>
          <w:rFonts w:hint="eastAsia" w:ascii="仿宋_GB2312" w:hAnsi="仿宋" w:eastAsia="仿宋_GB2312"/>
          <w:kern w:val="0"/>
          <w:sz w:val="32"/>
          <w:szCs w:val="32"/>
          <w:lang w:eastAsia="zh-CN"/>
        </w:rPr>
        <w:t>年，在领导的高度重视、各成员单位的积极配合及全市普查员的努力之下，第七次人口普查的入户登记工作圆满完成，数据质量通过验收。认真开展事后数据质量核查和4期人口普查公报的发布，撰写《津市市第七次全国人口普查报告书》和《第七次人口普查技术报告》。</w:t>
      </w:r>
    </w:p>
    <w:p>
      <w:pPr>
        <w:widowControl/>
        <w:spacing w:line="520" w:lineRule="exact"/>
        <w:ind w:firstLine="640" w:firstLineChars="200"/>
        <w:rPr>
          <w:rFonts w:hint="eastAsia" w:ascii="仿宋_GB2312" w:hAnsi="仿宋" w:eastAsia="仿宋_GB2312"/>
          <w:kern w:val="0"/>
          <w:sz w:val="32"/>
          <w:szCs w:val="32"/>
          <w:lang w:eastAsia="zh-CN"/>
        </w:rPr>
      </w:pPr>
      <w:r>
        <w:rPr>
          <w:rFonts w:hint="default" w:ascii="仿宋_GB2312" w:hAnsi="仿宋" w:eastAsia="仿宋_GB2312"/>
          <w:kern w:val="0"/>
          <w:sz w:val="32"/>
          <w:szCs w:val="32"/>
          <w:lang w:val="en-US" w:eastAsia="zh-CN"/>
        </w:rPr>
        <w:t>2.</w:t>
      </w:r>
      <w:r>
        <w:rPr>
          <w:rFonts w:hint="eastAsia" w:ascii="仿宋_GB2312" w:hAnsi="仿宋" w:eastAsia="仿宋_GB2312"/>
          <w:kern w:val="0"/>
          <w:sz w:val="32"/>
          <w:szCs w:val="32"/>
          <w:lang w:eastAsia="zh-CN"/>
        </w:rPr>
        <w:t>完成农业、工业、贸易、投资、房地产、建筑、能源、服务业、劳资、劳动力调查、综合专业统计等</w:t>
      </w:r>
      <w:r>
        <w:rPr>
          <w:rFonts w:hint="eastAsia" w:ascii="仿宋_GB2312" w:hAnsi="仿宋" w:eastAsia="仿宋_GB2312"/>
          <w:kern w:val="0"/>
          <w:sz w:val="32"/>
          <w:szCs w:val="32"/>
          <w:lang w:val="en-US" w:eastAsia="zh-CN"/>
        </w:rPr>
        <w:t>40个</w:t>
      </w:r>
      <w:r>
        <w:rPr>
          <w:rFonts w:hint="eastAsia" w:ascii="仿宋_GB2312" w:hAnsi="仿宋" w:eastAsia="仿宋_GB2312"/>
          <w:kern w:val="0"/>
          <w:sz w:val="32"/>
          <w:szCs w:val="32"/>
          <w:lang w:eastAsia="zh-CN"/>
        </w:rPr>
        <w:t>统计专业20</w:t>
      </w:r>
      <w:r>
        <w:rPr>
          <w:rFonts w:hint="eastAsia" w:ascii="仿宋_GB2312" w:hAnsi="仿宋" w:eastAsia="仿宋_GB2312"/>
          <w:kern w:val="0"/>
          <w:sz w:val="32"/>
          <w:szCs w:val="32"/>
          <w:lang w:val="en-US" w:eastAsia="zh-CN"/>
        </w:rPr>
        <w:t>21</w:t>
      </w:r>
      <w:r>
        <w:rPr>
          <w:rFonts w:hint="eastAsia" w:ascii="仿宋_GB2312" w:hAnsi="仿宋" w:eastAsia="仿宋_GB2312"/>
          <w:kern w:val="0"/>
          <w:sz w:val="32"/>
          <w:szCs w:val="32"/>
          <w:lang w:eastAsia="zh-CN"/>
        </w:rPr>
        <w:t>年年报和202</w:t>
      </w:r>
      <w:r>
        <w:rPr>
          <w:rFonts w:hint="eastAsia" w:ascii="仿宋_GB2312" w:hAnsi="仿宋" w:eastAsia="仿宋_GB2312"/>
          <w:kern w:val="0"/>
          <w:sz w:val="32"/>
          <w:szCs w:val="32"/>
          <w:lang w:val="en-US" w:eastAsia="zh-CN"/>
        </w:rPr>
        <w:t>2</w:t>
      </w:r>
      <w:r>
        <w:rPr>
          <w:rFonts w:hint="eastAsia" w:ascii="仿宋_GB2312" w:hAnsi="仿宋" w:eastAsia="仿宋_GB2312"/>
          <w:kern w:val="0"/>
          <w:sz w:val="32"/>
          <w:szCs w:val="32"/>
          <w:lang w:eastAsia="zh-CN"/>
        </w:rPr>
        <w:t>年的定期统计报表工作，做好各行业常规统计工作，对上级提出的数据查询督促企业及时进行回复，确保2</w:t>
      </w:r>
      <w:r>
        <w:rPr>
          <w:rFonts w:hint="eastAsia" w:ascii="仿宋_GB2312" w:hAnsi="仿宋" w:eastAsia="仿宋_GB2312"/>
          <w:kern w:val="0"/>
          <w:sz w:val="32"/>
          <w:szCs w:val="32"/>
          <w:lang w:val="en-US" w:eastAsia="zh-CN"/>
        </w:rPr>
        <w:t>8</w:t>
      </w:r>
      <w:r>
        <w:rPr>
          <w:rFonts w:hint="default" w:ascii="仿宋_GB2312" w:hAnsi="仿宋" w:eastAsia="仿宋_GB2312"/>
          <w:kern w:val="0"/>
          <w:sz w:val="32"/>
          <w:szCs w:val="32"/>
          <w:lang w:val="en-US" w:eastAsia="zh-CN"/>
        </w:rPr>
        <w:t>4</w:t>
      </w:r>
      <w:r>
        <w:rPr>
          <w:rFonts w:hint="eastAsia" w:ascii="仿宋_GB2312" w:hAnsi="仿宋" w:eastAsia="仿宋_GB2312"/>
          <w:kern w:val="0"/>
          <w:sz w:val="32"/>
          <w:szCs w:val="32"/>
          <w:lang w:eastAsia="zh-CN"/>
        </w:rPr>
        <w:t>家“四上”企业联网直报率达100%。</w:t>
      </w:r>
    </w:p>
    <w:p>
      <w:pPr>
        <w:widowControl/>
        <w:spacing w:line="520" w:lineRule="exact"/>
        <w:ind w:firstLine="640" w:firstLineChars="200"/>
        <w:rPr>
          <w:rFonts w:hint="eastAsia" w:ascii="仿宋_GB2312" w:hAnsi="仿宋" w:eastAsia="仿宋_GB2312"/>
          <w:kern w:val="0"/>
          <w:sz w:val="32"/>
          <w:szCs w:val="32"/>
        </w:rPr>
      </w:pPr>
      <w:r>
        <w:rPr>
          <w:rFonts w:hint="default" w:ascii="仿宋_GB2312" w:hAnsi="仿宋" w:eastAsia="仿宋_GB2312"/>
          <w:kern w:val="0"/>
          <w:sz w:val="32"/>
          <w:szCs w:val="32"/>
          <w:lang w:val="en-US"/>
        </w:rPr>
        <w:t>3.</w:t>
      </w:r>
      <w:r>
        <w:rPr>
          <w:rFonts w:hint="eastAsia" w:ascii="仿宋_GB2312" w:hAnsi="仿宋" w:eastAsia="仿宋_GB2312"/>
          <w:kern w:val="0"/>
          <w:sz w:val="32"/>
          <w:szCs w:val="32"/>
          <w:lang w:eastAsia="zh-CN"/>
        </w:rPr>
        <w:t>每月</w:t>
      </w:r>
      <w:r>
        <w:rPr>
          <w:rFonts w:hint="eastAsia" w:ascii="仿宋_GB2312" w:hAnsi="仿宋" w:eastAsia="仿宋_GB2312"/>
          <w:kern w:val="0"/>
          <w:sz w:val="32"/>
          <w:szCs w:val="32"/>
        </w:rPr>
        <w:t>收集调查100户</w:t>
      </w:r>
      <w:r>
        <w:rPr>
          <w:rFonts w:hint="eastAsia" w:ascii="仿宋_GB2312" w:hAnsi="仿宋" w:eastAsia="仿宋_GB2312"/>
          <w:color w:val="222222"/>
          <w:kern w:val="0"/>
          <w:sz w:val="32"/>
          <w:szCs w:val="32"/>
        </w:rPr>
        <w:t>城乡</w:t>
      </w:r>
      <w:r>
        <w:rPr>
          <w:rFonts w:hint="eastAsia" w:ascii="仿宋_GB2312" w:hAnsi="仿宋" w:eastAsia="仿宋_GB2312"/>
          <w:kern w:val="0"/>
          <w:sz w:val="32"/>
          <w:szCs w:val="32"/>
        </w:rPr>
        <w:t>住户记账户的收支账目，对</w:t>
      </w:r>
      <w:r>
        <w:rPr>
          <w:rFonts w:hint="eastAsia" w:ascii="Times New Roman" w:hAnsi="Times New Roman" w:eastAsia="仿宋_GB2312" w:cs="仿宋_GB2312"/>
          <w:sz w:val="32"/>
          <w:szCs w:val="32"/>
        </w:rPr>
        <w:t>全市10个居民收入调查点</w:t>
      </w:r>
      <w:r>
        <w:rPr>
          <w:rFonts w:hint="eastAsia" w:ascii="仿宋_GB2312" w:hAnsi="仿宋" w:eastAsia="仿宋_GB2312"/>
          <w:kern w:val="0"/>
          <w:sz w:val="32"/>
          <w:szCs w:val="32"/>
          <w:lang w:eastAsia="zh-CN"/>
        </w:rPr>
        <w:t>开展大大小小指导性、针对性强的业务培训</w:t>
      </w:r>
      <w:r>
        <w:rPr>
          <w:rFonts w:hint="eastAsia" w:ascii="仿宋_GB2312" w:hAnsi="仿宋" w:eastAsia="仿宋_GB2312"/>
          <w:kern w:val="0"/>
          <w:sz w:val="32"/>
          <w:szCs w:val="32"/>
          <w:lang w:val="en-US" w:eastAsia="zh-CN"/>
        </w:rPr>
        <w:t>达</w:t>
      </w:r>
      <w:r>
        <w:rPr>
          <w:rFonts w:hint="default" w:ascii="仿宋_GB2312" w:hAnsi="仿宋" w:eastAsia="仿宋_GB2312"/>
          <w:kern w:val="0"/>
          <w:sz w:val="32"/>
          <w:szCs w:val="32"/>
          <w:lang w:val="en-US" w:eastAsia="zh-CN"/>
        </w:rPr>
        <w:t>200</w:t>
      </w:r>
      <w:r>
        <w:rPr>
          <w:rFonts w:hint="eastAsia" w:ascii="仿宋_GB2312" w:hAnsi="仿宋" w:eastAsia="仿宋_GB2312"/>
          <w:kern w:val="0"/>
          <w:sz w:val="32"/>
          <w:szCs w:val="32"/>
          <w:lang w:val="en-US" w:eastAsia="zh-CN"/>
        </w:rPr>
        <w:t>人次</w:t>
      </w:r>
      <w:r>
        <w:rPr>
          <w:rFonts w:hint="eastAsia" w:ascii="仿宋_GB2312" w:hAnsi="仿宋" w:eastAsia="仿宋_GB2312"/>
          <w:kern w:val="0"/>
          <w:sz w:val="32"/>
          <w:szCs w:val="32"/>
          <w:lang w:eastAsia="zh-CN"/>
        </w:rPr>
        <w:t>，</w:t>
      </w:r>
      <w:r>
        <w:rPr>
          <w:rFonts w:hint="eastAsia" w:eastAsia="仿宋_GB2312" w:cs="仿宋_GB2312"/>
          <w:sz w:val="32"/>
          <w:szCs w:val="32"/>
          <w:lang w:eastAsia="zh-CN"/>
        </w:rPr>
        <w:t>提高记账户的业务水平。</w:t>
      </w:r>
      <w:r>
        <w:rPr>
          <w:rFonts w:hint="eastAsia" w:eastAsia="仿宋_GB2312" w:cs="仿宋_GB2312"/>
          <w:sz w:val="32"/>
          <w:szCs w:val="32"/>
          <w:lang w:val="en-US" w:eastAsia="zh-CN"/>
        </w:rPr>
        <w:t>2021年</w:t>
      </w:r>
      <w:r>
        <w:rPr>
          <w:rFonts w:hint="eastAsia" w:eastAsia="仿宋_GB2312" w:cs="仿宋_GB2312"/>
          <w:sz w:val="32"/>
          <w:szCs w:val="32"/>
          <w:lang w:eastAsia="zh-CN"/>
        </w:rPr>
        <w:t>居民人均可支配收入同比增长</w:t>
      </w:r>
      <w:r>
        <w:rPr>
          <w:rFonts w:hint="eastAsia" w:eastAsia="仿宋_GB2312" w:cs="仿宋_GB2312"/>
          <w:sz w:val="32"/>
          <w:szCs w:val="32"/>
          <w:lang w:val="en-US" w:eastAsia="zh-CN"/>
        </w:rPr>
        <w:t>8.5</w:t>
      </w:r>
      <w:r>
        <w:rPr>
          <w:rFonts w:hint="eastAsia" w:eastAsia="仿宋_GB2312" w:cs="仿宋_GB2312"/>
          <w:sz w:val="32"/>
          <w:szCs w:val="32"/>
          <w:lang w:eastAsia="zh-CN"/>
        </w:rPr>
        <w:t>%，</w:t>
      </w:r>
      <w:r>
        <w:rPr>
          <w:rFonts w:hint="eastAsia" w:ascii="仿宋_GB2312" w:hAnsi="仿宋" w:eastAsia="仿宋_GB2312"/>
          <w:kern w:val="0"/>
          <w:sz w:val="32"/>
          <w:szCs w:val="32"/>
        </w:rPr>
        <w:t>让社会及时了解我市的城乡居民可支配收入及支出方面的各项数据。</w:t>
      </w:r>
    </w:p>
    <w:p>
      <w:pPr>
        <w:snapToGrid w:val="0"/>
        <w:spacing w:line="520" w:lineRule="exact"/>
        <w:ind w:firstLine="640" w:firstLineChars="200"/>
        <w:rPr>
          <w:rFonts w:hint="eastAsia" w:ascii="仿宋_GB2312" w:hAnsi="仿宋" w:eastAsia="仿宋_GB2312"/>
          <w:sz w:val="32"/>
          <w:szCs w:val="32"/>
          <w:lang w:eastAsia="zh-CN"/>
        </w:rPr>
      </w:pPr>
      <w:r>
        <w:rPr>
          <w:rFonts w:hint="default" w:ascii="仿宋_GB2312" w:hAnsi="仿宋" w:eastAsia="仿宋_GB2312"/>
          <w:sz w:val="32"/>
          <w:szCs w:val="32"/>
          <w:lang w:val="en-US" w:eastAsia="zh-CN"/>
        </w:rPr>
        <w:t>4.</w:t>
      </w:r>
      <w:r>
        <w:rPr>
          <w:rFonts w:hint="eastAsia" w:ascii="仿宋_GB2312" w:hAnsi="仿宋" w:eastAsia="仿宋_GB2312"/>
          <w:sz w:val="32"/>
          <w:szCs w:val="32"/>
          <w:lang w:eastAsia="zh-CN"/>
        </w:rPr>
        <w:t>每月到2个“劳动力调查” 国家点开展劳动力调查的入户调查，全年共计调查384户，调查结果是我市的综合调查失业率低于5.5%，符合现实情况，准确反映了我市就业形势。</w:t>
      </w:r>
    </w:p>
    <w:p>
      <w:pPr>
        <w:snapToGrid w:val="0"/>
        <w:spacing w:line="520" w:lineRule="exact"/>
        <w:ind w:firstLine="640" w:firstLineChars="200"/>
        <w:rPr>
          <w:rFonts w:hint="eastAsia" w:ascii="仿宋_GB2312" w:hAnsi="仿宋" w:eastAsia="仿宋_GB2312"/>
          <w:sz w:val="32"/>
          <w:szCs w:val="32"/>
        </w:rPr>
      </w:pPr>
      <w:r>
        <w:rPr>
          <w:rFonts w:hint="default" w:ascii="仿宋_GB2312" w:hAnsi="仿宋" w:eastAsia="仿宋_GB2312"/>
          <w:sz w:val="32"/>
          <w:szCs w:val="32"/>
          <w:lang w:val="en-US"/>
        </w:rPr>
        <w:t>5.</w:t>
      </w:r>
      <w:r>
        <w:rPr>
          <w:rFonts w:hint="eastAsia" w:ascii="仿宋_GB2312" w:hAnsi="仿宋" w:eastAsia="仿宋_GB2312"/>
          <w:sz w:val="32"/>
          <w:szCs w:val="32"/>
          <w:lang w:eastAsia="zh-CN"/>
        </w:rPr>
        <w:t>本年新增</w:t>
      </w:r>
      <w:r>
        <w:rPr>
          <w:rFonts w:hint="eastAsia" w:ascii="仿宋_GB2312" w:hAnsi="仿宋" w:eastAsia="仿宋_GB2312"/>
          <w:sz w:val="32"/>
          <w:szCs w:val="32"/>
        </w:rPr>
        <w:t>“四上”企业</w:t>
      </w:r>
      <w:r>
        <w:rPr>
          <w:rFonts w:hint="eastAsia" w:ascii="仿宋_GB2312" w:hAnsi="仿宋" w:eastAsia="仿宋_GB2312"/>
          <w:sz w:val="32"/>
          <w:szCs w:val="32"/>
          <w:lang w:val="en-US" w:eastAsia="zh-CN"/>
        </w:rPr>
        <w:t>9</w:t>
      </w:r>
      <w:r>
        <w:rPr>
          <w:rFonts w:hint="eastAsia" w:ascii="仿宋_GB2312" w:hAnsi="仿宋" w:eastAsia="仿宋_GB2312"/>
          <w:sz w:val="32"/>
          <w:szCs w:val="32"/>
        </w:rPr>
        <w:t>家、</w:t>
      </w:r>
      <w:r>
        <w:rPr>
          <w:rFonts w:hint="eastAsia" w:ascii="仿宋_GB2312" w:hAnsi="仿宋" w:eastAsia="仿宋_GB2312"/>
          <w:sz w:val="32"/>
          <w:szCs w:val="32"/>
          <w:lang w:eastAsia="zh-CN"/>
        </w:rPr>
        <w:t>新增</w:t>
      </w:r>
      <w:r>
        <w:rPr>
          <w:rFonts w:hint="eastAsia" w:ascii="仿宋_GB2312" w:hAnsi="仿宋" w:eastAsia="仿宋_GB2312"/>
          <w:sz w:val="32"/>
          <w:szCs w:val="32"/>
          <w:lang w:val="en-US" w:eastAsia="zh-CN"/>
        </w:rPr>
        <w:t>81</w:t>
      </w:r>
      <w:r>
        <w:rPr>
          <w:rFonts w:hint="eastAsia" w:ascii="仿宋_GB2312" w:hAnsi="仿宋" w:eastAsia="仿宋_GB2312"/>
          <w:sz w:val="32"/>
          <w:szCs w:val="32"/>
        </w:rPr>
        <w:t>个500万元以上的项目</w:t>
      </w:r>
      <w:r>
        <w:rPr>
          <w:rFonts w:hint="eastAsia" w:ascii="仿宋_GB2312" w:hAnsi="仿宋" w:eastAsia="仿宋_GB2312"/>
          <w:sz w:val="32"/>
          <w:szCs w:val="32"/>
          <w:lang w:eastAsia="zh-CN"/>
        </w:rPr>
        <w:t>，</w:t>
      </w:r>
      <w:r>
        <w:rPr>
          <w:rFonts w:hint="eastAsia" w:ascii="仿宋_GB2312" w:hAnsi="仿宋" w:eastAsia="仿宋_GB2312"/>
          <w:sz w:val="32"/>
          <w:szCs w:val="32"/>
        </w:rPr>
        <w:t>为全面反映津市经济社会发展提供新的增长点。</w:t>
      </w:r>
    </w:p>
    <w:p>
      <w:pPr>
        <w:snapToGrid w:val="0"/>
        <w:spacing w:line="520" w:lineRule="exact"/>
        <w:ind w:firstLine="640" w:firstLineChars="200"/>
        <w:rPr>
          <w:rFonts w:hint="eastAsia" w:ascii="仿宋_GB2312" w:hAnsi="仿宋" w:eastAsia="仿宋_GB2312"/>
          <w:sz w:val="32"/>
          <w:szCs w:val="32"/>
        </w:rPr>
      </w:pPr>
      <w:r>
        <w:rPr>
          <w:rFonts w:hint="default" w:ascii="仿宋_GB2312" w:hAnsi="仿宋" w:eastAsia="仿宋_GB2312"/>
          <w:sz w:val="32"/>
          <w:szCs w:val="32"/>
          <w:lang w:val="en-US"/>
        </w:rPr>
        <w:t>6.</w:t>
      </w:r>
      <w:r>
        <w:rPr>
          <w:rFonts w:hint="eastAsia" w:ascii="仿宋_GB2312" w:hAnsi="仿宋" w:eastAsia="仿宋_GB2312"/>
          <w:sz w:val="32"/>
          <w:szCs w:val="32"/>
        </w:rPr>
        <w:t>全年</w:t>
      </w:r>
      <w:r>
        <w:rPr>
          <w:rFonts w:hint="eastAsia" w:ascii="仿宋_GB2312" w:hAnsi="仿宋" w:eastAsia="仿宋_GB2312"/>
          <w:sz w:val="32"/>
          <w:szCs w:val="32"/>
          <w:lang w:val="en-US" w:eastAsia="zh-CN"/>
        </w:rPr>
        <w:t>编发11期</w:t>
      </w:r>
      <w:r>
        <w:rPr>
          <w:rFonts w:hint="eastAsia" w:ascii="仿宋_GB2312" w:hAnsi="仿宋" w:eastAsia="仿宋_GB2312"/>
          <w:sz w:val="32"/>
          <w:szCs w:val="32"/>
        </w:rPr>
        <w:t>《津市统计月报》</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8</w:t>
      </w:r>
      <w:r>
        <w:rPr>
          <w:rFonts w:hint="eastAsia" w:ascii="仿宋_GB2312" w:hAnsi="仿宋" w:eastAsia="仿宋_GB2312"/>
          <w:sz w:val="32"/>
          <w:szCs w:val="32"/>
        </w:rPr>
        <w:t>期《决策参考》，刊发统计分析2</w:t>
      </w:r>
      <w:r>
        <w:rPr>
          <w:rFonts w:hint="eastAsia" w:ascii="仿宋_GB2312" w:hAnsi="仿宋" w:eastAsia="仿宋_GB2312"/>
          <w:sz w:val="32"/>
          <w:szCs w:val="32"/>
          <w:lang w:val="en-US" w:eastAsia="zh-CN"/>
        </w:rPr>
        <w:t>2</w:t>
      </w:r>
      <w:r>
        <w:rPr>
          <w:rFonts w:hint="eastAsia" w:ascii="仿宋_GB2312" w:hAnsi="仿宋" w:eastAsia="仿宋_GB2312"/>
          <w:sz w:val="32"/>
          <w:szCs w:val="32"/>
        </w:rPr>
        <w:t>篇</w:t>
      </w:r>
      <w:r>
        <w:rPr>
          <w:rFonts w:hint="eastAsia" w:ascii="仿宋_GB2312" w:hAnsi="仿宋" w:eastAsia="仿宋_GB2312"/>
          <w:sz w:val="32"/>
          <w:szCs w:val="32"/>
          <w:lang w:eastAsia="zh-CN"/>
        </w:rPr>
        <w:t>，</w:t>
      </w:r>
      <w:r>
        <w:rPr>
          <w:rFonts w:hint="eastAsia" w:ascii="仿宋_GB2312" w:hAnsi="仿宋" w:eastAsia="仿宋_GB2312"/>
          <w:sz w:val="32"/>
          <w:szCs w:val="32"/>
        </w:rPr>
        <w:t>编印</w:t>
      </w:r>
      <w:r>
        <w:rPr>
          <w:rFonts w:hint="eastAsia" w:ascii="仿宋_GB2312" w:hAnsi="仿宋" w:eastAsia="仿宋_GB2312"/>
          <w:sz w:val="32"/>
          <w:szCs w:val="32"/>
          <w:lang w:val="en-US" w:eastAsia="zh-CN"/>
        </w:rPr>
        <w:t>300册</w:t>
      </w:r>
      <w:r>
        <w:rPr>
          <w:rFonts w:hint="eastAsia" w:ascii="仿宋_GB2312" w:hAnsi="仿宋" w:eastAsia="仿宋_GB2312"/>
          <w:sz w:val="32"/>
          <w:szCs w:val="32"/>
        </w:rPr>
        <w:t>《202</w:t>
      </w:r>
      <w:r>
        <w:rPr>
          <w:rFonts w:hint="eastAsia" w:ascii="仿宋_GB2312" w:hAnsi="仿宋" w:eastAsia="仿宋_GB2312"/>
          <w:sz w:val="32"/>
          <w:szCs w:val="32"/>
          <w:lang w:val="en-US" w:eastAsia="zh-CN"/>
        </w:rPr>
        <w:t>1</w:t>
      </w:r>
      <w:r>
        <w:rPr>
          <w:rFonts w:hint="eastAsia" w:ascii="仿宋_GB2312" w:hAnsi="仿宋" w:eastAsia="仿宋_GB2312"/>
          <w:sz w:val="32"/>
          <w:szCs w:val="32"/>
        </w:rPr>
        <w:t>津市统计年鉴》</w:t>
      </w:r>
      <w:r>
        <w:rPr>
          <w:rFonts w:hint="eastAsia" w:ascii="仿宋_GB2312" w:hAnsi="仿宋" w:eastAsia="仿宋_GB2312"/>
          <w:sz w:val="32"/>
          <w:szCs w:val="32"/>
          <w:lang w:val="en-US" w:eastAsia="zh-CN"/>
        </w:rPr>
        <w:t>，</w:t>
      </w:r>
      <w:r>
        <w:rPr>
          <w:rFonts w:hint="eastAsia" w:ascii="仿宋_GB2312" w:hAnsi="仿宋" w:eastAsia="仿宋_GB2312"/>
          <w:sz w:val="32"/>
          <w:szCs w:val="32"/>
        </w:rPr>
        <w:t>编发《津市市20</w:t>
      </w:r>
      <w:r>
        <w:rPr>
          <w:rFonts w:hint="eastAsia" w:ascii="仿宋_GB2312" w:hAnsi="仿宋" w:eastAsia="仿宋_GB2312"/>
          <w:sz w:val="32"/>
          <w:szCs w:val="32"/>
          <w:lang w:val="en-US" w:eastAsia="zh-CN"/>
        </w:rPr>
        <w:t>20</w:t>
      </w:r>
      <w:r>
        <w:rPr>
          <w:rFonts w:hint="eastAsia" w:ascii="仿宋_GB2312" w:hAnsi="仿宋" w:eastAsia="仿宋_GB2312"/>
          <w:sz w:val="32"/>
          <w:szCs w:val="32"/>
        </w:rPr>
        <w:t>年国民经济和社会发展统计公报》</w:t>
      </w:r>
      <w:r>
        <w:rPr>
          <w:rFonts w:hint="eastAsia" w:ascii="仿宋_GB2312" w:hAnsi="仿宋" w:eastAsia="仿宋_GB2312"/>
          <w:sz w:val="32"/>
          <w:szCs w:val="32"/>
          <w:lang w:eastAsia="zh-CN"/>
        </w:rPr>
        <w:t>，</w:t>
      </w:r>
      <w:r>
        <w:rPr>
          <w:rFonts w:hint="eastAsia" w:ascii="仿宋_GB2312" w:hAnsi="仿宋" w:eastAsia="仿宋_GB2312"/>
          <w:sz w:val="32"/>
          <w:szCs w:val="32"/>
        </w:rPr>
        <w:t>让社会及时了解我市经济的发展水平和位置情况。</w:t>
      </w:r>
    </w:p>
    <w:p>
      <w:pPr>
        <w:pStyle w:val="6"/>
        <w:widowControl/>
        <w:spacing w:line="600" w:lineRule="exact"/>
        <w:jc w:val="left"/>
        <w:rPr>
          <w:rFonts w:ascii="Times New Roman" w:hAnsi="Times New Roman" w:eastAsia="黑体"/>
          <w:sz w:val="32"/>
          <w:szCs w:val="32"/>
        </w:rPr>
      </w:pPr>
      <w:r>
        <w:rPr>
          <w:rFonts w:hint="eastAsia" w:ascii="Times New Roman" w:hAnsi="Times New Roman" w:eastAsia="黑体"/>
          <w:sz w:val="32"/>
          <w:szCs w:val="32"/>
          <w:lang w:eastAsia="zh-CN"/>
        </w:rPr>
        <w:t>五</w:t>
      </w:r>
      <w:r>
        <w:rPr>
          <w:rFonts w:hint="eastAsia" w:ascii="Times New Roman" w:hAnsi="Times New Roman" w:eastAsia="黑体"/>
          <w:sz w:val="32"/>
          <w:szCs w:val="32"/>
        </w:rPr>
        <w:t>、</w:t>
      </w:r>
      <w:r>
        <w:rPr>
          <w:rFonts w:ascii="Times New Roman" w:hAnsi="Times New Roman" w:eastAsia="黑体"/>
          <w:sz w:val="32"/>
          <w:szCs w:val="32"/>
        </w:rPr>
        <w:t>存在的问题及原因分析</w:t>
      </w:r>
    </w:p>
    <w:p>
      <w:pPr>
        <w:ind w:firstLine="640" w:firstLineChars="200"/>
        <w:rPr>
          <w:rFonts w:hint="eastAsia" w:ascii="仿宋" w:hAnsi="仿宋" w:eastAsia="仿宋"/>
          <w:sz w:val="32"/>
          <w:szCs w:val="32"/>
        </w:rPr>
      </w:pPr>
      <w:r>
        <w:rPr>
          <w:rFonts w:hint="default" w:ascii="仿宋" w:hAnsi="仿宋" w:eastAsia="仿宋"/>
          <w:sz w:val="32"/>
          <w:szCs w:val="32"/>
          <w:lang w:val="en-US" w:eastAsia="zh-CN"/>
        </w:rPr>
        <w:t>1.</w:t>
      </w:r>
      <w:r>
        <w:rPr>
          <w:rFonts w:hint="eastAsia" w:ascii="仿宋" w:hAnsi="仿宋" w:eastAsia="仿宋"/>
          <w:sz w:val="32"/>
          <w:szCs w:val="32"/>
        </w:rPr>
        <w:t>绩效管理</w:t>
      </w:r>
      <w:r>
        <w:rPr>
          <w:rFonts w:hint="eastAsia" w:ascii="仿宋" w:hAnsi="仿宋" w:eastAsia="仿宋"/>
          <w:sz w:val="32"/>
          <w:szCs w:val="32"/>
          <w:lang w:eastAsia="zh-CN"/>
        </w:rPr>
        <w:t>不重视。</w:t>
      </w:r>
      <w:r>
        <w:rPr>
          <w:rFonts w:hint="eastAsia" w:ascii="仿宋" w:hAnsi="仿宋" w:eastAsia="仿宋"/>
          <w:sz w:val="32"/>
          <w:szCs w:val="32"/>
        </w:rPr>
        <w:t>单位对绩效目标管理工作不够重视，绩效目标管理不到位。</w:t>
      </w:r>
    </w:p>
    <w:p>
      <w:pPr>
        <w:ind w:firstLine="800" w:firstLineChars="250"/>
        <w:rPr>
          <w:rFonts w:hint="eastAsia" w:ascii="仿宋" w:hAnsi="仿宋" w:eastAsia="仿宋"/>
          <w:sz w:val="32"/>
          <w:szCs w:val="32"/>
          <w:lang w:eastAsia="zh-CN"/>
        </w:rPr>
      </w:pPr>
      <w:r>
        <w:rPr>
          <w:rFonts w:hint="default" w:ascii="仿宋" w:hAnsi="仿宋" w:eastAsia="仿宋"/>
          <w:sz w:val="32"/>
          <w:szCs w:val="32"/>
          <w:lang w:val="en-US" w:eastAsia="zh-CN"/>
        </w:rPr>
        <w:t>2.</w:t>
      </w:r>
      <w:r>
        <w:rPr>
          <w:rFonts w:hint="eastAsia" w:ascii="仿宋" w:hAnsi="仿宋" w:eastAsia="仿宋"/>
          <w:sz w:val="32"/>
          <w:szCs w:val="32"/>
          <w:lang w:val="en-US" w:eastAsia="zh-CN"/>
        </w:rPr>
        <w:t>项目管理不规范。</w:t>
      </w:r>
      <w:r>
        <w:rPr>
          <w:rFonts w:hint="eastAsia" w:ascii="仿宋" w:hAnsi="仿宋" w:eastAsia="仿宋"/>
          <w:sz w:val="32"/>
          <w:szCs w:val="32"/>
        </w:rPr>
        <w:t>资金分配预算</w:t>
      </w:r>
      <w:r>
        <w:rPr>
          <w:rFonts w:hint="eastAsia" w:ascii="仿宋" w:hAnsi="仿宋" w:eastAsia="仿宋"/>
          <w:sz w:val="32"/>
          <w:szCs w:val="32"/>
          <w:lang w:eastAsia="zh-CN"/>
        </w:rPr>
        <w:t>不规范，没有</w:t>
      </w:r>
      <w:r>
        <w:rPr>
          <w:rFonts w:hint="eastAsia" w:ascii="仿宋" w:hAnsi="仿宋" w:eastAsia="仿宋"/>
          <w:sz w:val="32"/>
          <w:szCs w:val="32"/>
        </w:rPr>
        <w:t>使用和分配的具体支出预算方案</w:t>
      </w:r>
      <w:r>
        <w:rPr>
          <w:rFonts w:hint="eastAsia" w:ascii="仿宋" w:hAnsi="仿宋" w:eastAsia="仿宋"/>
          <w:sz w:val="32"/>
          <w:szCs w:val="32"/>
          <w:lang w:eastAsia="zh-CN"/>
        </w:rPr>
        <w:t>。</w:t>
      </w:r>
    </w:p>
    <w:p>
      <w:pPr>
        <w:widowControl/>
        <w:spacing w:line="600" w:lineRule="exact"/>
        <w:ind w:firstLine="960" w:firstLineChars="300"/>
        <w:jc w:val="left"/>
        <w:rPr>
          <w:rFonts w:eastAsia="黑体"/>
          <w:sz w:val="32"/>
          <w:szCs w:val="32"/>
        </w:rPr>
      </w:pPr>
      <w:r>
        <w:rPr>
          <w:rFonts w:hint="eastAsia" w:eastAsia="黑体"/>
          <w:sz w:val="32"/>
          <w:szCs w:val="32"/>
          <w:lang w:eastAsia="zh-CN"/>
        </w:rPr>
        <w:t>六</w:t>
      </w:r>
      <w:r>
        <w:rPr>
          <w:rFonts w:eastAsia="黑体"/>
          <w:sz w:val="32"/>
          <w:szCs w:val="32"/>
        </w:rPr>
        <w:t>、下一步改进措施</w:t>
      </w:r>
    </w:p>
    <w:p>
      <w:pPr>
        <w:adjustRightInd w:val="0"/>
        <w:snapToGrid w:val="0"/>
        <w:spacing w:line="600" w:lineRule="exact"/>
        <w:ind w:firstLine="960" w:firstLineChars="300"/>
        <w:rPr>
          <w:rFonts w:eastAsia="仿宋"/>
          <w:sz w:val="32"/>
          <w:szCs w:val="32"/>
        </w:rPr>
      </w:pPr>
      <w:r>
        <w:rPr>
          <w:rFonts w:hint="eastAsia" w:eastAsia="仿宋"/>
          <w:sz w:val="32"/>
          <w:szCs w:val="32"/>
        </w:rPr>
        <w:t>1、加强项目绩效管理。制定指向明确、具体细化和合理可行的总体绩效目标和具体绩效目标。确保实现增强预算编制的科学性、合理性、规范性，强化预算支出责任，提高财政资源配置效率和资金使用效益的目标。</w:t>
      </w:r>
    </w:p>
    <w:p>
      <w:pPr>
        <w:adjustRightInd w:val="0"/>
        <w:snapToGrid w:val="0"/>
        <w:spacing w:line="600" w:lineRule="exact"/>
        <w:ind w:firstLine="960" w:firstLineChars="300"/>
        <w:rPr>
          <w:rFonts w:eastAsia="仿宋"/>
          <w:sz w:val="32"/>
          <w:szCs w:val="32"/>
        </w:rPr>
      </w:pPr>
      <w:r>
        <w:rPr>
          <w:rFonts w:hint="eastAsia" w:eastAsia="仿宋"/>
          <w:sz w:val="32"/>
          <w:szCs w:val="32"/>
          <w:lang w:val="en-US" w:eastAsia="zh-CN"/>
        </w:rPr>
        <w:t>2</w:t>
      </w:r>
      <w:r>
        <w:rPr>
          <w:rFonts w:hint="eastAsia" w:eastAsia="仿宋"/>
          <w:sz w:val="32"/>
          <w:szCs w:val="32"/>
        </w:rPr>
        <w:t>、加强业务与财务之间的有效沟通，保证财务核算部门了解把握经济业务事项分类的实际情况，确保部门基本支出和项目支出核算结果的完整、准确，以便实现预算监督和控制的资金管理目标。</w:t>
      </w:r>
    </w:p>
    <w:p>
      <w:pPr>
        <w:widowControl/>
        <w:spacing w:line="600" w:lineRule="exact"/>
        <w:ind w:firstLine="960" w:firstLineChars="300"/>
        <w:jc w:val="left"/>
        <w:rPr>
          <w:rFonts w:eastAsia="黑体"/>
          <w:sz w:val="32"/>
          <w:szCs w:val="32"/>
        </w:rPr>
      </w:pPr>
      <w:r>
        <w:rPr>
          <w:rFonts w:hint="eastAsia" w:eastAsia="黑体"/>
          <w:sz w:val="32"/>
          <w:szCs w:val="32"/>
          <w:lang w:eastAsia="zh-CN"/>
        </w:rPr>
        <w:t>七</w:t>
      </w:r>
      <w:r>
        <w:rPr>
          <w:rFonts w:eastAsia="黑体"/>
          <w:sz w:val="32"/>
          <w:szCs w:val="32"/>
        </w:rPr>
        <w:t>、其他需要说明的情况</w:t>
      </w:r>
    </w:p>
    <w:p>
      <w:pPr>
        <w:pStyle w:val="2"/>
        <w:ind w:firstLine="1280" w:firstLineChars="400"/>
        <w:jc w:val="both"/>
        <w:rPr>
          <w:rFonts w:hint="eastAsia" w:ascii="Times New Roman" w:hAnsi="Times New Roman" w:eastAsia="仿宋" w:cs="Times New Roman"/>
          <w:kern w:val="2"/>
          <w:sz w:val="32"/>
          <w:szCs w:val="32"/>
          <w:lang w:val="en-US" w:eastAsia="zh-CN" w:bidi="ar-SA"/>
        </w:rPr>
      </w:pPr>
      <w:r>
        <w:rPr>
          <w:rFonts w:hint="eastAsia" w:ascii="Times New Roman" w:hAnsi="Times New Roman" w:eastAsia="仿宋" w:cs="Times New Roman"/>
          <w:kern w:val="2"/>
          <w:sz w:val="32"/>
          <w:szCs w:val="32"/>
          <w:lang w:val="en-US" w:eastAsia="zh-CN" w:bidi="ar-SA"/>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9A3990"/>
    <w:multiLevelType w:val="singleLevel"/>
    <w:tmpl w:val="E29A3990"/>
    <w:lvl w:ilvl="0" w:tentative="0">
      <w:start w:val="1"/>
      <w:numFmt w:val="chineseCounting"/>
      <w:suff w:val="nothing"/>
      <w:lvlText w:val="%1、"/>
      <w:lvlJc w:val="left"/>
      <w:rPr>
        <w:rFonts w:hint="eastAsia"/>
      </w:rPr>
    </w:lvl>
  </w:abstractNum>
  <w:abstractNum w:abstractNumId="1">
    <w:nsid w:val="323840FD"/>
    <w:multiLevelType w:val="singleLevel"/>
    <w:tmpl w:val="323840FD"/>
    <w:lvl w:ilvl="0" w:tentative="0">
      <w:start w:val="2"/>
      <w:numFmt w:val="chineseCounting"/>
      <w:suff w:val="nothing"/>
      <w:lvlText w:val="（%1）"/>
      <w:lvlJc w:val="left"/>
      <w:pPr>
        <w:ind w:left="407"/>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02A87EA1"/>
    <w:rsid w:val="0F7C6993"/>
    <w:rsid w:val="14344ACC"/>
    <w:rsid w:val="156A0F46"/>
    <w:rsid w:val="1F7E2174"/>
    <w:rsid w:val="27DC7247"/>
    <w:rsid w:val="347B2CCE"/>
    <w:rsid w:val="35401559"/>
    <w:rsid w:val="3A076E09"/>
    <w:rsid w:val="3B8F3226"/>
    <w:rsid w:val="42943111"/>
    <w:rsid w:val="475F05CE"/>
    <w:rsid w:val="479D6739"/>
    <w:rsid w:val="49E07630"/>
    <w:rsid w:val="4C3364BD"/>
    <w:rsid w:val="4C4A01C2"/>
    <w:rsid w:val="4D6420F9"/>
    <w:rsid w:val="5A9D5D9B"/>
    <w:rsid w:val="5C1C2F4F"/>
    <w:rsid w:val="5D9A79CC"/>
    <w:rsid w:val="61CC2528"/>
    <w:rsid w:val="664C05D9"/>
    <w:rsid w:val="68EA21DE"/>
    <w:rsid w:val="72C90E82"/>
    <w:rsid w:val="7BF87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jc w:val="center"/>
    </w:pPr>
    <w:rPr>
      <w:rFonts w:eastAsia="方正小标宋简体"/>
      <w:sz w:val="36"/>
      <w:szCs w:val="36"/>
    </w:rPr>
  </w:style>
  <w:style w:type="paragraph" w:styleId="3">
    <w:name w:val="Normal (Web)"/>
    <w:basedOn w:val="1"/>
    <w:qFormat/>
    <w:uiPriority w:val="99"/>
    <w:pPr>
      <w:spacing w:before="100" w:beforeAutospacing="1" w:after="100" w:afterAutospacing="1"/>
      <w:jc w:val="left"/>
    </w:pPr>
    <w:rPr>
      <w:rFonts w:eastAsia="宋体"/>
      <w:kern w:val="0"/>
      <w:sz w:val="24"/>
    </w:rPr>
  </w:style>
  <w:style w:type="paragraph" w:styleId="6">
    <w:name w:val="List Paragraph"/>
    <w:basedOn w:val="1"/>
    <w:qFormat/>
    <w:uiPriority w:val="99"/>
    <w:pPr>
      <w:ind w:firstLine="420" w:firstLineChars="200"/>
    </w:pPr>
    <w:rPr>
      <w:rFonts w:ascii="Calibri" w:hAnsi="Calibri" w:eastAsia="宋体" w:cs="Times New Roman"/>
      <w:szCs w:val="22"/>
    </w:rPr>
  </w:style>
  <w:style w:type="character" w:customStyle="1" w:styleId="7">
    <w:name w:val="style68"/>
    <w:basedOn w:val="5"/>
    <w:qFormat/>
    <w:uiPriority w:val="99"/>
    <w:rPr>
      <w:rFonts w:cs="Times New Roman"/>
    </w:rPr>
  </w:style>
  <w:style w:type="paragraph" w:customStyle="1" w:styleId="8">
    <w:name w:val="reader-word-layer"/>
    <w:basedOn w:val="1"/>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昀昀</cp:lastModifiedBy>
  <cp:lastPrinted>2022-03-25T08:01:00Z</cp:lastPrinted>
  <dcterms:modified xsi:type="dcterms:W3CDTF">2022-03-28T00:59:29Z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