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中共津市市委机构编制委员会办公室</w:t>
      </w: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2021年度</w:t>
      </w:r>
      <w:r>
        <w:rPr>
          <w:rFonts w:hint="eastAsia" w:ascii="方正小标宋简体" w:hAnsi="方正小标宋简体" w:eastAsia="方正小标宋简体" w:cs="方正小标宋简体"/>
          <w:sz w:val="44"/>
          <w:szCs w:val="44"/>
        </w:rPr>
        <w:t>部门整体支出绩效报告</w:t>
      </w:r>
    </w:p>
    <w:p>
      <w:pPr>
        <w:spacing w:line="600" w:lineRule="exact"/>
        <w:jc w:val="center"/>
        <w:rPr>
          <w:rFonts w:eastAsia="方正小标宋_GBK"/>
          <w:sz w:val="32"/>
          <w:szCs w:val="32"/>
        </w:rPr>
      </w:pP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单位基本情况</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1.主要职能</w:t>
      </w:r>
    </w:p>
    <w:p>
      <w:pPr>
        <w:pStyle w:val="8"/>
        <w:shd w:val="clear" w:color="auto" w:fill="auto"/>
        <w:spacing w:before="0" w:after="0" w:line="580" w:lineRule="exact"/>
        <w:ind w:firstLine="640" w:firstLineChars="200"/>
        <w:jc w:val="both"/>
        <w:rPr>
          <w:rFonts w:ascii="仿宋_GB2312" w:hAnsi="仿宋" w:eastAsia="仿宋_GB2312" w:cs="仿宋"/>
          <w:color w:val="000000" w:themeColor="text1"/>
          <w:spacing w:val="0"/>
          <w:sz w:val="32"/>
          <w:szCs w:val="32"/>
          <w14:textFill>
            <w14:solidFill>
              <w14:schemeClr w14:val="tx1"/>
            </w14:solidFill>
          </w14:textFill>
        </w:rPr>
      </w:pPr>
      <w:r>
        <w:rPr>
          <w:rFonts w:hint="eastAsia" w:ascii="仿宋_GB2312" w:hAnsi="仿宋" w:eastAsia="仿宋_GB2312" w:cs="仿宋"/>
          <w:color w:val="000000" w:themeColor="text1"/>
          <w:spacing w:val="0"/>
          <w:sz w:val="32"/>
          <w:szCs w:val="32"/>
          <w14:textFill>
            <w14:solidFill>
              <w14:schemeClr w14:val="tx1"/>
            </w14:solidFill>
          </w14:textFill>
        </w:rPr>
        <w:t>贯彻执行中央、省、常德市关于机构编制工作的政策法规，起草有关机构编制管理规定；在市委编委领导下，按权限负责全市各级党政机关,人大、政协、监委机关，各民主党派机关、群团组织机关、高新区、镇（街）和事业单位的机构编制管理工作；根据党中央、省委、常德市委及市委要求和部署，研究起草全市机构改革方案，审核市直部门和高新区、镇（街）机构改革方案，指导协调全市机构改革及机构编制管理工作；审核副科级以上各类机构的职能配置、内设机构和人员编制规定；协调市直机关各部门的职能配置及其调整，协调市直机关各部门之间、市直机关各部门与高新区、镇（街）之间的职责分工，组织实施职能转变的相关工作；审核党政机关、市委市政府派驻机构的机构设置、人员编制和领导职数，审核各镇人员编制总额，审核股级行政机构设置，指导和监督实施机构限额管理。审核市人大、市政协、市监委和各民主党派机关、群团组织机关的机构设置、人员编制和领导职数；研究起草全市事业单位管理体制和机构改革方案，审核市委、市政府直属事业单位的机构编制方案，审核市直部门所属副科级事业单位的机构编制，审批股级事业单位的设置，负责全市事业单位登记管理工作；负责全市机构编制实名制管理，推进权责清单工作；对全市各级各部门贯彻中央、省委、常德市委和市委关于机构编制方针政策和重要决定的情况进行监督检查；完成市委和市委编委交办的其他任务。</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2.机构</w:t>
      </w:r>
      <w:r>
        <w:rPr>
          <w:rFonts w:hint="eastAsia" w:ascii="楷体_GB2312" w:hAnsi="楷体_GB2312" w:eastAsia="楷体_GB2312" w:cs="楷体_GB2312"/>
          <w:sz w:val="32"/>
          <w:szCs w:val="32"/>
          <w:lang w:eastAsia="zh-CN"/>
        </w:rPr>
        <w:t>人员</w:t>
      </w:r>
      <w:r>
        <w:rPr>
          <w:rFonts w:hint="eastAsia" w:ascii="楷体_GB2312" w:hAnsi="楷体_GB2312" w:eastAsia="楷体_GB2312" w:cs="楷体_GB2312"/>
          <w:sz w:val="32"/>
          <w:szCs w:val="32"/>
        </w:rPr>
        <w:t>情况</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ascii="微软雅黑" w:hAnsi="微软雅黑" w:eastAsia="微软雅黑"/>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中共津市市委机构编制委员会办公室为市委</w:t>
      </w:r>
      <w:r>
        <w:rPr>
          <w:rFonts w:hint="eastAsia" w:ascii="仿宋_GB2312" w:eastAsia="仿宋_GB2312"/>
          <w:color w:val="000000" w:themeColor="text1"/>
          <w:sz w:val="32"/>
          <w:szCs w:val="32"/>
          <w:lang w:eastAsia="zh-CN"/>
          <w14:textFill>
            <w14:solidFill>
              <w14:schemeClr w14:val="tx1"/>
            </w14:solidFill>
          </w14:textFill>
        </w:rPr>
        <w:t>工作</w:t>
      </w:r>
      <w:r>
        <w:rPr>
          <w:rFonts w:hint="eastAsia" w:ascii="仿宋_GB2312" w:eastAsia="仿宋_GB2312"/>
          <w:color w:val="000000" w:themeColor="text1"/>
          <w:sz w:val="32"/>
          <w:szCs w:val="32"/>
          <w14:textFill>
            <w14:solidFill>
              <w14:schemeClr w14:val="tx1"/>
            </w14:solidFill>
          </w14:textFill>
        </w:rPr>
        <w:t>机关，</w:t>
      </w:r>
      <w:r>
        <w:rPr>
          <w:rFonts w:hint="eastAsia" w:ascii="仿宋_GB2312" w:eastAsia="仿宋_GB2312" w:hAnsiTheme="minorEastAsia"/>
          <w:sz w:val="32"/>
          <w:szCs w:val="32"/>
        </w:rPr>
        <w:t>属一级预算单位。</w:t>
      </w:r>
      <w:r>
        <w:rPr>
          <w:rFonts w:hint="eastAsia" w:ascii="仿宋_GB2312" w:eastAsia="仿宋_GB2312"/>
          <w:color w:val="000000" w:themeColor="text1"/>
          <w:sz w:val="32"/>
          <w:szCs w:val="32"/>
          <w14:textFill>
            <w14:solidFill>
              <w14:schemeClr w14:val="tx1"/>
            </w14:solidFill>
          </w14:textFill>
        </w:rPr>
        <w:t>核定行政编制7名，</w:t>
      </w:r>
      <w:r>
        <w:rPr>
          <w:rFonts w:hint="eastAsia" w:ascii="仿宋_GB2312" w:hAnsi="仿宋" w:eastAsia="仿宋_GB2312" w:cs="仿宋"/>
          <w:color w:val="000000" w:themeColor="text1"/>
          <w:kern w:val="0"/>
          <w:sz w:val="32"/>
          <w:szCs w:val="32"/>
          <w:cs/>
          <w:lang w:val="zh-CN"/>
          <w14:textFill>
            <w14:solidFill>
              <w14:schemeClr w14:val="tx1"/>
            </w14:solidFill>
          </w14:textFill>
        </w:rPr>
        <w:t>设</w:t>
      </w:r>
      <w:r>
        <w:rPr>
          <w:rFonts w:hint="eastAsia" w:ascii="仿宋_GB2312" w:hAnsi="仿宋" w:eastAsia="仿宋_GB2312"/>
          <w:color w:val="000000" w:themeColor="text1"/>
          <w:sz w:val="32"/>
          <w:szCs w:val="32"/>
          <w14:textFill>
            <w14:solidFill>
              <w14:schemeClr w14:val="tx1"/>
            </w14:solidFill>
          </w14:textFill>
        </w:rPr>
        <w:t>综合股、机构编制股2个</w:t>
      </w:r>
      <w:r>
        <w:rPr>
          <w:rFonts w:hint="eastAsia" w:ascii="仿宋_GB2312" w:hAnsi="仿宋" w:eastAsia="仿宋_GB2312" w:cs="仿宋"/>
          <w:color w:val="000000" w:themeColor="text1"/>
          <w:kern w:val="0"/>
          <w:sz w:val="32"/>
          <w:szCs w:val="32"/>
          <w:lang w:val="zh-CN" w:bidi="zh-CN"/>
          <w14:textFill>
            <w14:solidFill>
              <w14:schemeClr w14:val="tx1"/>
            </w14:solidFill>
          </w14:textFill>
        </w:rPr>
        <w:t>内设机构，</w:t>
      </w:r>
      <w:r>
        <w:rPr>
          <w:rFonts w:hint="eastAsia" w:ascii="仿宋_GB2312" w:eastAsia="仿宋_GB2312"/>
          <w:color w:val="000000" w:themeColor="text1"/>
          <w:sz w:val="32"/>
          <w:szCs w:val="32"/>
          <w14:textFill>
            <w14:solidFill>
              <w14:schemeClr w14:val="tx1"/>
            </w14:solidFill>
          </w14:textFill>
        </w:rPr>
        <w:t>在编人员</w:t>
      </w:r>
      <w:r>
        <w:rPr>
          <w:rFonts w:hint="eastAsia" w:ascii="仿宋_GB2312" w:eastAsia="仿宋_GB2312"/>
          <w:color w:val="000000" w:themeColor="text1"/>
          <w:sz w:val="32"/>
          <w:szCs w:val="32"/>
          <w:lang w:val="en-US" w:eastAsia="zh-CN"/>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人</w:t>
      </w:r>
      <w:r>
        <w:rPr>
          <w:rFonts w:hint="eastAsia" w:ascii="仿宋_GB2312" w:hAnsi="仿宋" w:eastAsia="仿宋_GB2312"/>
          <w:color w:val="000000" w:themeColor="text1"/>
          <w:sz w:val="32"/>
          <w:szCs w:val="32"/>
          <w14:textFill>
            <w14:solidFill>
              <w14:schemeClr w14:val="tx1"/>
            </w14:solidFill>
          </w14:textFill>
        </w:rPr>
        <w:t>。</w:t>
      </w:r>
      <w:r>
        <w:rPr>
          <w:rFonts w:hint="eastAsia" w:ascii="仿宋_GB2312" w:hAnsi="微软雅黑" w:eastAsia="仿宋_GB2312"/>
          <w:color w:val="000000" w:themeColor="text1"/>
          <w:sz w:val="32"/>
          <w:szCs w:val="32"/>
          <w14:textFill>
            <w14:solidFill>
              <w14:schemeClr w14:val="tx1"/>
            </w14:solidFill>
          </w14:textFill>
        </w:rPr>
        <w:t>下属事业单位津市市机构编制事务中心</w:t>
      </w:r>
      <w:r>
        <w:rPr>
          <w:rFonts w:hint="eastAsia" w:ascii="仿宋_GB2312" w:hAnsi="微软雅黑" w:eastAsia="仿宋_GB2312"/>
          <w:color w:val="000000" w:themeColor="text1"/>
          <w:sz w:val="32"/>
          <w:szCs w:val="32"/>
          <w:lang w:eastAsia="zh-CN"/>
          <w14:textFill>
            <w14:solidFill>
              <w14:schemeClr w14:val="tx1"/>
            </w14:solidFill>
          </w14:textFill>
        </w:rPr>
        <w:t>，</w:t>
      </w:r>
      <w:r>
        <w:rPr>
          <w:rFonts w:hint="eastAsia" w:eastAsia="仿宋_GB2312"/>
          <w:color w:val="000000" w:themeColor="text1"/>
          <w:sz w:val="32"/>
          <w:szCs w:val="32"/>
          <w14:textFill>
            <w14:solidFill>
              <w14:schemeClr w14:val="tx1"/>
            </w14:solidFill>
          </w14:textFill>
        </w:rPr>
        <w:t>核定事业</w:t>
      </w:r>
      <w:r>
        <w:rPr>
          <w:rFonts w:eastAsia="仿宋_GB2312"/>
          <w:color w:val="000000" w:themeColor="text1"/>
          <w:sz w:val="32"/>
          <w:szCs w:val="32"/>
          <w14:textFill>
            <w14:solidFill>
              <w14:schemeClr w14:val="tx1"/>
            </w14:solidFill>
          </w14:textFill>
        </w:rPr>
        <w:t>编制</w:t>
      </w:r>
      <w:r>
        <w:rPr>
          <w:rFonts w:hint="eastAsia" w:eastAsia="仿宋_GB2312"/>
          <w:color w:val="000000" w:themeColor="text1"/>
          <w:sz w:val="32"/>
          <w:szCs w:val="32"/>
          <w14:textFill>
            <w14:solidFill>
              <w14:schemeClr w14:val="tx1"/>
            </w14:solidFill>
          </w14:textFill>
        </w:rPr>
        <w:t>3</w:t>
      </w:r>
      <w:r>
        <w:rPr>
          <w:rFonts w:eastAsia="仿宋_GB2312"/>
          <w:color w:val="000000" w:themeColor="text1"/>
          <w:sz w:val="32"/>
          <w:szCs w:val="32"/>
          <w14:textFill>
            <w14:solidFill>
              <w14:schemeClr w14:val="tx1"/>
            </w14:solidFill>
          </w14:textFill>
        </w:rPr>
        <w:t>名</w:t>
      </w:r>
      <w:r>
        <w:rPr>
          <w:rFonts w:hint="eastAsia" w:eastAsia="仿宋_GB2312"/>
          <w:color w:val="000000" w:themeColor="text1"/>
          <w:sz w:val="32"/>
          <w:szCs w:val="32"/>
          <w14:textFill>
            <w14:solidFill>
              <w14:schemeClr w14:val="tx1"/>
            </w14:solidFill>
          </w14:textFill>
        </w:rPr>
        <w:t>，在编人员1人</w:t>
      </w:r>
      <w:r>
        <w:rPr>
          <w:rFonts w:hint="eastAsia" w:ascii="仿宋_GB2312" w:hAnsi="微软雅黑" w:eastAsia="仿宋_GB2312"/>
          <w:color w:val="000000" w:themeColor="text1"/>
          <w:sz w:val="32"/>
          <w:szCs w:val="32"/>
          <w14:textFill>
            <w14:solidFill>
              <w14:schemeClr w14:val="tx1"/>
            </w14:solidFill>
          </w14:textFill>
        </w:rPr>
        <w:t>。</w:t>
      </w: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7"/>
        <w:widowControl/>
        <w:spacing w:line="600" w:lineRule="exact"/>
        <w:ind w:left="640" w:firstLine="0" w:firstLineChars="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基本支出情况</w:t>
      </w:r>
    </w:p>
    <w:p>
      <w:pPr>
        <w:pStyle w:val="7"/>
        <w:widowControl/>
        <w:spacing w:line="600" w:lineRule="exac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2021年度财政拨款基本支出131.32万元，其中人员经费92.13万元，主要包括基本工资、津贴补贴，伙食补助费，奖金、社保等；公用经费35.03万元，主要包括办公费、印刷费、水电费、邮电费、劳务费、其他交通费等；对企业补助和其他支出4.16万元，主要包括扶贫支出。</w:t>
      </w:r>
    </w:p>
    <w:p>
      <w:pPr>
        <w:pStyle w:val="7"/>
        <w:widowControl/>
        <w:spacing w:line="600" w:lineRule="exact"/>
        <w:ind w:left="640" w:firstLine="0" w:firstLineChars="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2.</w:t>
      </w:r>
      <w:r>
        <w:rPr>
          <w:rFonts w:hint="eastAsia" w:ascii="楷体_GB2312" w:hAnsi="楷体_GB2312" w:eastAsia="楷体_GB2312" w:cs="楷体_GB2312"/>
          <w:sz w:val="32"/>
          <w:szCs w:val="32"/>
        </w:rPr>
        <w:t>项目支出情况</w:t>
      </w:r>
    </w:p>
    <w:p>
      <w:pPr>
        <w:pStyle w:val="7"/>
        <w:widowControl/>
        <w:spacing w:line="600" w:lineRule="exac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2021年度财政拨款项目支出29.98万元，主要用于统一社会信用代码赋码、机构编制统计等支出。</w:t>
      </w:r>
    </w:p>
    <w:p>
      <w:pPr>
        <w:pStyle w:val="7"/>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pStyle w:val="7"/>
        <w:widowControl/>
        <w:spacing w:line="600" w:lineRule="exact"/>
        <w:ind w:left="640" w:firstLine="0" w:firstLineChars="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2021年，市委编办全面服务中心大局、不断夯实业务基础、扎实推进自身建设，较好地完成各项工作任务，为全市经济社会发展提供了体制机制保障。</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b w:val="0"/>
          <w:bCs w:val="0"/>
          <w:lang w:val="en-US" w:eastAsia="zh-CN"/>
        </w:rPr>
      </w:pPr>
      <w:r>
        <w:rPr>
          <w:rFonts w:hint="eastAsia" w:ascii="楷体" w:hAnsi="楷体" w:eastAsia="楷体" w:cs="楷体"/>
          <w:b w:val="0"/>
          <w:bCs w:val="0"/>
          <w:color w:val="auto"/>
          <w:sz w:val="32"/>
          <w:szCs w:val="32"/>
          <w:shd w:val="clear" w:color="auto" w:fill="auto"/>
          <w:lang w:val="en-US" w:eastAsia="zh-CN"/>
        </w:rPr>
        <w:t>1.</w:t>
      </w:r>
      <w:r>
        <w:rPr>
          <w:rFonts w:hint="eastAsia" w:ascii="楷体" w:hAnsi="楷体" w:eastAsia="楷体" w:cs="楷体"/>
          <w:b w:val="0"/>
          <w:bCs w:val="0"/>
          <w:color w:val="000000"/>
          <w:sz w:val="32"/>
          <w:szCs w:val="30"/>
          <w:lang w:val="en-US" w:eastAsia="zh-CN"/>
        </w:rPr>
        <w:t>服务大局，发挥机构编制保障职能。</w:t>
      </w:r>
      <w:r>
        <w:rPr>
          <w:rFonts w:hint="eastAsia" w:ascii="仿宋_GB2312" w:hAnsi="仿宋_GB2312" w:eastAsia="仿宋_GB2312" w:cs="仿宋_GB2312"/>
          <w:b w:val="0"/>
          <w:bCs w:val="0"/>
          <w:kern w:val="2"/>
          <w:sz w:val="32"/>
          <w:szCs w:val="32"/>
          <w:lang w:val="en-US" w:eastAsia="zh-CN" w:bidi="ar-SA"/>
        </w:rPr>
        <w:t>在空编内共核准用编计划186名。在上级下达编制总量内对我市21所中小学教职工编制1280名进行了动态调整。</w:t>
      </w:r>
      <w:r>
        <w:rPr>
          <w:rFonts w:hint="eastAsia" w:ascii="仿宋_GB2312" w:hAnsi="仿宋_GB2312" w:eastAsia="仿宋_GB2312" w:cs="仿宋_GB2312"/>
          <w:kern w:val="2"/>
          <w:sz w:val="32"/>
          <w:szCs w:val="32"/>
          <w:lang w:val="en-US" w:eastAsia="zh-CN" w:bidi="ar-SA"/>
        </w:rPr>
        <w:t>新时代文明实践服务中心和殡葬事务中心2个股级事业机构升格为副科级。为做好本土革命文物保护与利用，批准文旅广体局设立“红二军团指挥部旧址陈列馆”股级公益一类事业机构1个。全力保障园区发展需要，扎实做好全面清理开发区管理机构工作，对开发区人员、职责、机构进一步优化，重新拟定了高新区“三定”规定，设立2个副科级事业机构。深入9个镇街就全面加强基层建设，进一步优化基层机构编制资源配置开展调研，深入了解镇街现行的机构设置运行、编制管理等情况，为其解决实际困难和问题。</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 w:hAnsi="楷体" w:eastAsia="楷体" w:cs="楷体"/>
          <w:b w:val="0"/>
          <w:bCs w:val="0"/>
          <w:color w:val="auto"/>
          <w:spacing w:val="0"/>
          <w:sz w:val="32"/>
          <w:szCs w:val="32"/>
          <w:shd w:val="clear" w:color="auto" w:fill="auto"/>
          <w:lang w:val="en-US" w:eastAsia="zh-CN"/>
        </w:rPr>
        <w:t>2.严格规范，扎实做好业务基础工作。</w:t>
      </w:r>
      <w:r>
        <w:rPr>
          <w:rFonts w:hint="eastAsia" w:ascii="仿宋_GB2312" w:hAnsi="仿宋_GB2312" w:eastAsia="仿宋_GB2312" w:cs="仿宋_GB2312"/>
          <w:b w:val="0"/>
          <w:bCs w:val="0"/>
          <w:sz w:val="32"/>
          <w:szCs w:val="32"/>
          <w:lang w:val="en-US" w:eastAsia="zh-CN"/>
        </w:rPr>
        <w:t>整合行政复议职责，落实编制配备，调剂行政复议与应诉人员编制2名。</w:t>
      </w:r>
      <w:r>
        <w:rPr>
          <w:rFonts w:hint="eastAsia" w:ascii="仿宋_GB2312" w:hAnsi="仿宋_GB2312" w:eastAsia="仿宋_GB2312" w:cs="仿宋_GB2312"/>
          <w:b w:val="0"/>
          <w:bCs w:val="0"/>
          <w:sz w:val="32"/>
          <w:szCs w:val="32"/>
        </w:rPr>
        <w:t>动态调整机构编制事项，及时更新人员基本信息。</w:t>
      </w:r>
      <w:r>
        <w:rPr>
          <w:rFonts w:hint="eastAsia" w:ascii="仿宋_GB2312" w:hAnsi="仿宋_GB2312" w:eastAsia="仿宋_GB2312" w:cs="仿宋_GB2312"/>
          <w:kern w:val="2"/>
          <w:sz w:val="32"/>
          <w:szCs w:val="32"/>
          <w:lang w:val="en-US" w:eastAsia="zh-CN" w:bidi="ar-SA"/>
        </w:rPr>
        <w:t>对全市机关事业单位的机构批复和实际设置情况、编制核定及实有人员情况、领导职数核定及配备情况进行全面核查。</w:t>
      </w:r>
      <w:r>
        <w:rPr>
          <w:rFonts w:hint="eastAsia" w:ascii="仿宋_GB2312" w:hAnsi="仿宋_GB2312" w:eastAsia="仿宋_GB2312" w:cs="仿宋_GB2312"/>
          <w:b w:val="0"/>
          <w:bCs w:val="0"/>
          <w:sz w:val="32"/>
          <w:szCs w:val="32"/>
          <w:lang w:val="en-US" w:eastAsia="zh-CN"/>
        </w:rPr>
        <w:t>推行事业单位年度报告“不见面”审批，全面实现“一趟清”和“不见面”审批。</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b w:val="0"/>
          <w:bCs w:val="0"/>
          <w:color w:val="auto"/>
          <w:spacing w:val="0"/>
          <w:sz w:val="32"/>
          <w:szCs w:val="32"/>
          <w:shd w:val="clear" w:color="auto" w:fill="auto"/>
          <w:lang w:val="en-US" w:eastAsia="zh-CN"/>
        </w:rPr>
      </w:pPr>
      <w:r>
        <w:rPr>
          <w:rFonts w:hint="eastAsia" w:ascii="楷体" w:hAnsi="楷体" w:eastAsia="楷体"/>
          <w:b w:val="0"/>
          <w:bCs w:val="0"/>
          <w:sz w:val="32"/>
          <w:szCs w:val="30"/>
          <w:lang w:val="en-US" w:eastAsia="zh-CN"/>
        </w:rPr>
        <w:t>3.</w:t>
      </w:r>
      <w:r>
        <w:rPr>
          <w:rFonts w:hint="eastAsia" w:ascii="楷体" w:hAnsi="楷体" w:eastAsia="楷体"/>
          <w:b w:val="0"/>
          <w:bCs w:val="0"/>
          <w:sz w:val="32"/>
          <w:szCs w:val="30"/>
          <w:lang w:eastAsia="zh-CN"/>
        </w:rPr>
        <w:t>落实责任，全面加强</w:t>
      </w:r>
      <w:r>
        <w:rPr>
          <w:rFonts w:hint="eastAsia" w:ascii="楷体" w:hAnsi="楷体" w:eastAsia="楷体"/>
          <w:b w:val="0"/>
          <w:bCs w:val="0"/>
          <w:sz w:val="32"/>
          <w:szCs w:val="30"/>
        </w:rPr>
        <w:t>自身建设</w:t>
      </w:r>
      <w:r>
        <w:rPr>
          <w:rFonts w:hint="eastAsia" w:ascii="楷体" w:hAnsi="楷体" w:eastAsia="楷体"/>
          <w:b w:val="0"/>
          <w:bCs w:val="0"/>
          <w:sz w:val="32"/>
          <w:szCs w:val="30"/>
          <w:lang w:val="en-US" w:eastAsia="zh-CN"/>
        </w:rPr>
        <w:t>。</w:t>
      </w:r>
      <w:r>
        <w:rPr>
          <w:rFonts w:hint="eastAsia" w:ascii="仿宋_GB2312" w:eastAsia="仿宋_GB2312"/>
          <w:b w:val="0"/>
          <w:bCs w:val="0"/>
          <w:sz w:val="32"/>
          <w:szCs w:val="32"/>
        </w:rPr>
        <w:t>全面推进智慧党建平台运用，加强支部“五化”建设认真落实“三会一课”</w:t>
      </w:r>
      <w:r>
        <w:rPr>
          <w:rFonts w:hint="eastAsia" w:ascii="仿宋_GB2312" w:eastAsia="仿宋_GB2312"/>
          <w:b w:val="0"/>
          <w:bCs w:val="0"/>
          <w:sz w:val="32"/>
          <w:szCs w:val="32"/>
          <w:lang w:eastAsia="zh-CN"/>
        </w:rPr>
        <w:t>制度</w:t>
      </w:r>
      <w:r>
        <w:rPr>
          <w:rFonts w:hint="eastAsia" w:ascii="仿宋_GB2312" w:eastAsia="仿宋_GB2312"/>
          <w:b w:val="0"/>
          <w:bCs w:val="0"/>
          <w:sz w:val="32"/>
          <w:szCs w:val="32"/>
        </w:rPr>
        <w:t>，</w:t>
      </w:r>
      <w:r>
        <w:rPr>
          <w:rFonts w:hint="eastAsia" w:ascii="仿宋_GB2312" w:eastAsia="仿宋_GB2312"/>
          <w:b w:val="0"/>
          <w:bCs w:val="0"/>
          <w:sz w:val="32"/>
          <w:szCs w:val="32"/>
          <w:lang w:eastAsia="zh-CN"/>
        </w:rPr>
        <w:t>深入开展“主题党日”活动。</w:t>
      </w:r>
      <w:r>
        <w:rPr>
          <w:rFonts w:hint="eastAsia" w:ascii="仿宋_GB2312" w:hAnsi="仿宋_GB2312" w:eastAsia="仿宋_GB2312" w:cs="仿宋_GB2312"/>
          <w:color w:val="auto"/>
          <w:spacing w:val="0"/>
          <w:sz w:val="32"/>
          <w:szCs w:val="32"/>
          <w:shd w:val="clear" w:color="auto" w:fill="auto"/>
          <w:lang w:val="en-US" w:eastAsia="zh-CN"/>
        </w:rPr>
        <w:t>认真落实谈心谈话制度。根据巡察反馈意见，按要求做好巡察整改。</w:t>
      </w:r>
      <w:r>
        <w:rPr>
          <w:rFonts w:hint="eastAsia" w:ascii="仿宋_GB2312" w:eastAsia="仿宋_GB2312"/>
          <w:sz w:val="32"/>
          <w:szCs w:val="32"/>
          <w:lang w:val="en-US" w:eastAsia="zh-CN"/>
        </w:rPr>
        <w:t>认真落实党史学习教育相关要求，扎实抓好干部集中学习和自学，坚持每月进行集中研讨。加强全办干部业务知识学习</w:t>
      </w:r>
      <w:r>
        <w:rPr>
          <w:rFonts w:hint="eastAsia" w:ascii="仿宋_GB2312" w:hAnsi="仿宋_GB2312" w:eastAsia="仿宋_GB2312" w:cs="仿宋_GB2312"/>
          <w:color w:val="auto"/>
          <w:spacing w:val="0"/>
          <w:sz w:val="32"/>
          <w:szCs w:val="32"/>
          <w:shd w:val="clear" w:color="auto" w:fill="auto"/>
          <w:lang w:val="en-US" w:eastAsia="zh-CN"/>
        </w:rPr>
        <w:t>，重点</w:t>
      </w:r>
      <w:r>
        <w:rPr>
          <w:rFonts w:hint="eastAsia" w:ascii="仿宋_GB2312" w:hAnsi="仿宋_GB2312" w:eastAsia="仿宋_GB2312" w:cs="仿宋_GB2312"/>
          <w:b w:val="0"/>
          <w:bCs w:val="0"/>
          <w:color w:val="auto"/>
          <w:spacing w:val="0"/>
          <w:sz w:val="32"/>
          <w:szCs w:val="32"/>
          <w:shd w:val="clear" w:color="auto" w:fill="auto"/>
          <w:lang w:val="en-US" w:eastAsia="zh-CN"/>
        </w:rPr>
        <w:t>学习《条例》及相关配套法规制度</w:t>
      </w:r>
      <w:r>
        <w:rPr>
          <w:rFonts w:hint="eastAsia" w:ascii="仿宋_GB2312" w:hAnsi="仿宋_GB2312" w:eastAsia="仿宋_GB2312" w:cs="仿宋_GB2312"/>
          <w:color w:val="auto"/>
          <w:spacing w:val="0"/>
          <w:sz w:val="32"/>
          <w:szCs w:val="32"/>
          <w:shd w:val="clear" w:color="auto" w:fill="auto"/>
          <w:lang w:val="en-US" w:eastAsia="zh-CN"/>
        </w:rPr>
        <w:t>。</w:t>
      </w:r>
      <w:r>
        <w:rPr>
          <w:rFonts w:hint="eastAsia" w:ascii="仿宋_GB2312" w:hAnsi="仿宋_GB2312" w:eastAsia="仿宋_GB2312" w:cs="仿宋_GB2312"/>
          <w:b w:val="0"/>
          <w:bCs w:val="0"/>
          <w:color w:val="auto"/>
          <w:spacing w:val="0"/>
          <w:sz w:val="32"/>
          <w:szCs w:val="32"/>
          <w:shd w:val="clear" w:color="auto" w:fill="auto"/>
          <w:lang w:val="en-US" w:eastAsia="zh-CN"/>
        </w:rPr>
        <w:t>协助社区做好疫情防控摸排工作；全面落实乡村振兴工作任务；认真做好国家卫生城市复审路段包保工作；全方位做好部门服务企业工作；积极参与招商引资工作，湖北瑞能华辉公司投资3.3亿元的制冷剂项目已完成签约。</w:t>
      </w:r>
    </w:p>
    <w:p>
      <w:pPr>
        <w:pStyle w:val="7"/>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eastAsia="zh-CN"/>
        </w:rPr>
        <w:t>对于绩效评价的认识不够深入，把绩效评价简单等同于工作目标、工作考核和</w:t>
      </w:r>
      <w:bookmarkStart w:id="0" w:name="_GoBack"/>
      <w:bookmarkEnd w:id="0"/>
      <w:r>
        <w:rPr>
          <w:rFonts w:hint="eastAsia" w:eastAsia="仿宋_GB2312"/>
          <w:sz w:val="32"/>
          <w:szCs w:val="32"/>
          <w:lang w:eastAsia="zh-CN"/>
        </w:rPr>
        <w:t>业务管理。在绩效考评指标的设计上，缺乏数据支持和可行的分析测评，绩效指标体系有待完善。</w:t>
      </w:r>
      <w:r>
        <w:rPr>
          <w:rFonts w:hint="eastAsia" w:eastAsia="仿宋_GB2312"/>
          <w:sz w:val="32"/>
          <w:szCs w:val="32"/>
          <w:lang w:val="en-US" w:eastAsia="zh-CN"/>
        </w:rPr>
        <w:t xml:space="preserve">  </w:t>
      </w:r>
    </w:p>
    <w:p>
      <w:pPr>
        <w:widowControl/>
        <w:spacing w:line="600" w:lineRule="exact"/>
        <w:ind w:firstLine="640" w:firstLineChars="20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widowControl/>
        <w:spacing w:line="600" w:lineRule="exact"/>
        <w:ind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加强绩效评价管理制度和流程的建设，进一步深化、完善绩效管理体系。</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spacing w:line="600" w:lineRule="exact"/>
        <w:ind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A1F797-4232-41D7-83FD-CAE06A144B7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C9E5BFA-C863-4FDB-9B7F-1F980DAD6A6A}"/>
  </w:font>
  <w:font w:name="方正小标宋简体">
    <w:panose1 w:val="03000509000000000000"/>
    <w:charset w:val="86"/>
    <w:family w:val="auto"/>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3" w:fontKey="{243703CB-DD00-48DE-9852-770470D9C9DB}"/>
  </w:font>
  <w:font w:name="楷体_GB2312">
    <w:panose1 w:val="02010609030101010101"/>
    <w:charset w:val="86"/>
    <w:family w:val="modern"/>
    <w:pitch w:val="default"/>
    <w:sig w:usb0="00000001" w:usb1="080E0000" w:usb2="00000000" w:usb3="00000000" w:csb0="00040000" w:csb1="00000000"/>
    <w:embedRegular r:id="rId4" w:fontKey="{AE1E8060-D9F0-4247-BBA0-367C0997963D}"/>
  </w:font>
  <w:font w:name="仿宋_GB2312">
    <w:panose1 w:val="02010609030101010101"/>
    <w:charset w:val="86"/>
    <w:family w:val="modern"/>
    <w:pitch w:val="default"/>
    <w:sig w:usb0="00000001" w:usb1="080E0000" w:usb2="00000000" w:usb3="00000000" w:csb0="00040000" w:csb1="00000000"/>
    <w:embedRegular r:id="rId5" w:fontKey="{6BFD6B58-75DA-47D4-BF55-3F0587215646}"/>
  </w:font>
  <w:font w:name="仿宋">
    <w:panose1 w:val="02010609060101010101"/>
    <w:charset w:val="86"/>
    <w:family w:val="modern"/>
    <w:pitch w:val="default"/>
    <w:sig w:usb0="800002BF" w:usb1="38CF7CFA" w:usb2="00000016" w:usb3="00000000" w:csb0="00040001" w:csb1="00000000"/>
    <w:embedRegular r:id="rId6" w:fontKey="{099198A6-93D7-4DD5-9756-F14013ADDB53}"/>
  </w:font>
  <w:font w:name="微软雅黑">
    <w:panose1 w:val="020B0503020204020204"/>
    <w:charset w:val="86"/>
    <w:family w:val="swiss"/>
    <w:pitch w:val="default"/>
    <w:sig w:usb0="80000287" w:usb1="280F3C52" w:usb2="00000016" w:usb3="00000000" w:csb0="0004001F" w:csb1="00000000"/>
    <w:embedRegular r:id="rId7" w:fontKey="{0E92D133-FF35-4F5E-9C2A-A15915E2EC27}"/>
  </w:font>
  <w:font w:name="楷体">
    <w:panose1 w:val="02010609060101010101"/>
    <w:charset w:val="86"/>
    <w:family w:val="auto"/>
    <w:pitch w:val="default"/>
    <w:sig w:usb0="800002BF" w:usb1="38CF7CFA" w:usb2="00000016" w:usb3="00000000" w:csb0="00040001" w:csb1="00000000"/>
    <w:embedRegular r:id="rId8" w:fontKey="{7A878A2D-CCB4-4B62-9766-5F88910E219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1A630871"/>
    <w:rsid w:val="1AE12C7C"/>
    <w:rsid w:val="37FE52BB"/>
    <w:rsid w:val="39192C38"/>
    <w:rsid w:val="3A076E09"/>
    <w:rsid w:val="496E311E"/>
    <w:rsid w:val="4B860C4C"/>
    <w:rsid w:val="5A762586"/>
    <w:rsid w:val="5A9D5D9B"/>
    <w:rsid w:val="7C7F1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0"/>
    <w:pPr>
      <w:ind w:firstLine="100" w:firstLineChars="100"/>
    </w:pPr>
  </w:style>
  <w:style w:type="paragraph" w:customStyle="1" w:styleId="3">
    <w:name w:val="BodyText"/>
    <w:basedOn w:val="1"/>
    <w:qFormat/>
    <w:uiPriority w:val="0"/>
    <w:pPr>
      <w:spacing w:after="12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List Paragraph"/>
    <w:basedOn w:val="1"/>
    <w:qFormat/>
    <w:uiPriority w:val="99"/>
    <w:pPr>
      <w:ind w:firstLine="420" w:firstLineChars="200"/>
    </w:pPr>
    <w:rPr>
      <w:rFonts w:ascii="Calibri" w:hAnsi="Calibri" w:eastAsia="宋体" w:cs="Times New Roman"/>
      <w:szCs w:val="22"/>
    </w:rPr>
  </w:style>
  <w:style w:type="paragraph" w:customStyle="1" w:styleId="8">
    <w:name w:val="MSG_EN_FONT_STYLE_NAME_TEMPLATE_ROLE MSG_EN_FONT_STYLE_NAME_BY_ROLE_TEXT|2"/>
    <w:basedOn w:val="1"/>
    <w:qFormat/>
    <w:uiPriority w:val="0"/>
    <w:pPr>
      <w:shd w:val="clear" w:color="auto" w:fill="FFFFFF"/>
      <w:spacing w:before="100" w:after="100" w:line="300" w:lineRule="exact"/>
      <w:jc w:val="center"/>
    </w:pPr>
    <w:rPr>
      <w:rFonts w:ascii="宋体" w:hAnsi="宋体" w:cs="宋体"/>
      <w:color w:val="000000"/>
      <w:spacing w:val="20"/>
      <w:kern w:val="0"/>
      <w:sz w:val="30"/>
      <w:szCs w:val="30"/>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yl</cp:lastModifiedBy>
  <dcterms:modified xsi:type="dcterms:W3CDTF">2022-03-28T07:44:36Z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116947F835AE4EA184F225A0FE414C9A</vt:lpwstr>
  </property>
</Properties>
</file>