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中共津市市委机构编制委员会办公室</w:t>
      </w:r>
    </w:p>
    <w:p>
      <w:pPr>
        <w:spacing w:line="600" w:lineRule="exact"/>
        <w:jc w:val="center"/>
        <w:rPr>
          <w:rFonts w:eastAsia="方正小标宋_GBK"/>
          <w:sz w:val="36"/>
          <w:szCs w:val="36"/>
        </w:rPr>
      </w:pPr>
      <w:r>
        <w:rPr>
          <w:rFonts w:hint="eastAsia" w:ascii="方正小标宋简体" w:hAnsi="方正小标宋简体" w:eastAsia="方正小标宋简体" w:cs="方正小标宋简体"/>
          <w:sz w:val="44"/>
          <w:szCs w:val="44"/>
          <w:lang w:val="en-US" w:eastAsia="zh-CN"/>
        </w:rPr>
        <w:t>2021年度</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bookmarkStart w:id="0" w:name="_GoBack"/>
      <w:r>
        <w:rPr>
          <w:rFonts w:hint="eastAsia" w:ascii="仿宋_GB2312" w:hAnsi="仿宋_GB2312" w:eastAsia="仿宋_GB2312" w:cs="仿宋_GB2312"/>
          <w:color w:val="000000" w:themeColor="text1"/>
          <w:sz w:val="32"/>
          <w:szCs w:val="32"/>
          <w14:textFill>
            <w14:solidFill>
              <w14:schemeClr w14:val="tx1"/>
            </w14:solidFill>
          </w14:textFill>
        </w:rPr>
        <w:t>为加强财政支出绩效管理，促进财政资金使用的科学化、合理化和精细化，根据中共湖南省委办公厅、湖南省人民政府办公厅《关于全面实施预算绩效管理的意见》（湘办发[2019]10号）等规定，以及津市市财政局的工作安排，</w:t>
      </w:r>
      <w:r>
        <w:rPr>
          <w:rFonts w:hint="eastAsia" w:ascii="仿宋_GB2312" w:hAnsi="仿宋_GB2312" w:eastAsia="仿宋_GB2312" w:cs="仿宋_GB2312"/>
          <w:color w:val="000000" w:themeColor="text1"/>
          <w:sz w:val="32"/>
          <w:szCs w:val="32"/>
          <w:lang w:eastAsia="zh-CN"/>
          <w14:textFill>
            <w14:solidFill>
              <w14:schemeClr w14:val="tx1"/>
            </w14:solidFill>
          </w14:textFill>
        </w:rPr>
        <w:t>中共</w:t>
      </w:r>
      <w:r>
        <w:rPr>
          <w:rFonts w:hint="eastAsia" w:ascii="仿宋_GB2312" w:hAnsi="仿宋_GB2312" w:eastAsia="仿宋_GB2312" w:cs="仿宋_GB2312"/>
          <w:color w:val="000000" w:themeColor="text1"/>
          <w:sz w:val="32"/>
          <w:szCs w:val="32"/>
          <w14:textFill>
            <w14:solidFill>
              <w14:schemeClr w14:val="tx1"/>
            </w14:solidFill>
          </w14:textFill>
        </w:rPr>
        <w:t>津市市</w:t>
      </w:r>
      <w:r>
        <w:rPr>
          <w:rFonts w:hint="eastAsia" w:ascii="仿宋_GB2312" w:hAnsi="仿宋_GB2312" w:eastAsia="仿宋_GB2312" w:cs="仿宋_GB2312"/>
          <w:color w:val="000000" w:themeColor="text1"/>
          <w:sz w:val="32"/>
          <w:szCs w:val="32"/>
          <w:lang w:eastAsia="zh-CN"/>
          <w14:textFill>
            <w14:solidFill>
              <w14:schemeClr w14:val="tx1"/>
            </w14:solidFill>
          </w14:textFill>
        </w:rPr>
        <w:t>委机构编制委员会办公室</w:t>
      </w:r>
      <w:r>
        <w:rPr>
          <w:rFonts w:hint="eastAsia" w:ascii="仿宋_GB2312" w:hAnsi="仿宋_GB2312" w:eastAsia="仿宋_GB2312" w:cs="仿宋_GB2312"/>
          <w:color w:val="000000" w:themeColor="text1"/>
          <w:sz w:val="32"/>
          <w:szCs w:val="32"/>
          <w14:textFill>
            <w14:solidFill>
              <w14:schemeClr w14:val="tx1"/>
            </w14:solidFill>
          </w14:textFill>
        </w:rPr>
        <w:t>于2021年3月25日至31日对</w:t>
      </w:r>
      <w:r>
        <w:rPr>
          <w:rFonts w:hint="eastAsia" w:ascii="仿宋_GB2312" w:hAnsi="仿宋_GB2312" w:eastAsia="仿宋_GB2312" w:cs="仿宋_GB2312"/>
          <w:color w:val="000000" w:themeColor="text1"/>
          <w:sz w:val="32"/>
          <w:szCs w:val="32"/>
          <w:lang w:eastAsia="zh-CN"/>
          <w14:textFill>
            <w14:solidFill>
              <w14:schemeClr w14:val="tx1"/>
            </w14:solidFill>
          </w14:textFill>
        </w:rPr>
        <w:t>事业单位登记专项</w:t>
      </w:r>
      <w:r>
        <w:rPr>
          <w:rFonts w:hint="eastAsia" w:ascii="仿宋_GB2312" w:hAnsi="仿宋_GB2312" w:eastAsia="仿宋_GB2312" w:cs="仿宋_GB2312"/>
          <w:color w:val="000000" w:themeColor="text1"/>
          <w:sz w:val="32"/>
          <w:szCs w:val="32"/>
          <w14:textFill>
            <w14:solidFill>
              <w14:schemeClr w14:val="tx1"/>
            </w14:solidFill>
          </w14:textFill>
        </w:rPr>
        <w:t>支出绩效进行了自我评价，现将评价结果报告如下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adjustRightInd w:val="0"/>
        <w:snapToGrid w:val="0"/>
        <w:spacing w:line="60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一、</w:t>
      </w:r>
      <w:r>
        <w:rPr>
          <w:rFonts w:hint="eastAsia" w:eastAsia="黑体"/>
          <w:color w:val="000000" w:themeColor="text1"/>
          <w:sz w:val="32"/>
          <w:szCs w:val="32"/>
          <w:lang w:eastAsia="zh-CN"/>
          <w14:textFill>
            <w14:solidFill>
              <w14:schemeClr w14:val="tx1"/>
            </w14:solidFill>
          </w14:textFill>
        </w:rPr>
        <w:t>项目</w:t>
      </w:r>
      <w:r>
        <w:rPr>
          <w:rFonts w:eastAsia="黑体"/>
          <w:color w:val="000000" w:themeColor="text1"/>
          <w:sz w:val="32"/>
          <w:szCs w:val="32"/>
          <w14:textFill>
            <w14:solidFill>
              <w14:schemeClr w14:val="tx1"/>
            </w14:solidFill>
          </w14:textFill>
        </w:rPr>
        <w:t>支出概况</w:t>
      </w:r>
    </w:p>
    <w:p>
      <w:pPr>
        <w:adjustRightInd w:val="0"/>
        <w:snapToGrid w:val="0"/>
        <w:spacing w:line="600" w:lineRule="exact"/>
        <w:ind w:firstLine="640" w:firstLineChars="200"/>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（一）项目实施单位基本情况</w:t>
      </w:r>
    </w:p>
    <w:p>
      <w:pPr>
        <w:spacing w:line="58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事业单位登记专项的实施单位为中共</w:t>
      </w:r>
      <w:r>
        <w:rPr>
          <w:rFonts w:hint="eastAsia" w:ascii="仿宋_GB2312" w:hAnsi="仿宋_GB2312" w:eastAsia="仿宋_GB2312" w:cs="仿宋_GB2312"/>
          <w:color w:val="000000" w:themeColor="text1"/>
          <w:sz w:val="32"/>
          <w:szCs w:val="32"/>
          <w14:textFill>
            <w14:solidFill>
              <w14:schemeClr w14:val="tx1"/>
            </w14:solidFill>
          </w14:textFill>
        </w:rPr>
        <w:t>津市市</w:t>
      </w:r>
      <w:r>
        <w:rPr>
          <w:rFonts w:hint="eastAsia" w:ascii="仿宋_GB2312" w:hAnsi="仿宋_GB2312" w:eastAsia="仿宋_GB2312" w:cs="仿宋_GB2312"/>
          <w:color w:val="000000" w:themeColor="text1"/>
          <w:sz w:val="32"/>
          <w:szCs w:val="32"/>
          <w:lang w:eastAsia="zh-CN"/>
          <w14:textFill>
            <w14:solidFill>
              <w14:schemeClr w14:val="tx1"/>
            </w14:solidFill>
          </w14:textFill>
        </w:rPr>
        <w:t>委机构编制委员会办公室。中共</w:t>
      </w:r>
      <w:r>
        <w:rPr>
          <w:rFonts w:hint="eastAsia" w:ascii="仿宋_GB2312" w:hAnsi="仿宋_GB2312" w:eastAsia="仿宋_GB2312" w:cs="仿宋_GB2312"/>
          <w:color w:val="000000" w:themeColor="text1"/>
          <w:sz w:val="32"/>
          <w:szCs w:val="32"/>
          <w14:textFill>
            <w14:solidFill>
              <w14:schemeClr w14:val="tx1"/>
            </w14:solidFill>
          </w14:textFill>
        </w:rPr>
        <w:t>津市市</w:t>
      </w:r>
      <w:r>
        <w:rPr>
          <w:rFonts w:hint="eastAsia" w:ascii="仿宋_GB2312" w:hAnsi="仿宋_GB2312" w:eastAsia="仿宋_GB2312" w:cs="仿宋_GB2312"/>
          <w:color w:val="000000" w:themeColor="text1"/>
          <w:sz w:val="32"/>
          <w:szCs w:val="32"/>
          <w:lang w:eastAsia="zh-CN"/>
          <w14:textFill>
            <w14:solidFill>
              <w14:schemeClr w14:val="tx1"/>
            </w14:solidFill>
          </w14:textFill>
        </w:rPr>
        <w:t>委机构编制委员会办公室（以下简称市委编办）为独立核算的行政单位，属一级预算单位。</w:t>
      </w:r>
      <w:r>
        <w:rPr>
          <w:rFonts w:hint="eastAsia" w:ascii="仿宋_GB2312" w:hAnsi="仿宋_GB2312" w:eastAsia="仿宋_GB2312" w:cs="仿宋_GB2312"/>
          <w:color w:val="000000" w:themeColor="text1"/>
          <w:kern w:val="0"/>
          <w:sz w:val="32"/>
          <w:szCs w:val="32"/>
          <w:cs/>
          <w:lang w:val="zh-CN"/>
          <w14:textFill>
            <w14:solidFill>
              <w14:schemeClr w14:val="tx1"/>
            </w14:solidFill>
          </w14:textFill>
        </w:rPr>
        <w:t>设</w:t>
      </w:r>
      <w:r>
        <w:rPr>
          <w:rFonts w:hint="eastAsia" w:ascii="仿宋_GB2312" w:hAnsi="仿宋_GB2312" w:eastAsia="仿宋_GB2312" w:cs="仿宋_GB2312"/>
          <w:color w:val="000000" w:themeColor="text1"/>
          <w:sz w:val="32"/>
          <w:szCs w:val="32"/>
          <w14:textFill>
            <w14:solidFill>
              <w14:schemeClr w14:val="tx1"/>
            </w14:solidFill>
          </w14:textFill>
        </w:rPr>
        <w:t>综合股、机构编制股2个</w:t>
      </w:r>
      <w:r>
        <w:rPr>
          <w:rFonts w:hint="eastAsia" w:ascii="仿宋_GB2312" w:hAnsi="仿宋_GB2312" w:eastAsia="仿宋_GB2312" w:cs="仿宋_GB2312"/>
          <w:color w:val="000000" w:themeColor="text1"/>
          <w:kern w:val="0"/>
          <w:sz w:val="32"/>
          <w:szCs w:val="32"/>
          <w:lang w:val="zh-CN" w:bidi="zh-CN"/>
          <w14:textFill>
            <w14:solidFill>
              <w14:schemeClr w14:val="tx1"/>
            </w14:solidFill>
          </w14:textFill>
        </w:rPr>
        <w:t>内设机构</w:t>
      </w:r>
      <w:r>
        <w:rPr>
          <w:rFonts w:hint="eastAsia" w:ascii="仿宋_GB2312" w:hAnsi="仿宋_GB2312" w:eastAsia="仿宋_GB2312" w:cs="仿宋_GB2312"/>
          <w:color w:val="000000" w:themeColor="text1"/>
          <w:sz w:val="32"/>
          <w:szCs w:val="32"/>
          <w14:textFill>
            <w14:solidFill>
              <w14:schemeClr w14:val="tx1"/>
            </w14:solidFill>
          </w14:textFill>
        </w:rPr>
        <w:t>。下属事业单位津市市机构编制事务中心。市委编办核定行政编制7名，在编人员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人；津市市机构编制事务中心核定事业编制3名，在编人员1人。</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基本情况</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项目实施依据</w:t>
      </w:r>
    </w:p>
    <w:p>
      <w:pPr>
        <w:adjustRightInd w:val="0"/>
        <w:snapToGrid w:val="0"/>
        <w:spacing w:line="600" w:lineRule="exact"/>
        <w:ind w:firstLine="640" w:firstLineChars="20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根据《</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HYPERLINK "https://www.waizi.org.cn/law/8029.html" \o "财综〔2008〕78号《财政部国家发展改革委关于公布取消和停止征收100项行政事业性收费项目的通知》" \t "https://www.waizi.org.cn/law/_blank"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财政部国家发展改革委关于公布取消和停止征收100项行政事业性收费项目的通知</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HYPERLINK "https://www.waizi.org.cn/law/8029.html" \o "财综〔2008〕78号《财政部国家发展改革委关于公布取消和停止征收100项行政事业性收费项目的通知》" \t "https://www.waizi.org.cn/law/_blank"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财综〔2008〕78号</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）精神，</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自2009年1月1日起，在全国统一取消和停止征收100项行政事业性收费（第71项事业单位登记费）。各地区和部门出台的收费项目与本通知公布取消和停止征收的收费项目相类似的，一律予以取消。上述行政事业性收费项目取消和停止征收后，有关部门和单位依法履行行政管理职能或核发证照所需要的经费，由同级财政预算予以保障。</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主要内容</w:t>
      </w:r>
    </w:p>
    <w:p>
      <w:pPr>
        <w:adjustRightInd w:val="0"/>
        <w:snapToGrid w:val="0"/>
        <w:spacing w:line="600" w:lineRule="exact"/>
        <w:ind w:firstLine="640" w:firstLineChars="20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本项目的主要内容包括，办理事业单位年度报告、设立、变更、注销等登记事项，促进社会事业持续健康发展。</w:t>
      </w:r>
    </w:p>
    <w:p>
      <w:pPr>
        <w:adjustRightInd w:val="0"/>
        <w:snapToGrid w:val="0"/>
        <w:spacing w:line="60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二、</w:t>
      </w:r>
      <w:r>
        <w:rPr>
          <w:rFonts w:hint="eastAsia" w:eastAsia="黑体"/>
          <w:color w:val="000000" w:themeColor="text1"/>
          <w:sz w:val="32"/>
          <w:szCs w:val="32"/>
          <w:lang w:eastAsia="zh-CN"/>
          <w14:textFill>
            <w14:solidFill>
              <w14:schemeClr w14:val="tx1"/>
            </w14:solidFill>
          </w14:textFill>
        </w:rPr>
        <w:t>项目</w:t>
      </w:r>
      <w:r>
        <w:rPr>
          <w:rFonts w:eastAsia="黑体"/>
          <w:color w:val="000000" w:themeColor="text1"/>
          <w:sz w:val="32"/>
          <w:szCs w:val="32"/>
          <w14:textFill>
            <w14:solidFill>
              <w14:schemeClr w14:val="tx1"/>
            </w14:solidFill>
          </w14:textFill>
        </w:rPr>
        <w:t>资金使用及管理情况</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资金</w:t>
      </w:r>
      <w:r>
        <w:rPr>
          <w:rFonts w:hint="eastAsia" w:ascii="仿宋_GB2312" w:hAnsi="仿宋_GB2312" w:eastAsia="仿宋_GB2312" w:cs="仿宋_GB2312"/>
          <w:color w:val="000000" w:themeColor="text1"/>
          <w:sz w:val="32"/>
          <w:szCs w:val="32"/>
          <w:lang w:eastAsia="zh-CN"/>
          <w14:textFill>
            <w14:solidFill>
              <w14:schemeClr w14:val="tx1"/>
            </w14:solidFill>
          </w14:textFill>
        </w:rPr>
        <w:t>预算安排情况</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年度，市财政批复预算安排本项目专项工作经费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万元，202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月底到位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万元，资金到位率100%。</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资金实际使用情况</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按照本项目的工作部署，202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年度主要包括</w:t>
      </w:r>
      <w:r>
        <w:rPr>
          <w:rFonts w:hint="eastAsia" w:ascii="仿宋_GB2312" w:hAnsi="仿宋_GB2312" w:eastAsia="仿宋_GB2312" w:cs="仿宋_GB2312"/>
          <w:color w:val="000000" w:themeColor="text1"/>
          <w:sz w:val="32"/>
          <w:szCs w:val="32"/>
          <w:lang w:eastAsia="zh-CN"/>
          <w14:textFill>
            <w14:solidFill>
              <w14:schemeClr w14:val="tx1"/>
            </w14:solidFill>
          </w14:textFill>
        </w:rPr>
        <w:t>证书购买、培训宣传、业务受理、档案整理等工作。年度内已使用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4万元。</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资金管理情况</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1、资金管理制度健全</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一是为了保证本项目资金的规范使用，</w:t>
      </w:r>
      <w:r>
        <w:rPr>
          <w:rFonts w:hint="eastAsia" w:ascii="仿宋_GB2312" w:hAnsi="仿宋_GB2312" w:eastAsia="仿宋_GB2312" w:cs="仿宋_GB2312"/>
          <w:color w:val="000000" w:themeColor="text1"/>
          <w:sz w:val="32"/>
          <w:szCs w:val="32"/>
          <w:lang w:eastAsia="zh-CN"/>
          <w14:textFill>
            <w14:solidFill>
              <w14:schemeClr w14:val="tx1"/>
            </w14:solidFill>
          </w14:textFill>
        </w:rPr>
        <w:t>市委编办</w:t>
      </w:r>
      <w:r>
        <w:rPr>
          <w:rFonts w:hint="eastAsia" w:ascii="仿宋_GB2312" w:hAnsi="仿宋_GB2312" w:eastAsia="仿宋_GB2312" w:cs="仿宋_GB2312"/>
          <w:color w:val="000000" w:themeColor="text1"/>
          <w:sz w:val="32"/>
          <w:szCs w:val="32"/>
          <w14:textFill>
            <w14:solidFill>
              <w14:schemeClr w14:val="tx1"/>
            </w14:solidFill>
          </w14:textFill>
        </w:rPr>
        <w:t>在已制定《财务管理制度》的基础上，专门制定了《专项资金管理制度》，对资金的预算、管理、使用及相关监管程序等做出了具体规定，实现了本项目的资金管理使用有章可循的基本目标。</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二是由</w:t>
      </w:r>
      <w:r>
        <w:rPr>
          <w:rFonts w:hint="eastAsia" w:ascii="仿宋_GB2312" w:hAnsi="仿宋_GB2312" w:eastAsia="仿宋_GB2312" w:cs="仿宋_GB2312"/>
          <w:color w:val="000000" w:themeColor="text1"/>
          <w:sz w:val="32"/>
          <w:szCs w:val="32"/>
          <w:lang w:eastAsia="zh-CN"/>
          <w14:textFill>
            <w14:solidFill>
              <w14:schemeClr w14:val="tx1"/>
            </w14:solidFill>
          </w14:textFill>
        </w:rPr>
        <w:t>党政</w:t>
      </w:r>
      <w:r>
        <w:rPr>
          <w:rFonts w:hint="eastAsia" w:ascii="仿宋_GB2312" w:hAnsi="仿宋_GB2312" w:eastAsia="仿宋_GB2312" w:cs="仿宋_GB2312"/>
          <w:color w:val="000000" w:themeColor="text1"/>
          <w:sz w:val="32"/>
          <w:szCs w:val="32"/>
          <w14:textFill>
            <w14:solidFill>
              <w14:schemeClr w14:val="tx1"/>
            </w14:solidFill>
          </w14:textFill>
        </w:rPr>
        <w:t>机关</w:t>
      </w:r>
      <w:r>
        <w:rPr>
          <w:rFonts w:hint="eastAsia" w:ascii="仿宋_GB2312" w:hAnsi="仿宋_GB2312" w:eastAsia="仿宋_GB2312" w:cs="仿宋_GB2312"/>
          <w:color w:val="000000" w:themeColor="text1"/>
          <w:sz w:val="32"/>
          <w:szCs w:val="32"/>
          <w:lang w:eastAsia="zh-CN"/>
          <w14:textFill>
            <w14:solidFill>
              <w14:schemeClr w14:val="tx1"/>
            </w14:solidFill>
          </w14:textFill>
        </w:rPr>
        <w:t>财务核算中心</w:t>
      </w:r>
      <w:r>
        <w:rPr>
          <w:rFonts w:hint="eastAsia" w:ascii="仿宋_GB2312" w:hAnsi="仿宋_GB2312" w:eastAsia="仿宋_GB2312" w:cs="仿宋_GB2312"/>
          <w:color w:val="000000" w:themeColor="text1"/>
          <w:sz w:val="32"/>
          <w:szCs w:val="32"/>
          <w14:textFill>
            <w14:solidFill>
              <w14:schemeClr w14:val="tx1"/>
            </w14:solidFill>
          </w14:textFill>
        </w:rPr>
        <w:t>对本专项资金统一进行会计核算，财务处理及时规范，严格实行了财务监管。</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2、资金使用合规有效</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依据财经法律法规及</w:t>
      </w:r>
      <w:r>
        <w:rPr>
          <w:rFonts w:hint="eastAsia" w:ascii="仿宋_GB2312" w:hAnsi="仿宋_GB2312" w:eastAsia="仿宋_GB2312" w:cs="仿宋_GB2312"/>
          <w:color w:val="000000" w:themeColor="text1"/>
          <w:sz w:val="32"/>
          <w:szCs w:val="32"/>
          <w:lang w:eastAsia="zh-CN"/>
          <w14:textFill>
            <w14:solidFill>
              <w14:schemeClr w14:val="tx1"/>
            </w14:solidFill>
          </w14:textFill>
        </w:rPr>
        <w:t>市委编办</w:t>
      </w:r>
      <w:r>
        <w:rPr>
          <w:rFonts w:hint="eastAsia" w:ascii="仿宋_GB2312" w:hAnsi="仿宋_GB2312" w:eastAsia="仿宋_GB2312" w:cs="仿宋_GB2312"/>
          <w:color w:val="000000" w:themeColor="text1"/>
          <w:sz w:val="32"/>
          <w:szCs w:val="32"/>
          <w14:textFill>
            <w14:solidFill>
              <w14:schemeClr w14:val="tx1"/>
            </w14:solidFill>
          </w14:textFill>
        </w:rPr>
        <w:t>《财务管理制度》、《专项资金管理制度》的规定，根据本项目的工作要求，严格规范了项目管理，做到了项目资金专款专用，支付依据齐全有效，标准合规，审批程序和手续完备，支付进度及时，杜绝挤占、截留、挪用等现象发生</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保证了项目顺利实施和年度绩效目标总体实现。</w:t>
      </w:r>
    </w:p>
    <w:p>
      <w:pPr>
        <w:adjustRightInd w:val="0"/>
        <w:snapToGrid w:val="0"/>
        <w:spacing w:line="60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三、</w:t>
      </w:r>
      <w:r>
        <w:rPr>
          <w:rFonts w:hint="eastAsia" w:eastAsia="黑体"/>
          <w:color w:val="000000" w:themeColor="text1"/>
          <w:sz w:val="32"/>
          <w:szCs w:val="32"/>
          <w:lang w:eastAsia="zh-CN"/>
          <w14:textFill>
            <w14:solidFill>
              <w14:schemeClr w14:val="tx1"/>
            </w14:solidFill>
          </w14:textFill>
        </w:rPr>
        <w:t>项目</w:t>
      </w:r>
      <w:r>
        <w:rPr>
          <w:rFonts w:eastAsia="黑体"/>
          <w:color w:val="000000" w:themeColor="text1"/>
          <w:sz w:val="32"/>
          <w:szCs w:val="32"/>
          <w14:textFill>
            <w14:solidFill>
              <w14:schemeClr w14:val="tx1"/>
            </w14:solidFill>
          </w14:textFill>
        </w:rPr>
        <w:t>支出组织实施情况</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为了顺利完成本项目所规定的工作任务，市</w:t>
      </w:r>
      <w:r>
        <w:rPr>
          <w:rFonts w:hint="eastAsia" w:ascii="仿宋_GB2312" w:hAnsi="仿宋_GB2312" w:eastAsia="仿宋_GB2312" w:cs="仿宋_GB2312"/>
          <w:color w:val="000000" w:themeColor="text1"/>
          <w:sz w:val="32"/>
          <w:szCs w:val="32"/>
          <w:lang w:eastAsia="zh-CN"/>
          <w14:textFill>
            <w14:solidFill>
              <w14:schemeClr w14:val="tx1"/>
            </w14:solidFill>
          </w14:textFill>
        </w:rPr>
        <w:t>委编办</w:t>
      </w:r>
      <w:r>
        <w:rPr>
          <w:rFonts w:hint="eastAsia" w:ascii="仿宋_GB2312" w:hAnsi="仿宋_GB2312" w:eastAsia="仿宋_GB2312" w:cs="仿宋_GB2312"/>
          <w:color w:val="000000" w:themeColor="text1"/>
          <w:sz w:val="32"/>
          <w:szCs w:val="32"/>
          <w14:textFill>
            <w14:solidFill>
              <w14:schemeClr w14:val="tx1"/>
            </w14:solidFill>
          </w14:textFill>
        </w:rPr>
        <w:t>高度重视，</w:t>
      </w:r>
      <w:r>
        <w:rPr>
          <w:rFonts w:hint="eastAsia" w:ascii="仿宋_GB2312" w:hAnsi="仿宋_GB2312" w:eastAsia="仿宋_GB2312" w:cs="仿宋_GB2312"/>
          <w:color w:val="000000" w:themeColor="text1"/>
          <w:sz w:val="32"/>
          <w:szCs w:val="32"/>
          <w:lang w:eastAsia="zh-CN"/>
          <w14:textFill>
            <w14:solidFill>
              <w14:schemeClr w14:val="tx1"/>
            </w14:solidFill>
          </w14:textFill>
        </w:rPr>
        <w:t>明确分管负责人和专干共同负责项目支出工作，全力</w:t>
      </w:r>
      <w:r>
        <w:rPr>
          <w:rFonts w:hint="eastAsia" w:ascii="仿宋_GB2312" w:hAnsi="仿宋_GB2312" w:eastAsia="仿宋_GB2312" w:cs="仿宋_GB2312"/>
          <w:color w:val="000000" w:themeColor="text1"/>
          <w:sz w:val="32"/>
          <w:szCs w:val="32"/>
          <w14:textFill>
            <w14:solidFill>
              <w14:schemeClr w14:val="tx1"/>
            </w14:solidFill>
          </w14:textFill>
        </w:rPr>
        <w:t>推进本项目工作。</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明确专人负责</w:t>
      </w:r>
      <w:r>
        <w:rPr>
          <w:rFonts w:hint="eastAsia" w:ascii="仿宋_GB2312" w:hAnsi="仿宋_GB2312" w:eastAsia="仿宋_GB2312" w:cs="仿宋_GB2312"/>
          <w:color w:val="000000" w:themeColor="text1"/>
          <w:sz w:val="32"/>
          <w:szCs w:val="32"/>
          <w14:textFill>
            <w14:solidFill>
              <w14:schemeClr w14:val="tx1"/>
            </w14:solidFill>
          </w14:textFill>
        </w:rPr>
        <w:t>，做到经费、人员、物资保障到位。</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开展业务宣传及培训工作，推动事业单位登记工作的开展</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lang w:eastAsia="zh-CN"/>
          <w14:textFill>
            <w14:solidFill>
              <w14:schemeClr w14:val="tx1"/>
            </w14:solidFill>
          </w14:textFill>
        </w:rPr>
        <w:t>及时督促各单位办理相关登记业务，确保登记业务办理的时效性</w:t>
      </w:r>
      <w:r>
        <w:rPr>
          <w:rFonts w:hint="eastAsia" w:ascii="仿宋_GB2312" w:hAnsi="仿宋_GB2312" w:eastAsia="仿宋_GB2312" w:cs="仿宋_GB2312"/>
          <w:color w:val="000000" w:themeColor="text1"/>
          <w:sz w:val="32"/>
          <w:szCs w:val="32"/>
          <w14:textFill>
            <w14:solidFill>
              <w14:schemeClr w14:val="tx1"/>
            </w14:solidFill>
          </w14:textFill>
        </w:rPr>
        <w:t>。</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w:t>
      </w:r>
      <w:r>
        <w:rPr>
          <w:rFonts w:hint="eastAsia" w:ascii="仿宋_GB2312" w:hAnsi="仿宋_GB2312" w:eastAsia="仿宋_GB2312" w:cs="仿宋_GB2312"/>
          <w:color w:val="000000" w:themeColor="text1"/>
          <w:sz w:val="32"/>
          <w:szCs w:val="32"/>
          <w:lang w:eastAsia="zh-CN"/>
          <w14:textFill>
            <w14:solidFill>
              <w14:schemeClr w14:val="tx1"/>
            </w14:solidFill>
          </w14:textFill>
        </w:rPr>
        <w:t>资料整理归档</w:t>
      </w:r>
      <w:r>
        <w:rPr>
          <w:rFonts w:hint="eastAsia" w:ascii="仿宋_GB2312" w:hAnsi="仿宋_GB2312" w:eastAsia="仿宋_GB2312" w:cs="仿宋_GB2312"/>
          <w:color w:val="000000" w:themeColor="text1"/>
          <w:sz w:val="32"/>
          <w:szCs w:val="32"/>
          <w14:textFill>
            <w14:solidFill>
              <w14:schemeClr w14:val="tx1"/>
            </w14:solidFill>
          </w14:textFill>
        </w:rPr>
        <w:t>。</w:t>
      </w:r>
    </w:p>
    <w:p>
      <w:pPr>
        <w:adjustRightInd w:val="0"/>
        <w:snapToGrid w:val="0"/>
        <w:spacing w:line="60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四、</w:t>
      </w:r>
      <w:r>
        <w:rPr>
          <w:rFonts w:hint="eastAsia" w:eastAsia="黑体"/>
          <w:color w:val="000000" w:themeColor="text1"/>
          <w:sz w:val="32"/>
          <w:szCs w:val="32"/>
          <w:lang w:eastAsia="zh-CN"/>
          <w14:textFill>
            <w14:solidFill>
              <w14:schemeClr w14:val="tx1"/>
            </w14:solidFill>
          </w14:textFill>
        </w:rPr>
        <w:t>项目</w:t>
      </w:r>
      <w:r>
        <w:rPr>
          <w:rFonts w:eastAsia="黑体"/>
          <w:color w:val="000000" w:themeColor="text1"/>
          <w:sz w:val="32"/>
          <w:szCs w:val="32"/>
          <w14:textFill>
            <w14:solidFill>
              <w14:schemeClr w14:val="tx1"/>
            </w14:solidFill>
          </w14:textFill>
        </w:rPr>
        <w:t>绩效情况</w:t>
      </w:r>
    </w:p>
    <w:p>
      <w:pPr>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推行事业单位年度报告“不见面”审批，全面实现“一趟清”和“不见面”审批。2021年3月底前191家事业单位全面完成年度报告工作，年度报告率100%。年度办理事业单位设立登记16家、注销登记18家、变更登记23家、证书补领2家。</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本项目资金使用均符合预算批复和财务管理制度规定的用途和支出范围。</w:t>
      </w:r>
    </w:p>
    <w:p>
      <w:pPr>
        <w:adjustRightInd w:val="0"/>
        <w:snapToGrid w:val="0"/>
        <w:spacing w:line="600" w:lineRule="exact"/>
        <w:ind w:firstLine="640" w:firstLineChars="200"/>
        <w:rPr>
          <w:rFonts w:eastAsia="黑体"/>
          <w:color w:val="000000" w:themeColor="text1"/>
          <w:sz w:val="32"/>
          <w:szCs w:val="32"/>
          <w14:textFill>
            <w14:solidFill>
              <w14:schemeClr w14:val="tx1"/>
            </w14:solidFill>
          </w14:textFill>
        </w:rPr>
      </w:pPr>
      <w:r>
        <w:rPr>
          <w:rFonts w:hint="eastAsia" w:eastAsia="黑体"/>
          <w:color w:val="000000" w:themeColor="text1"/>
          <w:sz w:val="32"/>
          <w:szCs w:val="32"/>
          <w:lang w:eastAsia="zh-CN"/>
          <w14:textFill>
            <w14:solidFill>
              <w14:schemeClr w14:val="tx1"/>
            </w14:solidFill>
          </w14:textFill>
        </w:rPr>
        <w:t>五</w:t>
      </w:r>
      <w:r>
        <w:rPr>
          <w:rFonts w:eastAsia="黑体"/>
          <w:color w:val="000000" w:themeColor="text1"/>
          <w:sz w:val="32"/>
          <w:szCs w:val="32"/>
          <w14:textFill>
            <w14:solidFill>
              <w14:schemeClr w14:val="tx1"/>
            </w14:solidFill>
          </w14:textFill>
        </w:rPr>
        <w:t>、其他需要说明的问题</w:t>
      </w:r>
    </w:p>
    <w:p>
      <w:pPr>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（一）后续工作计划</w:t>
      </w:r>
    </w:p>
    <w:p>
      <w:pPr>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按《事业单位登记管理暂行条例实施细则》和《事业单位法人年度报告公示办法（试行）的通知》持续开展事业单位年度报告和相关登记工作。</w:t>
      </w:r>
    </w:p>
    <w:p>
      <w:pPr>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（二）存在的问题和建议</w:t>
      </w:r>
    </w:p>
    <w:p>
      <w:pPr>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绩效评价工作有待提升。建议继续加强学习和培训的力度，加强对申报项目的指导，使项目编制更加符合绩效评价相关要求，适时开展培训，提高对项目资金使用绩效评价工作重要意义的认识，牢固树立绩效管理理念，同时进一步提高绩效评价工作方式、方法，将已完成的所有工作绩效成果充分体现出来。</w:t>
      </w:r>
    </w:p>
    <w:p>
      <w:pPr>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附件：项目支出绩效自评表</w:t>
      </w:r>
    </w:p>
    <w:bookmarkEnd w:id="0"/>
    <w:p>
      <w:pPr>
        <w:adjustRightInd w:val="0"/>
        <w:snapToGrid w:val="0"/>
        <w:spacing w:line="600" w:lineRule="exact"/>
        <w:ind w:firstLine="640" w:firstLineChars="200"/>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br w:type="page"/>
      </w:r>
    </w:p>
    <w:tbl>
      <w:tblPr>
        <w:tblStyle w:val="5"/>
        <w:tblW w:w="9999" w:type="dxa"/>
        <w:jc w:val="center"/>
        <w:tblLayout w:type="fixed"/>
        <w:tblCellMar>
          <w:top w:w="0" w:type="dxa"/>
          <w:left w:w="108" w:type="dxa"/>
          <w:bottom w:w="0" w:type="dxa"/>
          <w:right w:w="108" w:type="dxa"/>
        </w:tblCellMar>
      </w:tblPr>
      <w:tblGrid>
        <w:gridCol w:w="871"/>
        <w:gridCol w:w="855"/>
        <w:gridCol w:w="1200"/>
        <w:gridCol w:w="1455"/>
        <w:gridCol w:w="855"/>
        <w:gridCol w:w="1065"/>
        <w:gridCol w:w="1407"/>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adjustRightInd w:val="0"/>
              <w:snapToGrid w:val="0"/>
              <w:spacing w:line="600" w:lineRule="exact"/>
              <w:ind w:firstLine="640" w:firstLineChars="200"/>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480" w:hRule="atLeast"/>
          <w:jc w:val="center"/>
        </w:trPr>
        <w:tc>
          <w:tcPr>
            <w:tcW w:w="87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项目支</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出名称</w:t>
            </w:r>
          </w:p>
        </w:tc>
        <w:tc>
          <w:tcPr>
            <w:tcW w:w="9128" w:type="dxa"/>
            <w:gridSpan w:val="8"/>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eastAsia" w:ascii="宋体" w:hAnsi="宋体" w:eastAsia="宋体" w:cs="宋体"/>
                <w:color w:val="000000"/>
                <w:kern w:val="0"/>
                <w:szCs w:val="21"/>
                <w:lang w:eastAsia="zh-CN"/>
              </w:rPr>
              <w:t>事业单位登记费　</w:t>
            </w:r>
          </w:p>
        </w:tc>
      </w:tr>
      <w:tr>
        <w:tblPrEx>
          <w:tblCellMar>
            <w:top w:w="0" w:type="dxa"/>
            <w:left w:w="108" w:type="dxa"/>
            <w:bottom w:w="0" w:type="dxa"/>
            <w:right w:w="108" w:type="dxa"/>
          </w:tblCellMar>
        </w:tblPrEx>
        <w:trPr>
          <w:trHeight w:val="340" w:hRule="atLeast"/>
          <w:jc w:val="center"/>
        </w:trPr>
        <w:tc>
          <w:tcPr>
            <w:tcW w:w="87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主管</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部门</w:t>
            </w:r>
          </w:p>
        </w:tc>
        <w:tc>
          <w:tcPr>
            <w:tcW w:w="436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tabs>
                <w:tab w:val="center" w:pos="1741"/>
              </w:tabs>
              <w:kinsoku/>
              <w:wordWrap/>
              <w:overflowPunct/>
              <w:topLinePunct w:val="0"/>
              <w:autoSpaceDE/>
              <w:autoSpaceDN/>
              <w:bidi w:val="0"/>
              <w:adjustRightInd/>
              <w:snapToGrid/>
              <w:spacing w:line="240" w:lineRule="exact"/>
              <w:jc w:val="left"/>
              <w:textAlignment w:val="auto"/>
              <w:rPr>
                <w:rFonts w:hint="eastAsia" w:ascii="Times New Roman" w:hAnsi="Times New Roman" w:eastAsia="仿宋_GB2312" w:cs="Times New Roman"/>
                <w:color w:val="000000"/>
                <w:kern w:val="0"/>
                <w:sz w:val="21"/>
                <w:szCs w:val="21"/>
                <w:lang w:val="en-US" w:eastAsia="zh-CN" w:bidi="ar-SA"/>
              </w:rPr>
            </w:pPr>
            <w:r>
              <w:rPr>
                <w:rFonts w:hint="eastAsia" w:ascii="宋体" w:hAnsi="宋体" w:eastAsia="宋体" w:cs="宋体"/>
                <w:color w:val="000000"/>
                <w:kern w:val="0"/>
                <w:szCs w:val="21"/>
                <w:lang w:eastAsia="zh-CN"/>
              </w:rPr>
              <w:tab/>
            </w:r>
            <w:r>
              <w:rPr>
                <w:rFonts w:hint="eastAsia" w:ascii="宋体" w:hAnsi="宋体" w:eastAsia="宋体" w:cs="宋体"/>
                <w:color w:val="000000"/>
                <w:kern w:val="0"/>
                <w:szCs w:val="21"/>
                <w:lang w:eastAsia="zh-CN"/>
              </w:rPr>
              <w:t>中共津市市委机构编制委员会办公室</w:t>
            </w:r>
          </w:p>
        </w:tc>
        <w:tc>
          <w:tcPr>
            <w:tcW w:w="1065"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实施单位</w:t>
            </w:r>
          </w:p>
        </w:tc>
        <w:tc>
          <w:tcPr>
            <w:tcW w:w="3698"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tabs>
                <w:tab w:val="center" w:pos="1741"/>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t>中共津市市委机构编制委员会办公室</w:t>
            </w:r>
          </w:p>
        </w:tc>
      </w:tr>
      <w:tr>
        <w:tblPrEx>
          <w:tblCellMar>
            <w:top w:w="0" w:type="dxa"/>
            <w:left w:w="108" w:type="dxa"/>
            <w:bottom w:w="0" w:type="dxa"/>
            <w:right w:w="108" w:type="dxa"/>
          </w:tblCellMar>
        </w:tblPrEx>
        <w:trPr>
          <w:trHeight w:val="340" w:hRule="atLeast"/>
          <w:jc w:val="center"/>
        </w:trPr>
        <w:tc>
          <w:tcPr>
            <w:tcW w:w="87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项目</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仿宋_GB2312"/>
                <w:color w:val="000000"/>
                <w:kern w:val="0"/>
                <w:szCs w:val="21"/>
                <w:lang w:eastAsia="zh-CN"/>
              </w:rPr>
            </w:pPr>
            <w:r>
              <w:rPr>
                <w:rFonts w:eastAsia="仿宋_GB2312"/>
                <w:color w:val="000000"/>
                <w:kern w:val="0"/>
                <w:szCs w:val="21"/>
              </w:rPr>
              <w:t>资金</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eastAsia" w:eastAsia="仿宋_GB2312"/>
                <w:color w:val="000000"/>
                <w:kern w:val="0"/>
                <w:szCs w:val="21"/>
                <w:lang w:val="en-US" w:eastAsia="zh-CN"/>
              </w:rPr>
              <w:t>(</w:t>
            </w:r>
            <w:r>
              <w:rPr>
                <w:rFonts w:eastAsia="仿宋_GB2312"/>
                <w:color w:val="000000"/>
                <w:kern w:val="0"/>
                <w:szCs w:val="21"/>
              </w:rPr>
              <w:t>万元</w:t>
            </w:r>
            <w:r>
              <w:rPr>
                <w:rFonts w:hint="eastAsia" w:eastAsia="仿宋_GB2312"/>
                <w:color w:val="000000"/>
                <w:kern w:val="0"/>
                <w:szCs w:val="21"/>
                <w:lang w:val="en-US" w:eastAsia="zh-CN"/>
              </w:rPr>
              <w:t>)</w:t>
            </w:r>
          </w:p>
        </w:tc>
        <w:tc>
          <w:tcPr>
            <w:tcW w:w="205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年初</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预算数</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预算数</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szCs w:val="21"/>
              </w:rPr>
            </w:pPr>
            <w:r>
              <w:rPr>
                <w:rFonts w:eastAsia="仿宋_GB2312"/>
                <w:szCs w:val="21"/>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szCs w:val="21"/>
              </w:rPr>
            </w:pPr>
            <w:r>
              <w:rPr>
                <w:rFonts w:eastAsia="仿宋_GB2312"/>
                <w:szCs w:val="21"/>
              </w:rPr>
              <w:t>执行数</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87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205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年度资金总额　</w:t>
            </w: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87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205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其中：当年财政拨款　</w:t>
            </w: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87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205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上年结转资金　</w:t>
            </w: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205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630" w:firstLineChars="300"/>
              <w:jc w:val="left"/>
              <w:textAlignment w:val="auto"/>
              <w:rPr>
                <w:rFonts w:eastAsia="仿宋_GB2312"/>
                <w:color w:val="000000"/>
                <w:kern w:val="0"/>
                <w:szCs w:val="21"/>
              </w:rPr>
            </w:pPr>
            <w:r>
              <w:rPr>
                <w:rFonts w:eastAsia="仿宋_GB2312"/>
                <w:color w:val="000000"/>
                <w:kern w:val="0"/>
                <w:szCs w:val="21"/>
              </w:rPr>
              <w:t>其他资金</w:t>
            </w: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年度总</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体目标</w:t>
            </w:r>
          </w:p>
        </w:tc>
        <w:tc>
          <w:tcPr>
            <w:tcW w:w="436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预期目标</w:t>
            </w:r>
          </w:p>
        </w:tc>
        <w:tc>
          <w:tcPr>
            <w:tcW w:w="476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1335" w:hRule="atLeast"/>
          <w:jc w:val="center"/>
        </w:trPr>
        <w:tc>
          <w:tcPr>
            <w:tcW w:w="87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436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完成事业单位年度报告、设立登记、变更登记、注销登记，促进社会事业持续健康发展。</w:t>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ab/>
            </w:r>
            <w:r>
              <w:rPr>
                <w:rFonts w:hint="eastAsia" w:ascii="宋体" w:hAnsi="宋体" w:eastAsia="宋体" w:cs="宋体"/>
                <w:color w:val="000000"/>
                <w:kern w:val="0"/>
                <w:szCs w:val="21"/>
              </w:rPr>
              <w:t>　　</w:t>
            </w:r>
          </w:p>
        </w:tc>
        <w:tc>
          <w:tcPr>
            <w:tcW w:w="476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推行事业单位年度报告“不见面”审批，全面实现“一趟清”和“不见面”审批。2021年3月底前191家事业单位全面完成年度报告工作，年度报告率100%。年度办理事业单位设立登记16家、注销登记18家、变更登记23家、证书补领2家。</w:t>
            </w:r>
          </w:p>
        </w:tc>
      </w:tr>
      <w:tr>
        <w:tblPrEx>
          <w:tblCellMar>
            <w:top w:w="0" w:type="dxa"/>
            <w:left w:w="108" w:type="dxa"/>
            <w:bottom w:w="0" w:type="dxa"/>
            <w:right w:w="108" w:type="dxa"/>
          </w:tblCellMar>
        </w:tblPrEx>
        <w:trPr>
          <w:trHeight w:val="613" w:hRule="atLeast"/>
          <w:jc w:val="center"/>
        </w:trPr>
        <w:tc>
          <w:tcPr>
            <w:tcW w:w="87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绩</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一级</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指标</w:t>
            </w:r>
          </w:p>
        </w:tc>
        <w:tc>
          <w:tcPr>
            <w:tcW w:w="12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二级指标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三级指标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年度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指标值</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实际</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完成值</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偏差原因</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分析及</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产出</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指标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(50分)</w:t>
            </w:r>
          </w:p>
        </w:tc>
        <w:tc>
          <w:tcPr>
            <w:tcW w:w="120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数量指标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事业单位年度报告完成数量</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190家</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191家</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事业单位设立登记、变更登记、注销登记完成率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质量指标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事业单位年度报告提交率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信息准确率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时效指标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完成及时率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成本指标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成本规范合理率</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100%</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效益</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指标</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eastAsia" w:eastAsia="仿宋_GB2312"/>
                <w:color w:val="000000"/>
                <w:kern w:val="0"/>
                <w:szCs w:val="21"/>
                <w:lang w:val="en-US" w:eastAsia="zh-CN"/>
              </w:rPr>
              <w:t>(</w:t>
            </w:r>
            <w:r>
              <w:rPr>
                <w:rFonts w:eastAsia="仿宋_GB2312"/>
                <w:color w:val="000000"/>
                <w:kern w:val="0"/>
                <w:szCs w:val="21"/>
              </w:rPr>
              <w:t>30分</w:t>
            </w:r>
            <w:r>
              <w:rPr>
                <w:rFonts w:hint="eastAsia" w:eastAsia="仿宋_GB2312"/>
                <w:color w:val="000000"/>
                <w:kern w:val="0"/>
                <w:szCs w:val="21"/>
                <w:lang w:val="en-US" w:eastAsia="zh-CN"/>
              </w:rPr>
              <w:t>)</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c>
          <w:tcPr>
            <w:tcW w:w="12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经济效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益指标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社会效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益指标</w:t>
            </w:r>
          </w:p>
        </w:tc>
        <w:tc>
          <w:tcPr>
            <w:tcW w:w="14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事业单位按照登记事项从事活动，更好地服务经济社会发展</w:t>
            </w:r>
          </w:p>
        </w:tc>
        <w:tc>
          <w:tcPr>
            <w:tcW w:w="8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default" w:ascii="Arial Unicode MS" w:hAnsi="Arial Unicode MS" w:eastAsia="Arial Unicode MS" w:cs="Arial Unicode MS"/>
                <w:i w:val="0"/>
                <w:iCs w:val="0"/>
                <w:color w:val="000000"/>
                <w:kern w:val="0"/>
                <w:sz w:val="20"/>
                <w:szCs w:val="20"/>
                <w:u w:val="none"/>
                <w:lang w:val="en-US" w:eastAsia="zh-CN" w:bidi="ar"/>
              </w:rPr>
              <w:t>实现信息查询共享</w:t>
            </w:r>
          </w:p>
        </w:tc>
        <w:tc>
          <w:tcPr>
            <w:tcW w:w="10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Arial Unicode MS" w:hAnsi="Arial Unicode MS" w:eastAsia="Arial Unicode MS" w:cs="Arial Unicode MS"/>
                <w:i w:val="0"/>
                <w:iCs w:val="0"/>
                <w:color w:val="000000"/>
                <w:kern w:val="0"/>
                <w:sz w:val="20"/>
                <w:szCs w:val="20"/>
                <w:u w:val="none"/>
                <w:lang w:val="en-US" w:eastAsia="zh-CN" w:bidi="ar"/>
              </w:rPr>
            </w:pPr>
            <w:r>
              <w:rPr>
                <w:rFonts w:hint="eastAsia" w:ascii="Arial Unicode MS" w:hAnsi="Arial Unicode MS" w:eastAsia="Arial Unicode MS" w:cs="Arial Unicode MS"/>
                <w:i w:val="0"/>
                <w:iCs w:val="0"/>
                <w:color w:val="000000"/>
                <w:kern w:val="0"/>
                <w:sz w:val="20"/>
                <w:szCs w:val="20"/>
                <w:u w:val="none"/>
                <w:lang w:val="en-US" w:eastAsia="zh-CN" w:bidi="ar"/>
              </w:rPr>
              <w:t>逐步实现</w:t>
            </w:r>
          </w:p>
        </w:tc>
        <w:tc>
          <w:tcPr>
            <w:tcW w:w="140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Arial Unicode MS" w:hAnsi="Arial Unicode MS" w:eastAsia="Arial Unicode MS" w:cs="Arial Unicode MS"/>
                <w:i w:val="0"/>
                <w:iCs w:val="0"/>
                <w:color w:val="000000"/>
                <w:kern w:val="0"/>
                <w:sz w:val="20"/>
                <w:szCs w:val="20"/>
                <w:u w:val="none"/>
                <w:lang w:val="en-US" w:eastAsia="zh-CN" w:bidi="ar"/>
              </w:rPr>
            </w:pPr>
            <w:r>
              <w:rPr>
                <w:rFonts w:hint="eastAsia" w:ascii="Arial Unicode MS" w:hAnsi="Arial Unicode MS" w:eastAsia="Arial Unicode MS" w:cs="Arial Unicode MS"/>
                <w:i w:val="0"/>
                <w:iCs w:val="0"/>
                <w:color w:val="000000"/>
                <w:kern w:val="0"/>
                <w:sz w:val="20"/>
                <w:szCs w:val="20"/>
                <w:u w:val="none"/>
                <w:lang w:val="en-US" w:eastAsia="zh-CN" w:bidi="ar"/>
              </w:rPr>
              <w:t>30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30</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生态效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益指标</w:t>
            </w:r>
          </w:p>
        </w:tc>
        <w:tc>
          <w:tcPr>
            <w:tcW w:w="14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55"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可持续</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影响指标</w:t>
            </w:r>
          </w:p>
        </w:tc>
        <w:tc>
          <w:tcPr>
            <w:tcW w:w="14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7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p>
        </w:tc>
        <w:tc>
          <w:tcPr>
            <w:tcW w:w="855"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满意度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指标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hint="eastAsia" w:eastAsia="仿宋_GB2312"/>
                <w:color w:val="000000"/>
                <w:kern w:val="0"/>
                <w:szCs w:val="21"/>
                <w:lang w:val="en-US" w:eastAsia="zh-CN"/>
              </w:rPr>
              <w:t>(</w:t>
            </w:r>
            <w:r>
              <w:rPr>
                <w:rFonts w:eastAsia="仿宋_GB2312"/>
                <w:color w:val="000000"/>
                <w:kern w:val="0"/>
                <w:szCs w:val="21"/>
              </w:rPr>
              <w:t>10分</w:t>
            </w:r>
            <w:r>
              <w:rPr>
                <w:rFonts w:hint="eastAsia" w:eastAsia="仿宋_GB2312"/>
                <w:color w:val="000000"/>
                <w:kern w:val="0"/>
                <w:szCs w:val="21"/>
                <w:lang w:val="en-US" w:eastAsia="zh-CN"/>
              </w:rPr>
              <w:t>)</w:t>
            </w:r>
          </w:p>
        </w:tc>
        <w:tc>
          <w:tcPr>
            <w:tcW w:w="1200"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 w:val="18"/>
                <w:szCs w:val="18"/>
              </w:rPr>
              <w:t>服务对象满意度指标</w:t>
            </w: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部门及群众满意度</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imes New Roman" w:hAnsi="Times New Roman" w:eastAsia="仿宋_GB2312" w:cs="Times New Roman"/>
                <w:color w:val="000000"/>
                <w:kern w:val="0"/>
                <w:sz w:val="21"/>
                <w:szCs w:val="21"/>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达95%以上</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满意度95%</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301"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总分</w:t>
            </w:r>
          </w:p>
        </w:tc>
        <w:tc>
          <w:tcPr>
            <w:tcW w:w="14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eastAsia="仿宋_GB2312"/>
                <w:color w:val="000000"/>
                <w:kern w:val="0"/>
                <w:szCs w:val="21"/>
              </w:rPr>
            </w:pPr>
            <w:r>
              <w:rPr>
                <w:rFonts w:eastAsia="仿宋_GB2312"/>
                <w:color w:val="000000"/>
                <w:kern w:val="0"/>
                <w:szCs w:val="21"/>
              </w:rPr>
              <w:t>　</w:t>
            </w:r>
          </w:p>
        </w:tc>
      </w:tr>
    </w:tbl>
    <w:p>
      <w:pPr>
        <w:spacing w:before="120" w:beforeLines="50"/>
        <w:rPr>
          <w:rFonts w:hint="eastAsia" w:ascii="宋体" w:hAnsi="宋体" w:eastAsia="宋体" w:cs="宋体"/>
          <w:sz w:val="21"/>
          <w:szCs w:val="21"/>
        </w:rPr>
      </w:pPr>
      <w:r>
        <w:rPr>
          <w:rFonts w:hint="eastAsia" w:ascii="宋体" w:hAnsi="宋体" w:eastAsia="宋体" w:cs="宋体"/>
          <w:sz w:val="21"/>
          <w:szCs w:val="21"/>
        </w:rPr>
        <w:t>填表人：</w:t>
      </w:r>
      <w:r>
        <w:rPr>
          <w:rFonts w:hint="eastAsia" w:ascii="宋体" w:hAnsi="宋体" w:eastAsia="宋体" w:cs="宋体"/>
          <w:sz w:val="21"/>
          <w:szCs w:val="21"/>
          <w:lang w:eastAsia="zh-CN"/>
        </w:rPr>
        <w:t>杨柳</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填报日期：</w:t>
      </w:r>
      <w:r>
        <w:rPr>
          <w:rFonts w:hint="eastAsia" w:ascii="宋体" w:hAnsi="宋体" w:eastAsia="宋体" w:cs="宋体"/>
          <w:sz w:val="21"/>
          <w:szCs w:val="21"/>
          <w:lang w:val="en-US" w:eastAsia="zh-CN"/>
        </w:rPr>
        <w:t>2022.3.25</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联系电话：</w:t>
      </w:r>
      <w:r>
        <w:rPr>
          <w:rFonts w:hint="eastAsia" w:ascii="宋体" w:hAnsi="宋体" w:eastAsia="宋体" w:cs="宋体"/>
          <w:sz w:val="21"/>
          <w:szCs w:val="21"/>
          <w:lang w:val="en-US" w:eastAsia="zh-CN"/>
        </w:rPr>
        <w:t>0736-4221753</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单位负责人签字：</w:t>
      </w:r>
    </w:p>
    <w:sectPr>
      <w:pgSz w:w="11906" w:h="16838"/>
      <w:pgMar w:top="1440" w:right="1531" w:bottom="113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4ADCDC-B5DC-4A19-A667-B9DD248AD1C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BC615DAD-CFBD-4340-AC7C-594379C94C69}"/>
  </w:font>
  <w:font w:name="方正小标宋_GBK">
    <w:panose1 w:val="02000000000000000000"/>
    <w:charset w:val="86"/>
    <w:family w:val="script"/>
    <w:pitch w:val="default"/>
    <w:sig w:usb0="A00002BF" w:usb1="38CF7CFA" w:usb2="00082016" w:usb3="00000000" w:csb0="00040001" w:csb1="00000000"/>
    <w:embedRegular r:id="rId3" w:fontKey="{8A272403-9834-4FF4-ACB7-EE8170AB197E}"/>
  </w:font>
  <w:font w:name="仿宋_GB2312">
    <w:panose1 w:val="02010609030101010101"/>
    <w:charset w:val="86"/>
    <w:family w:val="modern"/>
    <w:pitch w:val="default"/>
    <w:sig w:usb0="00000001" w:usb1="080E0000" w:usb2="00000000" w:usb3="00000000" w:csb0="00040000" w:csb1="00000000"/>
    <w:embedRegular r:id="rId4" w:fontKey="{56DC62C0-D5B0-49A8-98EA-26BA323A3A7D}"/>
  </w:font>
  <w:font w:name="楷体_GB2312">
    <w:panose1 w:val="02010609030101010101"/>
    <w:charset w:val="86"/>
    <w:family w:val="auto"/>
    <w:pitch w:val="default"/>
    <w:sig w:usb0="00000001" w:usb1="080E0000" w:usb2="00000000" w:usb3="00000000" w:csb0="00040000" w:csb1="00000000"/>
    <w:embedRegular r:id="rId5" w:fontKey="{9FDFBDAA-7531-4042-B251-D90D09AA1F35}"/>
  </w:font>
  <w:font w:name="Arial Unicode MS">
    <w:altName w:val="Arial"/>
    <w:panose1 w:val="00000000000000000000"/>
    <w:charset w:val="00"/>
    <w:family w:val="auto"/>
    <w:pitch w:val="default"/>
    <w:sig w:usb0="00000000" w:usb1="00000000" w:usb2="00000000" w:usb3="00000000" w:csb0="00000000" w:csb1="00000000"/>
    <w:embedRegular r:id="rId6" w:fontKey="{3F416756-5ACD-4205-9A67-4553C7ADFC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0FC403FD"/>
    <w:rsid w:val="1E276A12"/>
    <w:rsid w:val="305B5409"/>
    <w:rsid w:val="3252556C"/>
    <w:rsid w:val="3C343492"/>
    <w:rsid w:val="3F8401AD"/>
    <w:rsid w:val="487D713D"/>
    <w:rsid w:val="52987DBC"/>
    <w:rsid w:val="58F90721"/>
    <w:rsid w:val="5E837885"/>
    <w:rsid w:val="63F2255E"/>
    <w:rsid w:val="655A7D98"/>
    <w:rsid w:val="66EC3434"/>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0"/>
    <w:pPr>
      <w:ind w:firstLine="100" w:firstLineChars="100"/>
    </w:pPr>
  </w:style>
  <w:style w:type="paragraph" w:customStyle="1" w:styleId="3">
    <w:name w:val="BodyText"/>
    <w:basedOn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2218</Words>
  <Characters>2371</Characters>
  <Lines>0</Lines>
  <Paragraphs>0</Paragraphs>
  <TotalTime>7</TotalTime>
  <ScaleCrop>false</ScaleCrop>
  <LinksUpToDate>false</LinksUpToDate>
  <CharactersWithSpaces>2428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yl</cp:lastModifiedBy>
  <dcterms:modified xsi:type="dcterms:W3CDTF">2022-03-30T05:06:29Z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