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中共津市市委老干部局2021年度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6"/>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560" w:lineRule="exact"/>
        <w:ind w:firstLine="64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（一）机构、人员构成</w:t>
      </w:r>
    </w:p>
    <w:p>
      <w:pPr>
        <w:keepNext w:val="0"/>
        <w:keepLines w:val="0"/>
        <w:pageBreakBefore w:val="0"/>
        <w:numPr>
          <w:ilvl w:val="0"/>
          <w:numId w:val="0"/>
        </w:numPr>
        <w:kinsoku/>
        <w:wordWrap/>
        <w:overflowPunct/>
        <w:topLinePunct w:val="0"/>
        <w:bidi w:val="0"/>
        <w:snapToGrid/>
        <w:spacing w:beforeLines="0" w:afterLines="0" w:line="560" w:lineRule="atLeast"/>
        <w:ind w:firstLine="640" w:firstLineChars="200"/>
        <w:jc w:val="left"/>
        <w:textAlignment w:val="auto"/>
        <w:rPr>
          <w:rFonts w:hint="eastAsia" w:ascii="仿宋" w:hAnsi="仿宋" w:eastAsia="仿宋" w:cs="仿宋"/>
          <w:color w:val="000000"/>
          <w:sz w:val="32"/>
        </w:rPr>
      </w:pPr>
      <w:r>
        <w:rPr>
          <w:rFonts w:hint="eastAsia" w:ascii="仿宋" w:hAnsi="仿宋" w:eastAsia="仿宋" w:cs="仿宋"/>
          <w:color w:val="3D3D3D"/>
          <w:kern w:val="0"/>
          <w:sz w:val="32"/>
          <w:szCs w:val="32"/>
        </w:rPr>
        <w:t>根据《津市市财政局关于做好20</w:t>
      </w:r>
      <w:r>
        <w:rPr>
          <w:rFonts w:hint="eastAsia" w:ascii="仿宋" w:hAnsi="仿宋" w:eastAsia="仿宋" w:cs="仿宋"/>
          <w:color w:val="3D3D3D"/>
          <w:kern w:val="0"/>
          <w:sz w:val="32"/>
          <w:szCs w:val="32"/>
          <w:lang w:val="en-US" w:eastAsia="zh-CN"/>
        </w:rPr>
        <w:t>21</w:t>
      </w:r>
      <w:r>
        <w:rPr>
          <w:rFonts w:hint="eastAsia" w:ascii="仿宋" w:hAnsi="仿宋" w:eastAsia="仿宋" w:cs="仿宋"/>
          <w:color w:val="3D3D3D"/>
          <w:kern w:val="0"/>
          <w:sz w:val="32"/>
          <w:szCs w:val="32"/>
        </w:rPr>
        <w:t>年部门预算公开工作的通知》我局纳入20</w:t>
      </w:r>
      <w:r>
        <w:rPr>
          <w:rFonts w:hint="eastAsia" w:ascii="仿宋" w:hAnsi="仿宋" w:eastAsia="仿宋" w:cs="仿宋"/>
          <w:color w:val="3D3D3D"/>
          <w:kern w:val="0"/>
          <w:sz w:val="32"/>
          <w:szCs w:val="32"/>
          <w:lang w:val="en-US" w:eastAsia="zh-CN"/>
        </w:rPr>
        <w:t>21</w:t>
      </w:r>
      <w:r>
        <w:rPr>
          <w:rFonts w:hint="eastAsia" w:ascii="仿宋" w:hAnsi="仿宋" w:eastAsia="仿宋" w:cs="仿宋"/>
          <w:color w:val="3D3D3D"/>
          <w:kern w:val="0"/>
          <w:sz w:val="32"/>
          <w:szCs w:val="32"/>
        </w:rPr>
        <w:t>年部门预算编制范围的二级预算单位包括：</w:t>
      </w:r>
      <w:r>
        <w:rPr>
          <w:rFonts w:hint="eastAsia" w:ascii="仿宋" w:hAnsi="仿宋" w:eastAsia="仿宋" w:cs="仿宋"/>
          <w:sz w:val="32"/>
          <w:szCs w:val="32"/>
        </w:rPr>
        <w:t>只包括局本级预算，没有下属单位或机构。</w:t>
      </w:r>
      <w:r>
        <w:rPr>
          <w:rFonts w:hint="eastAsia" w:ascii="仿宋" w:hAnsi="仿宋" w:eastAsia="仿宋" w:cs="仿宋"/>
          <w:sz w:val="32"/>
          <w:szCs w:val="32"/>
          <w:lang w:eastAsia="zh-CN"/>
        </w:rPr>
        <w:t>依</w:t>
      </w:r>
      <w:r>
        <w:rPr>
          <w:rFonts w:hint="eastAsia" w:ascii="仿宋" w:hAnsi="仿宋" w:eastAsia="仿宋" w:cs="仿宋"/>
          <w:color w:val="3D3D3D"/>
          <w:sz w:val="32"/>
          <w:szCs w:val="32"/>
          <w:lang w:eastAsia="zh-CN"/>
        </w:rPr>
        <w:t>据中共津市市委办公室津办</w:t>
      </w:r>
      <w:r>
        <w:rPr>
          <w:rFonts w:hint="eastAsia" w:ascii="仿宋" w:hAnsi="仿宋" w:eastAsia="仿宋" w:cs="仿宋"/>
          <w:color w:val="3D3D3D"/>
          <w:sz w:val="32"/>
          <w:szCs w:val="32"/>
          <w:lang w:val="en-US" w:eastAsia="zh-CN"/>
        </w:rPr>
        <w:t>[2019]2号关于印发《津市市人民政府改革实施方案》的通知，将市委老干部局并入市委组织部，对外加挂市委老干部局牌子。但部门</w:t>
      </w:r>
      <w:r>
        <w:rPr>
          <w:rFonts w:hint="eastAsia" w:ascii="仿宋" w:hAnsi="仿宋" w:eastAsia="仿宋" w:cs="仿宋"/>
          <w:color w:val="3D3D3D"/>
          <w:sz w:val="32"/>
          <w:szCs w:val="32"/>
        </w:rPr>
        <w:t>预算</w:t>
      </w:r>
      <w:r>
        <w:rPr>
          <w:rFonts w:hint="eastAsia" w:ascii="仿宋" w:hAnsi="仿宋" w:eastAsia="仿宋" w:cs="仿宋"/>
          <w:color w:val="3D3D3D"/>
          <w:sz w:val="32"/>
          <w:szCs w:val="32"/>
          <w:lang w:eastAsia="zh-CN"/>
        </w:rPr>
        <w:t>单列，</w:t>
      </w:r>
      <w:r>
        <w:rPr>
          <w:rFonts w:hint="eastAsia" w:ascii="仿宋" w:hAnsi="仿宋" w:eastAsia="仿宋" w:cs="仿宋"/>
          <w:color w:val="3D3D3D"/>
          <w:sz w:val="32"/>
          <w:szCs w:val="32"/>
          <w:lang w:val="en-US" w:eastAsia="zh-CN"/>
        </w:rPr>
        <w:t>编制是津市市老干部活动中心的；</w:t>
      </w:r>
      <w:r>
        <w:rPr>
          <w:rFonts w:hint="eastAsia" w:ascii="仿宋" w:hAnsi="仿宋" w:eastAsia="仿宋" w:cs="仿宋"/>
          <w:color w:val="3D3D3D"/>
          <w:sz w:val="32"/>
          <w:szCs w:val="32"/>
          <w:lang w:eastAsia="zh-CN"/>
        </w:rPr>
        <w:t>我</w:t>
      </w:r>
      <w:r>
        <w:rPr>
          <w:rFonts w:hint="eastAsia" w:ascii="仿宋" w:hAnsi="仿宋" w:eastAsia="仿宋" w:cs="仿宋"/>
          <w:color w:val="3D3D3D"/>
          <w:sz w:val="32"/>
          <w:szCs w:val="32"/>
        </w:rPr>
        <w:t>局部门预算只包括局机关本级预算，下设局长室、办公室、</w:t>
      </w:r>
      <w:r>
        <w:rPr>
          <w:rFonts w:hint="eastAsia" w:ascii="仿宋" w:hAnsi="仿宋" w:eastAsia="仿宋" w:cs="仿宋"/>
          <w:sz w:val="32"/>
          <w:szCs w:val="32"/>
        </w:rPr>
        <w:t>活动指导股、生活待遇股、财务室</w:t>
      </w:r>
      <w:r>
        <w:rPr>
          <w:rFonts w:hint="eastAsia" w:ascii="仿宋" w:hAnsi="仿宋" w:eastAsia="仿宋" w:cs="仿宋"/>
          <w:sz w:val="32"/>
          <w:szCs w:val="32"/>
          <w:lang w:eastAsia="zh-CN"/>
        </w:rPr>
        <w:t>。</w:t>
      </w:r>
    </w:p>
    <w:p>
      <w:pPr>
        <w:keepNext w:val="0"/>
        <w:keepLines w:val="0"/>
        <w:pageBreakBefore w:val="0"/>
        <w:numPr>
          <w:ilvl w:val="0"/>
          <w:numId w:val="0"/>
        </w:numPr>
        <w:kinsoku/>
        <w:wordWrap/>
        <w:overflowPunct/>
        <w:topLinePunct w:val="0"/>
        <w:bidi w:val="0"/>
        <w:snapToGrid/>
        <w:spacing w:beforeLines="0" w:afterLines="0" w:line="560" w:lineRule="atLeas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9人，</w:t>
      </w:r>
      <w:r>
        <w:rPr>
          <w:rFonts w:hint="eastAsia" w:ascii="仿宋" w:hAnsi="仿宋" w:eastAsia="仿宋" w:cs="仿宋"/>
          <w:color w:val="3D3D3D"/>
          <w:sz w:val="32"/>
          <w:szCs w:val="32"/>
          <w:lang w:eastAsia="zh-CN"/>
        </w:rPr>
        <w:t>公益一类事业单位。</w:t>
      </w: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年12月在职在编</w:t>
      </w:r>
      <w:r>
        <w:rPr>
          <w:rFonts w:hint="eastAsia" w:ascii="仿宋" w:hAnsi="仿宋" w:eastAsia="仿宋" w:cs="仿宋"/>
          <w:sz w:val="32"/>
          <w:szCs w:val="32"/>
          <w:lang w:eastAsia="zh-CN"/>
        </w:rPr>
        <w:t>人数</w:t>
      </w:r>
      <w:r>
        <w:rPr>
          <w:rFonts w:hint="eastAsia" w:ascii="仿宋" w:hAnsi="仿宋" w:eastAsia="仿宋" w:cs="仿宋"/>
          <w:sz w:val="32"/>
          <w:szCs w:val="32"/>
          <w:lang w:val="en-US" w:eastAsia="zh-CN"/>
        </w:rPr>
        <w:t>8</w:t>
      </w:r>
      <w:r>
        <w:rPr>
          <w:rFonts w:hint="eastAsia" w:ascii="仿宋" w:hAnsi="仿宋" w:eastAsia="仿宋" w:cs="仿宋"/>
          <w:sz w:val="32"/>
          <w:szCs w:val="32"/>
        </w:rPr>
        <w:t>人（其中：副科级干部1人，享受车补），退休人员15人，临时聘请人员3人,公务用车1</w:t>
      </w:r>
      <w:r>
        <w:rPr>
          <w:rFonts w:hint="eastAsia" w:ascii="仿宋" w:hAnsi="仿宋" w:eastAsia="仿宋" w:cs="仿宋"/>
          <w:sz w:val="32"/>
          <w:szCs w:val="32"/>
          <w:lang w:eastAsia="zh-CN"/>
        </w:rPr>
        <w:t>辆</w:t>
      </w:r>
      <w:r>
        <w:rPr>
          <w:rFonts w:hint="eastAsia" w:ascii="仿宋" w:hAnsi="仿宋" w:eastAsia="仿宋" w:cs="仿宋"/>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0" w:rightChars="0"/>
        <w:jc w:val="both"/>
        <w:textAlignment w:val="auto"/>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lang w:val="en-US" w:eastAsia="zh-CN"/>
        </w:rPr>
        <w:t xml:space="preserve">   （二）</w:t>
      </w:r>
      <w:r>
        <w:rPr>
          <w:rFonts w:hint="eastAsia" w:ascii="仿宋" w:hAnsi="仿宋" w:eastAsia="仿宋" w:cs="仿宋"/>
          <w:color w:val="222222"/>
          <w:kern w:val="0"/>
          <w:sz w:val="32"/>
          <w:szCs w:val="32"/>
        </w:rPr>
        <w:t>单位主要职责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贯彻执行中央、省委和常德市委关于老干部工作的方针、政策，开展调查研究，为市委、市政府制订有关老干部工作的政策规定提供情况和依据；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承担市老干部工作领导小组办公室及市关心下一代工作委员会的日常工作；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负责协调指导全市老干部工作，全面掌握老干部工作信息，负责督促、检查全市老干部生活待遇、政治待遇的落实工作督促老干部政治待遇和生活待遇的落实，组织指导老干部开展活动、发挥作用；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指导离退休干部党建工作，组织指导全市老干部思想政治工作和离退休党支部建设；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开展老年大学及老年教育工作，组织指导老干部开展各项活动；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加强老干部工作宣传，开展尊老、敬老、爱老活动，依法维护老干部的合法权益；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指导和管理全市老干部安置工作，接待和处理老干部来信来访；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做好规定范围内的老干部祝寿、住院探视、节日走访慰问等活动，协调处理老干部逝世后的有关工作；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做好来津老干部的接待服务工作；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加强老干部工作队伍建设，提高老干部工作队伍的整体素质。</w:t>
      </w:r>
    </w:p>
    <w:p>
      <w:pPr>
        <w:pStyle w:val="6"/>
        <w:widowControl/>
        <w:spacing w:line="600" w:lineRule="exact"/>
        <w:ind w:left="0" w:leftChars="0" w:firstLine="64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6"/>
        <w:widowControl/>
        <w:spacing w:line="600" w:lineRule="exact"/>
        <w:ind w:left="0" w:leftChars="0" w:firstLine="640" w:firstLineChars="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2021年一般公共预算拨款收入237.16万元。</w:t>
      </w:r>
      <w:bookmarkStart w:id="0" w:name="_GoBack"/>
      <w:bookmarkEnd w:id="0"/>
    </w:p>
    <w:p>
      <w:pPr>
        <w:pStyle w:val="6"/>
        <w:widowControl/>
        <w:numPr>
          <w:ilvl w:val="0"/>
          <w:numId w:val="0"/>
        </w:numPr>
        <w:spacing w:line="480" w:lineRule="atLeast"/>
        <w:ind w:leftChars="0"/>
        <w:jc w:val="both"/>
        <w:rPr>
          <w:rFonts w:cs="宋体" w:asciiTheme="minorEastAsia" w:hAnsiTheme="minorEastAsia"/>
          <w:color w:val="3D3D3D"/>
          <w:kern w:val="0"/>
          <w:sz w:val="32"/>
          <w:szCs w:val="32"/>
        </w:rPr>
      </w:pPr>
      <w:r>
        <w:rPr>
          <w:rFonts w:hint="eastAsia" w:ascii="Times New Roman" w:hAnsi="Times New Roman" w:eastAsia="黑体"/>
          <w:sz w:val="32"/>
          <w:szCs w:val="32"/>
          <w:lang w:val="en-US" w:eastAsia="zh-CN"/>
        </w:rPr>
        <w:t xml:space="preserve">    </w:t>
      </w: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7"/>
        <w:spacing w:beforeLines="0" w:afterLines="0"/>
        <w:ind w:firstLine="653"/>
        <w:rPr>
          <w:rFonts w:hint="eastAsia" w:ascii="FangSong_GB2312" w:hAnsi="FangSong_GB2312" w:eastAsia="FangSong_GB2312"/>
          <w:color w:val="000000"/>
          <w:sz w:val="32"/>
        </w:rPr>
      </w:pPr>
      <w:r>
        <w:rPr>
          <w:rFonts w:hint="eastAsia" w:ascii="仿宋" w:hAnsi="仿宋" w:eastAsia="仿宋" w:cs="仿宋"/>
          <w:color w:val="3D3D3D"/>
          <w:kern w:val="0"/>
          <w:sz w:val="32"/>
          <w:szCs w:val="32"/>
          <w:lang w:val="en-US" w:eastAsia="zh-CN"/>
        </w:rPr>
        <w:t xml:space="preserve">    </w:t>
      </w:r>
      <w:r>
        <w:rPr>
          <w:rFonts w:hint="eastAsia" w:ascii="仿宋" w:hAnsi="仿宋" w:eastAsia="仿宋" w:cs="仿宋"/>
          <w:color w:val="3D3D3D"/>
          <w:kern w:val="0"/>
          <w:sz w:val="32"/>
          <w:szCs w:val="32"/>
        </w:rPr>
        <w:t>我局202</w:t>
      </w:r>
      <w:r>
        <w:rPr>
          <w:rFonts w:hint="eastAsia" w:ascii="仿宋" w:hAnsi="仿宋" w:eastAsia="仿宋" w:cs="仿宋"/>
          <w:color w:val="3D3D3D"/>
          <w:kern w:val="0"/>
          <w:sz w:val="32"/>
          <w:szCs w:val="32"/>
          <w:lang w:val="en-US" w:eastAsia="zh-CN"/>
        </w:rPr>
        <w:t>1</w:t>
      </w:r>
      <w:r>
        <w:rPr>
          <w:rFonts w:hint="eastAsia" w:ascii="仿宋" w:hAnsi="仿宋" w:eastAsia="仿宋" w:cs="仿宋"/>
          <w:color w:val="3D3D3D"/>
          <w:kern w:val="0"/>
          <w:sz w:val="32"/>
          <w:szCs w:val="32"/>
        </w:rPr>
        <w:t>年一般公共预算基本支出</w:t>
      </w:r>
      <w:r>
        <w:rPr>
          <w:rFonts w:hint="eastAsia" w:ascii="仿宋" w:hAnsi="仿宋" w:eastAsia="仿宋" w:cs="仿宋"/>
          <w:color w:val="3D3D3D"/>
          <w:kern w:val="0"/>
          <w:sz w:val="32"/>
          <w:szCs w:val="32"/>
          <w:lang w:val="en-US" w:eastAsia="zh-CN"/>
        </w:rPr>
        <w:t>92.69</w:t>
      </w:r>
      <w:r>
        <w:rPr>
          <w:rFonts w:hint="eastAsia" w:ascii="仿宋" w:hAnsi="仿宋" w:eastAsia="仿宋" w:cs="仿宋"/>
          <w:color w:val="3D3D3D"/>
          <w:kern w:val="0"/>
          <w:sz w:val="32"/>
          <w:szCs w:val="32"/>
        </w:rPr>
        <w:t>万元，</w:t>
      </w:r>
      <w:r>
        <w:rPr>
          <w:rFonts w:hint="eastAsia" w:ascii="FangSong_GB2312" w:hAnsi="FangSong_GB2312" w:eastAsia="FangSong_GB2312"/>
          <w:color w:val="000000"/>
          <w:sz w:val="32"/>
        </w:rPr>
        <w:t>是指为保障单位机构正常运转、完成日常工作任务而发生的各项支出，包括用于基本工资、津贴补贴等人员经费以及办公费、印刷费、水电费、办公设备购置等日常公用经费。</w:t>
      </w:r>
    </w:p>
    <w:p>
      <w:pPr>
        <w:pStyle w:val="6"/>
        <w:widowControl/>
        <w:numPr>
          <w:ilvl w:val="0"/>
          <w:numId w:val="0"/>
        </w:numPr>
        <w:spacing w:line="600" w:lineRule="exact"/>
        <w:rPr>
          <w:rFonts w:ascii="Times New Roman" w:hAnsi="Times New Roman" w:eastAsia="黑体"/>
          <w:sz w:val="32"/>
          <w:szCs w:val="32"/>
        </w:rPr>
      </w:pPr>
      <w:r>
        <w:rPr>
          <w:rFonts w:hint="eastAsia" w:ascii="Times New Roman" w:hAnsi="Times New Roman" w:eastAsia="黑体"/>
          <w:sz w:val="32"/>
          <w:szCs w:val="32"/>
          <w:lang w:val="en-US" w:eastAsia="zh-CN"/>
        </w:rPr>
        <w:t xml:space="preserve">   </w:t>
      </w:r>
      <w:r>
        <w:rPr>
          <w:rFonts w:hint="eastAsia" w:ascii="Times New Roman" w:hAnsi="Times New Roman" w:eastAsia="黑体"/>
          <w:sz w:val="32"/>
          <w:szCs w:val="32"/>
          <w:lang w:eastAsia="zh-CN"/>
        </w:rPr>
        <w:t>（二）</w:t>
      </w:r>
      <w:r>
        <w:rPr>
          <w:rFonts w:ascii="Times New Roman" w:hAnsi="Times New Roman" w:eastAsia="黑体"/>
          <w:sz w:val="32"/>
          <w:szCs w:val="32"/>
        </w:rPr>
        <w:t>项目支出情况</w:t>
      </w:r>
      <w:r>
        <w:rPr>
          <w:rFonts w:hint="eastAsia" w:ascii="Times New Roman" w:hAnsi="Times New Roman" w:eastAsia="Times New Roman"/>
          <w:color w:val="000000"/>
          <w:sz w:val="32"/>
        </w:rPr>
        <w:t>202</w:t>
      </w:r>
      <w:r>
        <w:rPr>
          <w:rFonts w:hint="eastAsia" w:eastAsia="宋体"/>
          <w:color w:val="000000"/>
          <w:sz w:val="32"/>
          <w:lang w:val="en-US" w:eastAsia="zh-CN"/>
        </w:rPr>
        <w:t>1</w:t>
      </w:r>
      <w:r>
        <w:rPr>
          <w:rFonts w:hint="eastAsia" w:ascii="FangSong_GB2312" w:hAnsi="FangSong_GB2312" w:eastAsia="FangSong_GB2312"/>
          <w:color w:val="000000"/>
          <w:sz w:val="32"/>
        </w:rPr>
        <w:t>年项目支出年初预算数为</w:t>
      </w:r>
      <w:r>
        <w:rPr>
          <w:rFonts w:hint="eastAsia" w:ascii="FangSong_GB2312" w:hAnsi="FangSong_GB2312" w:eastAsia="FangSong_GB2312"/>
          <w:color w:val="000000"/>
          <w:sz w:val="32"/>
          <w:lang w:val="en-US" w:eastAsia="zh-CN"/>
        </w:rPr>
        <w:t>144.47</w:t>
      </w:r>
      <w:r>
        <w:rPr>
          <w:rFonts w:hint="eastAsia" w:ascii="FangSong_GB2312" w:hAnsi="FangSong_GB2312" w:eastAsia="FangSong_GB2312"/>
          <w:color w:val="000000"/>
          <w:sz w:val="32"/>
        </w:rPr>
        <w:t>万元，是指单位为完成特定行政工作任务或事业发展目标而发生的支出，包括有关业务工作经费和运行维护经费。运行维护经费</w:t>
      </w:r>
      <w:r>
        <w:rPr>
          <w:rFonts w:hint="eastAsia" w:ascii="FangSong_GB2312" w:hAnsi="FangSong_GB2312" w:eastAsia="FangSong_GB2312"/>
          <w:color w:val="000000"/>
          <w:sz w:val="32"/>
          <w:lang w:val="en-US" w:eastAsia="zh-CN"/>
        </w:rPr>
        <w:t>5.8</w:t>
      </w:r>
      <w:r>
        <w:rPr>
          <w:rFonts w:hint="eastAsia" w:ascii="FangSong_GB2312" w:hAnsi="FangSong_GB2312" w:eastAsia="FangSong_GB2312"/>
          <w:color w:val="000000"/>
          <w:sz w:val="32"/>
        </w:rPr>
        <w:t>万元，主要用于财政信息网络建设、维护以及机关大院后勤服务、房屋设备维修维护等方面。</w:t>
      </w:r>
    </w:p>
    <w:p>
      <w:pPr>
        <w:widowControl/>
        <w:spacing w:line="480" w:lineRule="atLeast"/>
        <w:jc w:val="both"/>
        <w:rPr>
          <w:rFonts w:hint="eastAsia" w:ascii="仿宋" w:hAnsi="仿宋" w:eastAsia="仿宋" w:cs="仿宋"/>
          <w:color w:val="3D3D3D"/>
          <w:kern w:val="0"/>
          <w:sz w:val="32"/>
          <w:szCs w:val="32"/>
        </w:rPr>
      </w:pPr>
      <w:r>
        <w:rPr>
          <w:rFonts w:hint="eastAsia" w:ascii="仿宋" w:hAnsi="仿宋" w:eastAsia="仿宋" w:cs="仿宋"/>
          <w:bCs/>
          <w:color w:val="3D3D3D"/>
          <w:kern w:val="0"/>
          <w:sz w:val="32"/>
          <w:szCs w:val="32"/>
          <w:lang w:val="en-US" w:eastAsia="zh-CN"/>
        </w:rPr>
        <w:t xml:space="preserve">   </w:t>
      </w:r>
      <w:r>
        <w:rPr>
          <w:rFonts w:hint="eastAsia" w:ascii="仿宋" w:hAnsi="仿宋" w:eastAsia="仿宋" w:cs="仿宋"/>
          <w:bCs/>
          <w:color w:val="3D3D3D"/>
          <w:kern w:val="0"/>
          <w:sz w:val="32"/>
          <w:szCs w:val="32"/>
        </w:rPr>
        <w:t>“三公”经费预算情况</w:t>
      </w:r>
    </w:p>
    <w:p>
      <w:pPr>
        <w:widowControl/>
        <w:spacing w:line="480" w:lineRule="atLeast"/>
        <w:jc w:val="both"/>
        <w:rPr>
          <w:rFonts w:hint="eastAsia" w:ascii="仿宋" w:hAnsi="仿宋" w:eastAsia="仿宋" w:cs="仿宋"/>
          <w:color w:val="3D3D3D"/>
          <w:kern w:val="0"/>
          <w:sz w:val="32"/>
          <w:szCs w:val="32"/>
        </w:rPr>
      </w:pPr>
      <w:r>
        <w:rPr>
          <w:rFonts w:hint="eastAsia" w:ascii="仿宋" w:hAnsi="仿宋" w:eastAsia="仿宋" w:cs="仿宋"/>
          <w:color w:val="3D3D3D"/>
          <w:kern w:val="0"/>
          <w:sz w:val="32"/>
          <w:szCs w:val="32"/>
        </w:rPr>
        <w:t xml:space="preserve">    202</w:t>
      </w:r>
      <w:r>
        <w:rPr>
          <w:rFonts w:hint="eastAsia" w:ascii="仿宋" w:hAnsi="仿宋" w:eastAsia="仿宋" w:cs="仿宋"/>
          <w:color w:val="3D3D3D"/>
          <w:kern w:val="0"/>
          <w:sz w:val="32"/>
          <w:szCs w:val="32"/>
          <w:lang w:val="en-US" w:eastAsia="zh-CN"/>
        </w:rPr>
        <w:t>1</w:t>
      </w:r>
      <w:r>
        <w:rPr>
          <w:rFonts w:hint="eastAsia" w:ascii="仿宋" w:hAnsi="仿宋" w:eastAsia="仿宋" w:cs="仿宋"/>
          <w:color w:val="3D3D3D"/>
          <w:kern w:val="0"/>
          <w:sz w:val="32"/>
          <w:szCs w:val="32"/>
        </w:rPr>
        <w:t>年我局“三公”经费预算</w:t>
      </w:r>
      <w:r>
        <w:rPr>
          <w:rFonts w:hint="eastAsia" w:ascii="仿宋" w:hAnsi="仿宋" w:eastAsia="仿宋" w:cs="仿宋"/>
          <w:color w:val="3D3D3D"/>
          <w:kern w:val="0"/>
          <w:sz w:val="32"/>
          <w:szCs w:val="32"/>
          <w:lang w:val="en-US" w:eastAsia="zh-CN"/>
        </w:rPr>
        <w:t>6.16</w:t>
      </w:r>
      <w:r>
        <w:rPr>
          <w:rFonts w:hint="eastAsia" w:ascii="仿宋" w:hAnsi="仿宋" w:eastAsia="仿宋" w:cs="仿宋"/>
          <w:color w:val="3D3D3D"/>
          <w:kern w:val="0"/>
          <w:sz w:val="32"/>
          <w:szCs w:val="32"/>
        </w:rPr>
        <w:t>万元，其中：公务接待支出</w:t>
      </w:r>
      <w:r>
        <w:rPr>
          <w:rFonts w:hint="eastAsia" w:ascii="仿宋" w:hAnsi="仿宋" w:eastAsia="仿宋" w:cs="仿宋"/>
          <w:color w:val="3D3D3D"/>
          <w:kern w:val="0"/>
          <w:sz w:val="32"/>
          <w:szCs w:val="32"/>
          <w:lang w:val="en-US" w:eastAsia="zh-CN"/>
        </w:rPr>
        <w:t>1.68</w:t>
      </w:r>
      <w:r>
        <w:rPr>
          <w:rFonts w:hint="eastAsia" w:ascii="仿宋" w:hAnsi="仿宋" w:eastAsia="仿宋" w:cs="仿宋"/>
          <w:color w:val="3D3D3D"/>
          <w:kern w:val="0"/>
          <w:sz w:val="32"/>
          <w:szCs w:val="32"/>
        </w:rPr>
        <w:t>万元，因公出国（境）支出0万元，公务用车购置及运行支出</w:t>
      </w:r>
      <w:r>
        <w:rPr>
          <w:rFonts w:hint="eastAsia" w:ascii="仿宋" w:hAnsi="仿宋" w:eastAsia="仿宋" w:cs="仿宋"/>
          <w:color w:val="3D3D3D"/>
          <w:kern w:val="0"/>
          <w:sz w:val="32"/>
          <w:szCs w:val="32"/>
          <w:lang w:val="en-US" w:eastAsia="zh-CN"/>
        </w:rPr>
        <w:t>4.46</w:t>
      </w:r>
      <w:r>
        <w:rPr>
          <w:rFonts w:hint="eastAsia" w:ascii="仿宋" w:hAnsi="仿宋" w:eastAsia="仿宋" w:cs="仿宋"/>
          <w:color w:val="3D3D3D"/>
          <w:kern w:val="0"/>
          <w:sz w:val="32"/>
          <w:szCs w:val="32"/>
        </w:rPr>
        <w:t>万元（公务用车购置费0万元、公车运行维护费5.6万元）。202</w:t>
      </w:r>
      <w:r>
        <w:rPr>
          <w:rFonts w:hint="eastAsia" w:ascii="仿宋" w:hAnsi="仿宋" w:eastAsia="仿宋" w:cs="仿宋"/>
          <w:color w:val="3D3D3D"/>
          <w:kern w:val="0"/>
          <w:sz w:val="32"/>
          <w:szCs w:val="32"/>
          <w:lang w:val="en-US" w:eastAsia="zh-CN"/>
        </w:rPr>
        <w:t>1</w:t>
      </w:r>
      <w:r>
        <w:rPr>
          <w:rFonts w:hint="eastAsia" w:ascii="仿宋" w:hAnsi="仿宋" w:eastAsia="仿宋" w:cs="仿宋"/>
          <w:color w:val="3D3D3D"/>
          <w:kern w:val="0"/>
          <w:sz w:val="32"/>
          <w:szCs w:val="32"/>
        </w:rPr>
        <w:t>年“三公”经费预算较上年减少</w:t>
      </w:r>
      <w:r>
        <w:rPr>
          <w:rFonts w:hint="eastAsia" w:ascii="仿宋" w:hAnsi="仿宋" w:eastAsia="仿宋" w:cs="仿宋"/>
          <w:color w:val="3D3D3D"/>
          <w:kern w:val="0"/>
          <w:sz w:val="32"/>
          <w:szCs w:val="32"/>
          <w:lang w:val="en-US" w:eastAsia="zh-CN"/>
        </w:rPr>
        <w:t>1.54</w:t>
      </w:r>
      <w:r>
        <w:rPr>
          <w:rFonts w:hint="eastAsia" w:ascii="仿宋" w:hAnsi="仿宋" w:eastAsia="仿宋" w:cs="仿宋"/>
          <w:color w:val="3D3D3D"/>
          <w:kern w:val="0"/>
          <w:sz w:val="32"/>
          <w:szCs w:val="32"/>
        </w:rPr>
        <w:t>万元</w:t>
      </w:r>
      <w:r>
        <w:rPr>
          <w:rFonts w:hint="eastAsia" w:ascii="仿宋" w:hAnsi="仿宋" w:eastAsia="仿宋" w:cs="仿宋"/>
          <w:color w:val="3D3D3D"/>
          <w:kern w:val="0"/>
          <w:sz w:val="32"/>
          <w:szCs w:val="32"/>
          <w:lang w:eastAsia="zh-CN"/>
        </w:rPr>
        <w:t>。主要</w:t>
      </w:r>
      <w:r>
        <w:rPr>
          <w:rFonts w:hint="eastAsia" w:ascii="仿宋" w:hAnsi="仿宋" w:eastAsia="仿宋" w:cs="仿宋"/>
          <w:color w:val="3D3D3D"/>
          <w:kern w:val="0"/>
          <w:sz w:val="32"/>
          <w:szCs w:val="32"/>
        </w:rPr>
        <w:t>是</w:t>
      </w:r>
      <w:r>
        <w:rPr>
          <w:rFonts w:hint="eastAsia" w:ascii="仿宋" w:hAnsi="仿宋" w:eastAsia="仿宋" w:cs="仿宋"/>
          <w:color w:val="3D3D3D"/>
          <w:kern w:val="0"/>
          <w:sz w:val="32"/>
          <w:szCs w:val="32"/>
          <w:lang w:eastAsia="zh-CN"/>
        </w:rPr>
        <w:t>历行节约，规范</w:t>
      </w:r>
      <w:r>
        <w:rPr>
          <w:rFonts w:hint="eastAsia" w:ascii="仿宋" w:hAnsi="仿宋" w:eastAsia="仿宋" w:cs="仿宋"/>
          <w:color w:val="3D3D3D"/>
          <w:kern w:val="0"/>
          <w:sz w:val="32"/>
          <w:szCs w:val="32"/>
        </w:rPr>
        <w:t>管理</w:t>
      </w:r>
      <w:r>
        <w:rPr>
          <w:rFonts w:hint="eastAsia" w:ascii="仿宋" w:hAnsi="仿宋" w:eastAsia="仿宋" w:cs="仿宋"/>
          <w:color w:val="3D3D3D"/>
          <w:kern w:val="0"/>
          <w:sz w:val="32"/>
          <w:szCs w:val="32"/>
          <w:lang w:eastAsia="zh-CN"/>
        </w:rPr>
        <w:t>，进一步压缩三公经费</w:t>
      </w:r>
      <w:r>
        <w:rPr>
          <w:rFonts w:hint="eastAsia" w:ascii="仿宋" w:hAnsi="仿宋" w:eastAsia="仿宋" w:cs="仿宋"/>
          <w:color w:val="3D3D3D"/>
          <w:kern w:val="0"/>
          <w:sz w:val="32"/>
          <w:szCs w:val="32"/>
        </w:rPr>
        <w:t>取消不必要</w:t>
      </w:r>
      <w:r>
        <w:rPr>
          <w:rFonts w:hint="eastAsia" w:ascii="仿宋" w:hAnsi="仿宋" w:eastAsia="仿宋" w:cs="仿宋"/>
          <w:color w:val="3D3D3D"/>
          <w:kern w:val="0"/>
          <w:sz w:val="32"/>
          <w:szCs w:val="32"/>
          <w:lang w:eastAsia="zh-CN"/>
        </w:rPr>
        <w:t>的</w:t>
      </w:r>
      <w:r>
        <w:rPr>
          <w:rFonts w:hint="eastAsia" w:ascii="仿宋" w:hAnsi="仿宋" w:eastAsia="仿宋" w:cs="仿宋"/>
          <w:color w:val="3D3D3D"/>
          <w:kern w:val="0"/>
          <w:sz w:val="32"/>
          <w:szCs w:val="32"/>
        </w:rPr>
        <w:t>接待。</w:t>
      </w:r>
    </w:p>
    <w:p>
      <w:pPr>
        <w:pStyle w:val="6"/>
        <w:widowControl/>
        <w:numPr>
          <w:ilvl w:val="0"/>
          <w:numId w:val="0"/>
        </w:numPr>
        <w:spacing w:line="600" w:lineRule="exact"/>
        <w:jc w:val="left"/>
        <w:rPr>
          <w:rFonts w:hint="eastAsia" w:ascii="仿宋" w:hAnsi="仿宋" w:eastAsia="仿宋" w:cs="仿宋"/>
          <w:color w:val="3D3D3D"/>
          <w:kern w:val="0"/>
          <w:sz w:val="32"/>
          <w:szCs w:val="32"/>
        </w:rPr>
      </w:pPr>
      <w:r>
        <w:rPr>
          <w:rFonts w:hint="eastAsia" w:ascii="Times New Roman" w:hAnsi="Times New Roman" w:eastAsia="黑体"/>
          <w:sz w:val="32"/>
          <w:szCs w:val="32"/>
          <w:lang w:val="en-US" w:eastAsia="zh-CN"/>
        </w:rPr>
        <w:t xml:space="preserve">    </w:t>
      </w: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6"/>
        <w:widowControl/>
        <w:numPr>
          <w:ilvl w:val="0"/>
          <w:numId w:val="0"/>
        </w:numPr>
        <w:spacing w:line="600" w:lineRule="exact"/>
        <w:ind w:firstLine="640"/>
        <w:jc w:val="left"/>
        <w:rPr>
          <w:rFonts w:hint="eastAsia" w:ascii="仿宋" w:hAnsi="仿宋" w:eastAsia="仿宋" w:cs="仿宋"/>
          <w:color w:val="3D3D3D"/>
          <w:kern w:val="0"/>
          <w:sz w:val="32"/>
          <w:szCs w:val="32"/>
        </w:rPr>
      </w:pPr>
      <w:r>
        <w:rPr>
          <w:rFonts w:hint="eastAsia" w:ascii="仿宋" w:hAnsi="仿宋" w:eastAsia="仿宋" w:cs="仿宋"/>
          <w:color w:val="3D3D3D"/>
          <w:kern w:val="0"/>
          <w:sz w:val="32"/>
          <w:szCs w:val="32"/>
        </w:rPr>
        <w:t>我局202</w:t>
      </w:r>
      <w:r>
        <w:rPr>
          <w:rFonts w:hint="eastAsia" w:ascii="仿宋" w:hAnsi="仿宋" w:eastAsia="仿宋" w:cs="仿宋"/>
          <w:color w:val="3D3D3D"/>
          <w:kern w:val="0"/>
          <w:sz w:val="32"/>
          <w:szCs w:val="32"/>
          <w:lang w:val="en-US" w:eastAsia="zh-CN"/>
        </w:rPr>
        <w:t>1</w:t>
      </w:r>
      <w:r>
        <w:rPr>
          <w:rFonts w:hint="eastAsia" w:ascii="仿宋" w:hAnsi="仿宋" w:eastAsia="仿宋" w:cs="仿宋"/>
          <w:color w:val="3D3D3D"/>
          <w:kern w:val="0"/>
          <w:sz w:val="32"/>
          <w:szCs w:val="32"/>
        </w:rPr>
        <w:t>年无使用政府性基金预算拨款安排的支出。</w:t>
      </w:r>
    </w:p>
    <w:p>
      <w:pPr>
        <w:pStyle w:val="6"/>
        <w:widowControl/>
        <w:numPr>
          <w:ilvl w:val="0"/>
          <w:numId w:val="0"/>
        </w:numPr>
        <w:spacing w:line="600" w:lineRule="exact"/>
        <w:ind w:firstLine="640"/>
        <w:jc w:val="left"/>
        <w:rPr>
          <w:rFonts w:hint="eastAsia" w:ascii="仿宋" w:hAnsi="仿宋" w:eastAsia="仿宋" w:cs="仿宋"/>
          <w:color w:val="3D3D3D"/>
          <w:kern w:val="0"/>
          <w:sz w:val="32"/>
          <w:szCs w:val="32"/>
        </w:rPr>
      </w:pPr>
      <w:r>
        <w:rPr>
          <w:rFonts w:hint="eastAsia" w:ascii="仿宋" w:hAnsi="仿宋" w:eastAsia="仿宋" w:cs="仿宋"/>
          <w:color w:val="3D3D3D"/>
          <w:kern w:val="0"/>
          <w:sz w:val="32"/>
          <w:szCs w:val="32"/>
        </w:rPr>
        <w:t>没有政府性基金预算拨款、纳入财政专户管理的非税收入拨款、上级补助收入和国有资本经营预算安排的收入，也没有使用政府性基金预算拨款、纳入财政专户管理的非税收入拨款、上级补助收入和国有资本经营预算安排的支出</w:t>
      </w:r>
    </w:p>
    <w:p>
      <w:pPr>
        <w:pStyle w:val="6"/>
        <w:widowControl/>
        <w:numPr>
          <w:ilvl w:val="0"/>
          <w:numId w:val="0"/>
        </w:numPr>
        <w:spacing w:line="600" w:lineRule="exact"/>
        <w:ind w:firstLine="640"/>
        <w:jc w:val="left"/>
        <w:rPr>
          <w:rFonts w:eastAsia="黑体"/>
          <w:sz w:val="32"/>
          <w:szCs w:val="32"/>
        </w:rPr>
      </w:pPr>
      <w:r>
        <w:rPr>
          <w:rFonts w:hint="eastAsia" w:eastAsia="黑体"/>
          <w:sz w:val="32"/>
          <w:szCs w:val="32"/>
          <w:lang w:val="en-US" w:eastAsia="zh-CN"/>
        </w:rPr>
        <w:t>四、</w:t>
      </w:r>
      <w:r>
        <w:rPr>
          <w:rFonts w:eastAsia="黑体"/>
          <w:sz w:val="32"/>
          <w:szCs w:val="32"/>
        </w:rPr>
        <w:t>部门整体支出绩效情况</w:t>
      </w:r>
    </w:p>
    <w:p>
      <w:pPr>
        <w:widowControl/>
        <w:spacing w:line="600" w:lineRule="exact"/>
        <w:ind w:firstLine="645"/>
        <w:jc w:val="left"/>
        <w:rPr>
          <w:rFonts w:eastAsia="仿宋_GB2312"/>
          <w:color w:val="000000"/>
          <w:sz w:val="32"/>
          <w:szCs w:val="32"/>
        </w:rPr>
      </w:pPr>
      <w:r>
        <w:rPr>
          <w:rFonts w:hint="eastAsia" w:eastAsia="仿宋_GB2312"/>
          <w:color w:val="000000"/>
          <w:sz w:val="32"/>
          <w:szCs w:val="32"/>
        </w:rPr>
        <w:t>1.预算资金全部用于保障机关正常运行，按照“量入为出、收地平衡”的原则，合理、节约使用预算资金；2.落实离休干部的“两项待遇”、离休干部配偶、遗孀生活补贴按时、足额到位。3.保证老年大学正常运转，添置部分教学设备、设施和办公设施的添置、维修4.落实教师上课经费。5.搞好离休干部重阳节、春节等重大节日期间的慰问活动；6.离休干部、退休处级住院住院探望和去世吊唁善后处理工作</w:t>
      </w:r>
      <w:r>
        <w:rPr>
          <w:rFonts w:hint="eastAsia" w:eastAsia="仿宋_GB2312"/>
          <w:color w:val="000000"/>
          <w:sz w:val="32"/>
          <w:szCs w:val="32"/>
          <w:lang w:eastAsia="zh-CN"/>
        </w:rPr>
        <w:t>、部分特困老干部补助</w:t>
      </w:r>
      <w:r>
        <w:rPr>
          <w:rFonts w:hint="eastAsia" w:eastAsia="仿宋_GB2312"/>
          <w:color w:val="000000"/>
          <w:sz w:val="32"/>
          <w:szCs w:val="32"/>
        </w:rPr>
        <w:t>；7.保证干部职工第13个月基本工资、年终考核、综治、文明单位奖按时足额到位；8.退休人员独生子女奖励</w:t>
      </w:r>
      <w:r>
        <w:rPr>
          <w:rFonts w:hint="eastAsia" w:eastAsia="仿宋_GB2312"/>
          <w:color w:val="000000"/>
          <w:sz w:val="32"/>
          <w:szCs w:val="32"/>
          <w:lang w:eastAsia="zh-CN"/>
        </w:rPr>
        <w:t>。</w:t>
      </w:r>
    </w:p>
    <w:p>
      <w:pPr>
        <w:pStyle w:val="6"/>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eastAsia="仿宋_GB2312"/>
          <w:sz w:val="32"/>
          <w:szCs w:val="32"/>
        </w:rPr>
      </w:pPr>
      <w:r>
        <w:rPr>
          <w:rFonts w:hint="eastAsia" w:ascii="仿宋" w:hAnsi="仿宋" w:eastAsia="仿宋" w:cs="仿宋"/>
          <w:color w:val="222222"/>
          <w:kern w:val="0"/>
          <w:sz w:val="32"/>
          <w:szCs w:val="32"/>
          <w:lang w:val="en-US" w:eastAsia="zh-CN"/>
        </w:rPr>
        <w:t>工作经费不足，未全额纳入预算。</w:t>
      </w:r>
      <w:r>
        <w:rPr>
          <w:rFonts w:eastAsia="仿宋_GB2312"/>
          <w:sz w:val="32"/>
          <w:szCs w:val="32"/>
        </w:rPr>
        <w:t>。</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jc w:val="left"/>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sz w:val="32"/>
          <w:szCs w:val="32"/>
        </w:rPr>
        <w:t>贯彻执行中央、省委和常德市委关于老干部工作的方针、政策，开展调查研究，为市委、市政府制订有关老干部工作的政策规定提供情况和依据</w:t>
      </w:r>
      <w:r>
        <w:rPr>
          <w:rFonts w:hint="eastAsia" w:ascii="仿宋" w:hAnsi="仿宋" w:eastAsia="仿宋" w:cs="仿宋"/>
          <w:sz w:val="32"/>
          <w:szCs w:val="32"/>
          <w:lang w:eastAsia="zh-CN"/>
        </w:rPr>
        <w:t>，</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严格按照上级的规定、要求和财经纪律搞好财务工作。</w:t>
      </w:r>
    </w:p>
    <w:p>
      <w:pPr>
        <w:widowControl/>
        <w:numPr>
          <w:ilvl w:val="0"/>
          <w:numId w:val="2"/>
        </w:numPr>
        <w:spacing w:line="600" w:lineRule="exact"/>
        <w:ind w:firstLine="645"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FangSong_GB2312">
    <w:altName w:val="仿宋"/>
    <w:panose1 w:val="00000000000000000000"/>
    <w:charset w:val="86"/>
    <w:family w:val="swiss"/>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微软雅黑"/>
    <w:panose1 w:val="02010601030101010101"/>
    <w:charset w:val="86"/>
    <w:family w:val="auto"/>
    <w:pitch w:val="default"/>
    <w:sig w:usb0="00000000" w:usb1="00000000" w:usb2="00000000" w:usb3="00000000" w:csb0="00040000" w:csb1="00000000"/>
  </w:font>
  <w:font w:name="FangSong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7A5712"/>
    <w:multiLevelType w:val="singleLevel"/>
    <w:tmpl w:val="607A5712"/>
    <w:lvl w:ilvl="0" w:tentative="0">
      <w:start w:val="1"/>
      <w:numFmt w:val="chineseCounting"/>
      <w:suff w:val="nothing"/>
      <w:lvlText w:val="%1、"/>
      <w:lvlJc w:val="left"/>
    </w:lvl>
  </w:abstractNum>
  <w:abstractNum w:abstractNumId="1">
    <w:nsid w:val="607CD46D"/>
    <w:multiLevelType w:val="singleLevel"/>
    <w:tmpl w:val="607CD46D"/>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8045529"/>
    <w:rsid w:val="0DD077D3"/>
    <w:rsid w:val="114B2364"/>
    <w:rsid w:val="1B2828CC"/>
    <w:rsid w:val="25FE30D4"/>
    <w:rsid w:val="30411837"/>
    <w:rsid w:val="3106097D"/>
    <w:rsid w:val="38187781"/>
    <w:rsid w:val="3A076E09"/>
    <w:rsid w:val="3A805726"/>
    <w:rsid w:val="3E36156B"/>
    <w:rsid w:val="49B44C5D"/>
    <w:rsid w:val="54620AE6"/>
    <w:rsid w:val="5A9D5D9B"/>
    <w:rsid w:val="69952A0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99"/>
    <w:pPr>
      <w:ind w:firstLine="420" w:firstLineChars="200"/>
    </w:pPr>
    <w:rPr>
      <w:rFonts w:ascii="Calibri" w:hAnsi="Calibri" w:eastAsia="宋体" w:cs="Times New Roman"/>
      <w:szCs w:val="22"/>
    </w:rPr>
  </w:style>
  <w:style w:type="paragraph" w:customStyle="1" w:styleId="7">
    <w:name w:val="CM6"/>
    <w:basedOn w:val="8"/>
    <w:next w:val="8"/>
    <w:unhideWhenUsed/>
    <w:qFormat/>
    <w:uiPriority w:val="99"/>
    <w:pPr>
      <w:spacing w:beforeLines="0" w:afterLines="0" w:line="600" w:lineRule="atLeast"/>
    </w:pPr>
    <w:rPr>
      <w:rFonts w:hint="default"/>
      <w:sz w:val="24"/>
    </w:rPr>
  </w:style>
  <w:style w:type="paragraph" w:customStyle="1" w:styleId="8">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cp:lastPrinted>2021-04-20T02:53:00Z</cp:lastPrinted>
  <dcterms:modified xsi:type="dcterms:W3CDTF">2022-04-02T03:40:54Z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