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津市市融媒体中心单位2021年度</w:t>
      </w:r>
      <w:r>
        <w:rPr>
          <w:rFonts w:eastAsia="方正小标宋_GBK"/>
          <w:sz w:val="36"/>
          <w:szCs w:val="36"/>
        </w:rPr>
        <w:t>部门整体支出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spacing w:line="600" w:lineRule="exact"/>
        <w:jc w:val="center"/>
        <w:rPr>
          <w:rFonts w:eastAsia="方正小标宋_GBK"/>
          <w:sz w:val="32"/>
          <w:szCs w:val="32"/>
        </w:rPr>
      </w:pPr>
    </w:p>
    <w:p>
      <w:pPr>
        <w:pStyle w:val="5"/>
        <w:widowControl/>
        <w:numPr>
          <w:ilvl w:val="0"/>
          <w:numId w:val="1"/>
        </w:numPr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部门、单位基本情况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⑴贯彻落实广播电视宣传方针和政策，把握舆论导向。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⑵增强主流媒体的传播力、引导力、影响力、公信力，传递党的声音，服务广大用户，做好做实融媒事业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⑶突出深度融合优化内容品质。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（4）提升技术革新服务全媒用户。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640" w:leftChars="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（5）承办市委市政府交办的其他事项</w:t>
      </w:r>
    </w:p>
    <w:p>
      <w:pPr>
        <w:widowControl/>
        <w:spacing w:line="560" w:lineRule="exact"/>
        <w:ind w:firstLine="640" w:firstLineChars="200"/>
        <w:rPr>
          <w:rFonts w:ascii="楷体" w:hAnsi="楷体" w:eastAsia="楷体" w:cs="楷体"/>
          <w:color w:val="3D3D3D"/>
          <w:kern w:val="0"/>
          <w:sz w:val="32"/>
          <w:szCs w:val="32"/>
        </w:rPr>
      </w:pPr>
      <w:r>
        <w:rPr>
          <w:rFonts w:hint="eastAsia" w:ascii="楷体" w:hAnsi="楷体" w:eastAsia="楷体" w:cs="楷体"/>
          <w:color w:val="3D3D3D"/>
          <w:kern w:val="0"/>
          <w:sz w:val="32"/>
          <w:szCs w:val="32"/>
        </w:rPr>
        <w:t>2.机构设置：</w:t>
      </w:r>
    </w:p>
    <w:p>
      <w:pPr>
        <w:widowControl/>
        <w:spacing w:line="560" w:lineRule="exact"/>
        <w:ind w:firstLine="640" w:firstLineChars="200"/>
        <w:rPr>
          <w:rFonts w:ascii="仿宋" w:hAnsi="仿宋" w:eastAsia="仿宋" w:cs="仿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市融媒体中心是市委市政府领导下的公益二类事业单位，中心内部设有总编室，办公室，融媒体宣传中心，融媒体产业中心，融媒体技术中心，计财部，人力资源部，工会，综合部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等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10个部门。</w:t>
      </w:r>
    </w:p>
    <w:p>
      <w:pPr>
        <w:widowControl/>
        <w:spacing w:line="560" w:lineRule="exact"/>
        <w:ind w:firstLine="640" w:firstLineChars="200"/>
        <w:rPr>
          <w:rFonts w:ascii="黑体" w:hAnsi="黑体" w:eastAsia="黑体" w:cs="黑体"/>
          <w:color w:val="3D3D3D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3D3D3D"/>
          <w:kern w:val="0"/>
          <w:sz w:val="32"/>
          <w:szCs w:val="32"/>
        </w:rPr>
        <w:t>3.部门预算单位构成</w:t>
      </w:r>
    </w:p>
    <w:p>
      <w:pPr>
        <w:pStyle w:val="5"/>
        <w:widowControl/>
        <w:numPr>
          <w:ilvl w:val="0"/>
          <w:numId w:val="0"/>
        </w:numPr>
        <w:spacing w:line="600" w:lineRule="exact"/>
        <w:ind w:left="960" w:leftChars="457" w:firstLine="0" w:firstLineChars="0"/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根据《津市市财政局关于做好202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年部门预算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工作</w:t>
      </w:r>
    </w:p>
    <w:p>
      <w:pPr>
        <w:pStyle w:val="5"/>
        <w:widowControl/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的通知》我中心纳入202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年部门预算编制范围的二级预算单位包括：津市市广电传媒有限公司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</w:p>
    <w:p>
      <w:pPr>
        <w:pStyle w:val="5"/>
        <w:widowControl/>
        <w:spacing w:line="600" w:lineRule="exact"/>
        <w:ind w:left="640" w:firstLine="0" w:firstLineChars="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widowControl/>
        <w:ind w:firstLine="960" w:firstLineChars="300"/>
        <w:rPr>
          <w:rFonts w:hint="default" w:ascii="仿宋" w:hAnsi="仿宋" w:eastAsia="仿宋" w:cs="仿宋"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市融媒体中心及所属单位202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年一般公共预算基本支出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827.16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 xml:space="preserve"> 万元，其中：人员经费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755.59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万元，包括：基本工资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342.34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万元、津贴补贴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万元、奖金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10.11万元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、其他社会保障缴费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155.76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万元、绩效工资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121.23万元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、其他工资福利支出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39.28万元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、住房公积金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86.87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万元、退休费、生活补贴；公用经费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69.60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万元，包括：公务费、物业管理费、工会费、福利费、其他交通费、其他商品和服务支出、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专项业务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支出等等。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eastAsia="zh-CN"/>
        </w:rPr>
        <w:t>其他对个人和家庭的补助</w:t>
      </w: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>1.97万元。</w:t>
      </w:r>
    </w:p>
    <w:p>
      <w:pPr>
        <w:pStyle w:val="5"/>
        <w:widowControl/>
        <w:spacing w:line="600" w:lineRule="exact"/>
        <w:ind w:left="0" w:leftChars="0" w:firstLine="960" w:firstLineChars="3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pStyle w:val="2"/>
        <w:widowControl/>
        <w:spacing w:beforeAutospacing="0" w:afterAutospacing="0" w:line="560" w:lineRule="exact"/>
        <w:ind w:firstLine="1600" w:firstLineChars="500"/>
        <w:jc w:val="both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一是</w:t>
      </w:r>
      <w:r>
        <w:rPr>
          <w:rFonts w:hint="eastAsia" w:eastAsia="仿宋_GB2312"/>
          <w:sz w:val="32"/>
          <w:szCs w:val="32"/>
          <w:lang w:val="en-US" w:eastAsia="zh-CN"/>
        </w:rPr>
        <w:t>2021</w:t>
      </w:r>
      <w:r>
        <w:rPr>
          <w:rFonts w:eastAsia="仿宋_GB2312"/>
          <w:sz w:val="32"/>
          <w:szCs w:val="32"/>
        </w:rPr>
        <w:t>年度</w:t>
      </w:r>
      <w:r>
        <w:rPr>
          <w:rFonts w:hint="eastAsia" w:ascii="仿宋_GB2312" w:hAnsi="仿宋" w:eastAsia="仿宋_GB2312" w:cs="仿宋"/>
          <w:sz w:val="32"/>
          <w:szCs w:val="32"/>
        </w:rPr>
        <w:t>项目支出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203.96</w:t>
      </w:r>
      <w:r>
        <w:rPr>
          <w:rFonts w:hint="eastAsia" w:ascii="仿宋_GB2312" w:hAnsi="仿宋" w:eastAsia="仿宋_GB2312" w:cs="仿宋"/>
          <w:sz w:val="32"/>
          <w:szCs w:val="32"/>
        </w:rPr>
        <w:t>万元,占支出总额的1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7.52</w:t>
      </w:r>
      <w:r>
        <w:rPr>
          <w:rFonts w:hint="eastAsia" w:ascii="仿宋_GB2312" w:hAnsi="仿宋" w:eastAsia="仿宋_GB2312" w:cs="仿宋"/>
          <w:sz w:val="32"/>
          <w:szCs w:val="32"/>
        </w:rPr>
        <w:t>%,其中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新湖南运维费</w:t>
      </w:r>
      <w:r>
        <w:rPr>
          <w:rFonts w:hint="eastAsia" w:ascii="仿宋_GB2312" w:hAnsi="仿宋" w:eastAsia="仿宋_GB2312" w:cs="仿宋"/>
          <w:sz w:val="32"/>
          <w:szCs w:val="32"/>
        </w:rPr>
        <w:t>计划数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44</w:t>
      </w:r>
      <w:r>
        <w:rPr>
          <w:rFonts w:hint="eastAsia" w:ascii="仿宋_GB2312" w:hAnsi="仿宋" w:eastAsia="仿宋_GB2312" w:cs="仿宋"/>
          <w:sz w:val="32"/>
          <w:szCs w:val="32"/>
        </w:rPr>
        <w:t>万,实际支出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44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5G电台运维费</w:t>
      </w:r>
      <w:r>
        <w:rPr>
          <w:rFonts w:hint="eastAsia" w:ascii="仿宋_GB2312" w:hAnsi="仿宋" w:eastAsia="仿宋_GB2312" w:cs="仿宋"/>
          <w:sz w:val="32"/>
          <w:szCs w:val="32"/>
        </w:rPr>
        <w:t>计划数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14.9</w:t>
      </w:r>
      <w:r>
        <w:rPr>
          <w:rFonts w:hint="eastAsia" w:ascii="仿宋_GB2312" w:hAnsi="仿宋" w:eastAsia="仿宋_GB2312" w:cs="仿宋"/>
          <w:sz w:val="32"/>
          <w:szCs w:val="32"/>
        </w:rPr>
        <w:t>万元，实际支出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14.9</w:t>
      </w:r>
      <w:r>
        <w:rPr>
          <w:rFonts w:hint="eastAsia" w:ascii="仿宋_GB2312" w:hAnsi="仿宋" w:eastAsia="仿宋_GB2312" w:cs="仿宋"/>
          <w:sz w:val="32"/>
          <w:szCs w:val="32"/>
        </w:rPr>
        <w:t>万元。</w:t>
      </w:r>
      <w:r>
        <w:rPr>
          <w:rFonts w:hint="eastAsia" w:ascii="仿宋_GB2312" w:hAnsi="仿宋" w:eastAsia="仿宋_GB2312" w:cs="仿宋"/>
          <w:sz w:val="32"/>
          <w:szCs w:val="32"/>
          <w:lang w:eastAsia="zh-CN"/>
        </w:rPr>
        <w:t>文化发展引导资金计划数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40万元，实际支出40万元。对外宣传工作经费计划数10万元，实际支出10万元。电台运行维护费计划数13.6万元，实际支出13.6万元。省级平台建设费计划数70万元，实际支出70万元。上年度专项质保金支出11.46万元。</w:t>
      </w:r>
    </w:p>
    <w:p>
      <w:pPr>
        <w:widowControl/>
        <w:spacing w:line="600" w:lineRule="exact"/>
        <w:ind w:firstLine="1600" w:firstLineChars="5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二是</w:t>
      </w:r>
      <w:r>
        <w:rPr>
          <w:rFonts w:hint="eastAsia" w:eastAsia="仿宋_GB2312"/>
          <w:sz w:val="32"/>
          <w:szCs w:val="32"/>
          <w:lang w:eastAsia="zh-CN"/>
        </w:rPr>
        <w:t>无</w:t>
      </w:r>
      <w:r>
        <w:rPr>
          <w:rFonts w:eastAsia="仿宋_GB2312"/>
          <w:sz w:val="32"/>
          <w:szCs w:val="32"/>
        </w:rPr>
        <w:t>除专项资金以外的其他项目支出情况。</w:t>
      </w:r>
    </w:p>
    <w:p>
      <w:pPr>
        <w:pStyle w:val="2"/>
        <w:widowControl/>
        <w:numPr>
          <w:numId w:val="0"/>
        </w:numPr>
        <w:spacing w:beforeAutospacing="0" w:afterAutospacing="0" w:line="560" w:lineRule="exact"/>
        <w:ind w:left="640" w:leftChars="0"/>
        <w:jc w:val="both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pStyle w:val="2"/>
        <w:widowControl/>
        <w:numPr>
          <w:numId w:val="0"/>
        </w:numPr>
        <w:spacing w:beforeAutospacing="0" w:afterAutospacing="0" w:line="560" w:lineRule="exact"/>
        <w:ind w:left="640" w:leftChars="0" w:firstLine="640" w:firstLineChars="200"/>
        <w:jc w:val="both"/>
        <w:rPr>
          <w:rFonts w:eastAsia="仿宋_GB2312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市融媒体中心及所属单位202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仿宋"/>
          <w:sz w:val="32"/>
          <w:szCs w:val="32"/>
        </w:rPr>
        <w:t>年没有使用政府性基金预算拨款的支出。</w:t>
      </w:r>
    </w:p>
    <w:p>
      <w:pPr>
        <w:widowControl/>
        <w:numPr>
          <w:ilvl w:val="0"/>
          <w:numId w:val="2"/>
        </w:numPr>
        <w:spacing w:line="600" w:lineRule="exact"/>
        <w:ind w:firstLine="645"/>
        <w:jc w:val="left"/>
        <w:rPr>
          <w:rFonts w:hint="eastAsia" w:eastAsia="黑体"/>
          <w:sz w:val="32"/>
          <w:szCs w:val="32"/>
          <w:lang w:eastAsia="zh-CN"/>
        </w:rPr>
      </w:pPr>
      <w:r>
        <w:rPr>
          <w:rFonts w:eastAsia="黑体"/>
          <w:sz w:val="32"/>
          <w:szCs w:val="32"/>
        </w:rPr>
        <w:t>部门整体支出绩效情</w:t>
      </w:r>
      <w:r>
        <w:rPr>
          <w:rFonts w:hint="eastAsia" w:eastAsia="黑体"/>
          <w:sz w:val="32"/>
          <w:szCs w:val="32"/>
          <w:lang w:eastAsia="zh-CN"/>
        </w:rPr>
        <w:t>况</w:t>
      </w:r>
    </w:p>
    <w:p>
      <w:pPr>
        <w:widowControl/>
        <w:spacing w:line="600" w:lineRule="exact"/>
        <w:ind w:firstLine="1280" w:firstLineChars="400"/>
        <w:jc w:val="left"/>
        <w:rPr>
          <w:rFonts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总结归纳本部门“四本预算”支出的绩效目标完成情况，实现产出和取得效益的情况。围绕部门职责、行业发展规划，以预算资金管理为主线，总结部门资产管理和开展业务情况，从运行成本、管理效率、履职效能、社会效应、可持续发展能力和服务对象满意度等方面，衡量部门整体及核心业务实施效果。</w:t>
      </w:r>
    </w:p>
    <w:p>
      <w:pPr>
        <w:widowControl/>
        <w:spacing w:line="560" w:lineRule="exact"/>
        <w:ind w:firstLine="1280" w:firstLineChars="400"/>
        <w:rPr>
          <w:rFonts w:hint="eastAsia" w:ascii="仿宋" w:hAnsi="仿宋" w:eastAsia="仿宋" w:cs="仿宋"/>
          <w:color w:val="3D3D3D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</w:rPr>
        <w:t>没有政府性基金预算拨款、纳入财政专户管理的非税收入拨款、上级补助收入和国有资本经营预算安排的收入，也没有使用政府性基金预算拨款、纳入财政专户管理的非税收入拨款、上级补助收入和国有资本经营预算安排的支出。</w:t>
      </w:r>
    </w:p>
    <w:p>
      <w:pPr>
        <w:widowControl/>
        <w:spacing w:line="560" w:lineRule="exact"/>
        <w:ind w:firstLine="1280" w:firstLineChars="400"/>
        <w:rPr>
          <w:rFonts w:ascii="仿宋" w:hAnsi="仿宋" w:eastAsia="仿宋" w:cs="仿宋"/>
          <w:color w:val="3D3D3D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今年来，我中心紧紧围绕市委、市政府中心工作，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:shd w:val="clear" w:color="auto" w:fill="FFFFFF"/>
        </w:rPr>
        <w:t>突出舆论宣传引导和民生服务功能，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工作成绩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得到了上级党委政府的肯定和省级媒体的关注。</w:t>
      </w:r>
    </w:p>
    <w:p>
      <w:pPr>
        <w:spacing w:line="360" w:lineRule="auto"/>
        <w:ind w:firstLine="960" w:firstLineChars="3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营造氛围</w:t>
      </w:r>
      <w:r>
        <w:rPr>
          <w:rFonts w:hint="eastAsia" w:ascii="楷体_GB2312" w:hAnsi="楷体_GB2312" w:eastAsia="楷体_GB2312" w:cs="楷体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有声有色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</w:rPr>
        <w:t>主题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报道有重点。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auto"/>
          <w:spacing w:val="8"/>
          <w:sz w:val="32"/>
          <w:szCs w:val="32"/>
          <w:shd w:val="clear" w:fill="FFFFFF"/>
          <w:lang w:eastAsia="zh-CN"/>
        </w:rPr>
        <w:t>党史教育主题宣传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坚持全媒联动，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常德电视台联合推出《百名主播讲党史》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同步开设《奋斗百年路 启航新征程》专栏，各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媒体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平台根据实际分别开设《学党史 悟思想 办实事 开新局》、《追寻红色记忆 传承革命精神》、《我为群众办实事》、《心中有话对党说》、《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红色地标话党史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》等子专栏，通过典型报道、音视频、标语等方式，实现广播、电视、微信、网站同步发声，营造浓厚学习氛围。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重点报道《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毛里湖镇“码”上帮工作法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药山镇老党员自办党史展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消息在湖南卫视《新闻联播》中播出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2.舆论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造势有热点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围绕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政府中心工作开设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开局十四五·开启新征程》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《招大引强在津市》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《五好园区》、《庆丰收·感党恩》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个专栏，</w:t>
      </w:r>
      <w:r>
        <w:rPr>
          <w:rFonts w:hint="eastAsia" w:ascii="仿宋_GB2312" w:hAnsi="仿宋_GB2312" w:eastAsia="仿宋_GB2312" w:cs="仿宋_GB2312"/>
          <w:sz w:val="32"/>
          <w:szCs w:val="32"/>
        </w:rPr>
        <w:t>全面展示了我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</w:rPr>
        <w:t>园区创建、招商引资等工作举措及成效，营造了良好的干事创业氛围。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配合全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eastAsia="zh-CN"/>
        </w:rPr>
        <w:t>市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重点工作，完成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  <w:t>《津市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  <w:t>·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val="en-US" w:eastAsia="zh-CN"/>
        </w:rPr>
        <w:t>遇见未来》等15部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专题片摄制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。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策划推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eastAsia="zh-CN"/>
        </w:rPr>
        <w:t>出</w:t>
      </w:r>
      <w:r>
        <w:rPr>
          <w:rFonts w:hint="eastAsia" w:ascii="仿宋_GB2312" w:hAnsi="仿宋_GB2312" w:eastAsia="仿宋_GB2312" w:cs="仿宋_GB2312"/>
          <w:sz w:val="32"/>
          <w:szCs w:val="32"/>
        </w:rPr>
        <w:t>《奋进202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《千亩菜苔喜获丰收》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等高质量的短视频作品，受到广泛好评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其中《津市市严厉打击违法垂钓》播放量达3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0万。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对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市第十三次党代会、“两会”等重大会议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进行重点报道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，圆满完成宣传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任务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人物典型专栏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《劳动者之歌》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播出全市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劳模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代表先进事迹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，《津医榜样》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展示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12位优秀医务工作者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风采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弘扬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了敬业奉献精神。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外宣工作有亮点。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截止目前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在央视上稿1条（《小存折促共治 民风淳产业兴》），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省级媒体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常德电视台上稿</w:t>
      </w:r>
      <w:r>
        <w:rPr>
          <w:rFonts w:hint="eastAsia" w:ascii="仿宋_GB2312" w:hAnsi="仿宋_GB2312" w:eastAsia="仿宋_GB2312" w:cs="仿宋_GB2312"/>
          <w:sz w:val="32"/>
          <w:szCs w:val="32"/>
        </w:rPr>
        <w:t>313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津市融媒微信公众号有7个月进入全国县级媒体百强榜（最佳排名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</w:rPr>
        <w:t>49）。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献礼建党100周年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策划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拍摄的津市红色人物纪录片《建党先驱朱务善》，获湖南省第六届网络原创视听大赛三等奖。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活动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开展有看点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与新州镇政府成功联办首届桃花节，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通过动态宣传、集中推送、现场直播等方式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助推乡村振兴。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承接办理全民健身活动及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“味道湖南·津津有味”美食季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活动，全方位</w:t>
      </w:r>
      <w:r>
        <w:rPr>
          <w:rFonts w:hint="eastAsia" w:ascii="仿宋_GB2312" w:hAnsi="仿宋_GB2312" w:eastAsia="仿宋_GB2312" w:cs="仿宋_GB2312"/>
          <w:sz w:val="32"/>
          <w:szCs w:val="32"/>
        </w:rPr>
        <w:t>展示了津市群众的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运动</w:t>
      </w:r>
      <w:r>
        <w:rPr>
          <w:rFonts w:hint="eastAsia" w:ascii="仿宋_GB2312" w:hAnsi="仿宋_GB2312" w:eastAsia="仿宋_GB2312" w:cs="仿宋_GB2312"/>
          <w:sz w:val="32"/>
          <w:szCs w:val="32"/>
        </w:rPr>
        <w:t>活力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，宣传推广了津市本土</w:t>
      </w:r>
      <w:r>
        <w:rPr>
          <w:rFonts w:hint="eastAsia" w:ascii="仿宋_GB2312" w:hAnsi="仿宋_GB2312" w:eastAsia="仿宋_GB2312" w:cs="仿宋_GB2312"/>
          <w:sz w:val="32"/>
          <w:szCs w:val="32"/>
        </w:rPr>
        <w:t>美食品牌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，进一步刺激了我市的餐饮</w:t>
      </w:r>
      <w:r>
        <w:rPr>
          <w:rFonts w:hint="eastAsia" w:ascii="仿宋_GB2312" w:hAnsi="仿宋_GB2312" w:eastAsia="仿宋_GB2312" w:cs="仿宋_GB2312"/>
          <w:sz w:val="32"/>
          <w:szCs w:val="32"/>
        </w:rPr>
        <w:t>消费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市场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。全力配合</w:t>
      </w:r>
      <w:r>
        <w:rPr>
          <w:rFonts w:hint="eastAsia" w:ascii="仿宋" w:hAnsi="仿宋" w:eastAsia="仿宋"/>
          <w:sz w:val="32"/>
          <w:szCs w:val="32"/>
        </w:rPr>
        <w:t>2021年湖南微生物学术年会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院士专家咨询委员会成立大会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津市港散货物流集散中心项目开工等活动的直播、录播工作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营造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浓厚</w:t>
      </w:r>
      <w:r>
        <w:rPr>
          <w:rFonts w:hint="eastAsia" w:ascii="仿宋_GB2312" w:hAnsi="仿宋_GB2312" w:eastAsia="仿宋_GB2312" w:cs="仿宋_GB2312"/>
          <w:sz w:val="32"/>
          <w:szCs w:val="32"/>
        </w:rPr>
        <w:t>舆论氛围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1280" w:firstLineChars="400"/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D3D3D"/>
          <w:kern w:val="0"/>
          <w:sz w:val="32"/>
          <w:szCs w:val="32"/>
          <w:lang w:val="en-US" w:eastAsia="zh-CN"/>
        </w:rPr>
        <w:t xml:space="preserve">   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黑体"/>
          <w:sz w:val="32"/>
          <w:szCs w:val="32"/>
        </w:rPr>
        <w:t>、</w:t>
      </w:r>
      <w:r>
        <w:rPr>
          <w:rFonts w:ascii="Times New Roman" w:hAnsi="Times New Roman" w:eastAsia="黑体"/>
          <w:sz w:val="32"/>
          <w:szCs w:val="32"/>
        </w:rPr>
        <w:t>存在的问题及原因分析</w:t>
      </w:r>
    </w:p>
    <w:p>
      <w:pPr>
        <w:widowControl/>
        <w:spacing w:line="600" w:lineRule="exact"/>
        <w:ind w:firstLine="1280" w:firstLineChars="4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主要反映各种</w:t>
      </w:r>
      <w:r>
        <w:rPr>
          <w:rFonts w:eastAsia="仿宋_GB2312"/>
          <w:color w:val="000000"/>
          <w:sz w:val="32"/>
          <w:szCs w:val="32"/>
        </w:rPr>
        <w:t>预算支出执行偏离绩效目标的情况，</w:t>
      </w:r>
      <w:r>
        <w:rPr>
          <w:rFonts w:eastAsia="仿宋_GB2312"/>
          <w:sz w:val="32"/>
          <w:szCs w:val="32"/>
        </w:rPr>
        <w:t>并分析其原因。</w:t>
      </w:r>
    </w:p>
    <w:p>
      <w:pPr>
        <w:pStyle w:val="2"/>
        <w:widowControl/>
        <w:spacing w:beforeAutospacing="0" w:afterAutospacing="0" w:line="560" w:lineRule="exact"/>
        <w:ind w:firstLine="1280" w:firstLineChars="400"/>
        <w:jc w:val="both"/>
        <w:rPr>
          <w:rFonts w:eastAsia="仿宋_GB2312"/>
          <w:sz w:val="32"/>
          <w:szCs w:val="32"/>
        </w:rPr>
      </w:pPr>
      <w:r>
        <w:rPr>
          <w:rFonts w:hint="eastAsia" w:ascii="仿宋_GB2312" w:hAnsi="楷体" w:eastAsia="仿宋_GB2312" w:cs="楷体"/>
          <w:sz w:val="32"/>
          <w:szCs w:val="32"/>
        </w:rPr>
        <w:t>预算执行及绩效管理中存在的问题:编制和执行因时间差异有很大变数，导致前后有出入。</w:t>
      </w:r>
    </w:p>
    <w:p>
      <w:pPr>
        <w:widowControl/>
        <w:numPr>
          <w:ilvl w:val="0"/>
          <w:numId w:val="3"/>
        </w:numPr>
        <w:spacing w:line="600" w:lineRule="exact"/>
        <w:ind w:firstLine="640" w:firstLineChars="200"/>
        <w:jc w:val="lef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下一步改进措施</w:t>
      </w:r>
    </w:p>
    <w:p>
      <w:pPr>
        <w:snapToGrid w:val="0"/>
        <w:spacing w:line="560" w:lineRule="exact"/>
        <w:ind w:firstLine="1280" w:firstLineChars="400"/>
        <w:rPr>
          <w:rFonts w:eastAsia="黑体"/>
          <w:sz w:val="32"/>
          <w:szCs w:val="32"/>
        </w:rPr>
      </w:pPr>
      <w:r>
        <w:rPr>
          <w:rFonts w:hint="eastAsia" w:ascii="仿宋_GB2312" w:hAnsi="楷体" w:eastAsia="仿宋_GB2312" w:cs="楷体"/>
          <w:kern w:val="0"/>
          <w:sz w:val="32"/>
          <w:szCs w:val="32"/>
        </w:rPr>
        <w:t>改进措施：各级部门应高度重视预算编制，有了科学合理的预算编制，执行并不难。</w:t>
      </w:r>
    </w:p>
    <w:p>
      <w:pPr>
        <w:widowControl/>
        <w:spacing w:line="600" w:lineRule="exact"/>
        <w:ind w:firstLine="645"/>
        <w:jc w:val="left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七</w:t>
      </w:r>
      <w:r>
        <w:rPr>
          <w:rFonts w:eastAsia="黑体"/>
          <w:sz w:val="32"/>
          <w:szCs w:val="32"/>
        </w:rPr>
        <w:t>、其他需要说明的情况</w:t>
      </w:r>
    </w:p>
    <w:p>
      <w:pPr>
        <w:widowControl/>
        <w:spacing w:line="600" w:lineRule="exact"/>
        <w:ind w:firstLine="640" w:firstLineChars="200"/>
        <w:jc w:val="left"/>
        <w:rPr>
          <w:rFonts w:hint="eastAsia" w:eastAsia="黑体"/>
          <w:sz w:val="32"/>
          <w:szCs w:val="32"/>
          <w:lang w:val="en-US" w:eastAsia="zh-CN"/>
        </w:rPr>
      </w:pPr>
      <w:r>
        <w:rPr>
          <w:rFonts w:hint="eastAsia" w:eastAsia="黑体"/>
          <w:sz w:val="32"/>
          <w:szCs w:val="32"/>
          <w:lang w:val="en-US" w:eastAsia="zh-CN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FF9AB5"/>
    <w:multiLevelType w:val="singleLevel"/>
    <w:tmpl w:val="3DFF9AB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38C5BA7"/>
    <w:multiLevelType w:val="singleLevel"/>
    <w:tmpl w:val="438C5BA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9CBD764"/>
    <w:multiLevelType w:val="singleLevel"/>
    <w:tmpl w:val="69CBD76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4BC7439"/>
    <w:rsid w:val="063A2206"/>
    <w:rsid w:val="08E012EA"/>
    <w:rsid w:val="094B1694"/>
    <w:rsid w:val="0B5036E2"/>
    <w:rsid w:val="0C314891"/>
    <w:rsid w:val="1B7B01BA"/>
    <w:rsid w:val="1C4C3A51"/>
    <w:rsid w:val="1FCB1131"/>
    <w:rsid w:val="2C627A2D"/>
    <w:rsid w:val="2CA35436"/>
    <w:rsid w:val="3A076E09"/>
    <w:rsid w:val="3B8F3226"/>
    <w:rsid w:val="3C0E17FD"/>
    <w:rsid w:val="3F853D51"/>
    <w:rsid w:val="43D61236"/>
    <w:rsid w:val="43FB34E3"/>
    <w:rsid w:val="44FA797F"/>
    <w:rsid w:val="47D22E53"/>
    <w:rsid w:val="4C491187"/>
    <w:rsid w:val="4E4F7325"/>
    <w:rsid w:val="4F443053"/>
    <w:rsid w:val="5092756F"/>
    <w:rsid w:val="56611183"/>
    <w:rsid w:val="596B5486"/>
    <w:rsid w:val="59DD53DB"/>
    <w:rsid w:val="5A9D5D9B"/>
    <w:rsid w:val="5D992D2E"/>
    <w:rsid w:val="63F83144"/>
    <w:rsid w:val="67437138"/>
    <w:rsid w:val="74AE1D28"/>
    <w:rsid w:val="780E5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Administrator</cp:lastModifiedBy>
  <dcterms:modified xsi:type="dcterms:W3CDTF">2022-03-28T08:28:11Z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