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 xml:space="preserve">  津市市融媒体中心新湖南运行维护费2021年度</w:t>
      </w:r>
      <w:r>
        <w:rPr>
          <w:rFonts w:hint="eastAsia" w:eastAsia="方正小标宋_GBK"/>
          <w:sz w:val="36"/>
          <w:szCs w:val="36"/>
          <w:lang w:eastAsia="zh-CN"/>
        </w:rPr>
        <w:t>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widowControl/>
        <w:spacing w:line="560" w:lineRule="exact"/>
        <w:ind w:firstLine="640" w:firstLineChars="200"/>
        <w:rPr>
          <w:rFonts w:ascii="楷体" w:hAnsi="楷体" w:eastAsia="楷体" w:cs="楷体"/>
          <w:color w:val="3D3D3D"/>
          <w:kern w:val="0"/>
          <w:sz w:val="32"/>
          <w:szCs w:val="32"/>
        </w:rPr>
      </w:pPr>
      <w:r>
        <w:rPr>
          <w:rFonts w:hint="eastAsia" w:ascii="楷体" w:hAnsi="楷体" w:eastAsia="楷体" w:cs="楷体"/>
          <w:color w:val="3D3D3D"/>
          <w:kern w:val="0"/>
          <w:sz w:val="32"/>
          <w:szCs w:val="32"/>
        </w:rPr>
        <w:t>1.职能职责:</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⑴贯彻落实广播电视宣传方针和政策，把握舆论导向。</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⑵拟定广播电视管理和事业发展规划，监督管理广播电视节目，卫星电视节目收录和通过信息网络向大众传播的视听节目。</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⑶指导全市广播电视队伍建设，制定中长期教育培训规划并组织实施，按照事业发展需要，有计划多层次培养专业技术人才。</w:t>
      </w:r>
    </w:p>
    <w:p>
      <w:pPr>
        <w:widowControl/>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⑷承办市委市政府交办的其他事项。</w:t>
      </w:r>
    </w:p>
    <w:p>
      <w:pPr>
        <w:widowControl/>
        <w:spacing w:line="560" w:lineRule="exact"/>
        <w:ind w:firstLine="640" w:firstLineChars="200"/>
        <w:rPr>
          <w:rFonts w:ascii="楷体" w:hAnsi="楷体" w:eastAsia="楷体" w:cs="楷体"/>
          <w:color w:val="3D3D3D"/>
          <w:kern w:val="0"/>
          <w:sz w:val="32"/>
          <w:szCs w:val="32"/>
        </w:rPr>
      </w:pPr>
      <w:r>
        <w:rPr>
          <w:rFonts w:hint="eastAsia" w:ascii="楷体" w:hAnsi="楷体" w:eastAsia="楷体" w:cs="楷体"/>
          <w:color w:val="3D3D3D"/>
          <w:kern w:val="0"/>
          <w:sz w:val="32"/>
          <w:szCs w:val="32"/>
        </w:rPr>
        <w:t>2.机构设置：</w:t>
      </w:r>
    </w:p>
    <w:p>
      <w:pPr>
        <w:widowControl/>
        <w:spacing w:line="560" w:lineRule="exact"/>
        <w:ind w:firstLine="640" w:firstLineChars="200"/>
        <w:rPr>
          <w:rFonts w:ascii="仿宋" w:hAnsi="仿宋" w:eastAsia="仿宋" w:cs="仿宋"/>
          <w:color w:val="3D3D3D"/>
          <w:kern w:val="0"/>
          <w:sz w:val="32"/>
          <w:szCs w:val="32"/>
        </w:rPr>
      </w:pPr>
      <w:r>
        <w:rPr>
          <w:rFonts w:hint="eastAsia" w:ascii="仿宋" w:hAnsi="仿宋" w:eastAsia="仿宋" w:cs="仿宋"/>
          <w:color w:val="3D3D3D"/>
          <w:kern w:val="0"/>
          <w:sz w:val="32"/>
          <w:szCs w:val="32"/>
        </w:rPr>
        <w:t>市融媒体中心是市委市政府领导下的公益二类事业单位，台内部设有总编室，办公室，融媒体宣传中心，融媒体产业中心，融媒体技术中心，计财部，人力资源部，工会，综合部</w:t>
      </w:r>
      <w:r>
        <w:rPr>
          <w:rFonts w:hint="eastAsia" w:ascii="仿宋" w:hAnsi="仿宋" w:eastAsia="仿宋" w:cs="仿宋"/>
          <w:color w:val="3D3D3D"/>
          <w:kern w:val="0"/>
          <w:sz w:val="32"/>
          <w:szCs w:val="32"/>
          <w:lang w:eastAsia="zh-CN"/>
        </w:rPr>
        <w:t>等</w:t>
      </w:r>
      <w:r>
        <w:rPr>
          <w:rFonts w:hint="eastAsia" w:ascii="仿宋" w:hAnsi="仿宋" w:eastAsia="仿宋" w:cs="仿宋"/>
          <w:color w:val="3D3D3D"/>
          <w:kern w:val="0"/>
          <w:sz w:val="32"/>
          <w:szCs w:val="32"/>
        </w:rPr>
        <w:t>10个部门。</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rPr>
        <w:t>项目</w:t>
      </w:r>
      <w:r>
        <w:rPr>
          <w:rFonts w:eastAsia="仿宋_GB2312"/>
          <w:sz w:val="32"/>
          <w:szCs w:val="32"/>
        </w:rPr>
        <w:t>基本情况包括</w:t>
      </w:r>
      <w:r>
        <w:rPr>
          <w:rFonts w:hint="eastAsia" w:eastAsia="仿宋_GB2312"/>
          <w:sz w:val="32"/>
          <w:szCs w:val="32"/>
        </w:rPr>
        <w:t>项目</w:t>
      </w:r>
      <w:r>
        <w:rPr>
          <w:rFonts w:eastAsia="仿宋_GB2312"/>
          <w:sz w:val="32"/>
          <w:szCs w:val="32"/>
        </w:rPr>
        <w:t>基本性质、用途和主要内容、涉及范围等。</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市融媒体中心是</w:t>
      </w:r>
      <w:r>
        <w:rPr>
          <w:rFonts w:hint="eastAsia" w:ascii="仿宋" w:hAnsi="仿宋" w:eastAsia="仿宋" w:cs="仿宋"/>
          <w:color w:val="3D3D3D"/>
          <w:kern w:val="0"/>
          <w:sz w:val="32"/>
          <w:szCs w:val="32"/>
        </w:rPr>
        <w:t>市委市政府领导下的公益二类事业单位，扎实抓好县级融媒体中心建设，更好的服务群众、引导群众。</w:t>
      </w: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pP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adjustRightInd w:val="0"/>
        <w:snapToGrid w:val="0"/>
        <w:spacing w:line="600" w:lineRule="exact"/>
        <w:ind w:firstLine="1280" w:firstLineChars="400"/>
        <w:rPr>
          <w:rFonts w:eastAsia="仿宋_GB2312"/>
          <w:sz w:val="32"/>
          <w:szCs w:val="32"/>
        </w:rPr>
      </w:pPr>
      <w:r>
        <w:rPr>
          <w:rFonts w:hint="eastAsia" w:eastAsia="仿宋_GB2312"/>
          <w:sz w:val="32"/>
          <w:szCs w:val="32"/>
        </w:rPr>
        <w:t>按照积极推进、科学发展、规范管理、确保导向、一步到位的要求，整合现有媒体平台、装备、人员和信息资源，着力打造一个包括电视台、报刊、新闻门户网站、微博、微信公众号、手机客户端、政务服务平台等形态多样、手段先进、具有竞争力的综合性主流媒体机构。202</w:t>
      </w:r>
      <w:r>
        <w:rPr>
          <w:rFonts w:hint="eastAsia" w:eastAsia="仿宋_GB2312"/>
          <w:sz w:val="32"/>
          <w:szCs w:val="32"/>
          <w:lang w:val="en-US" w:eastAsia="zh-CN"/>
        </w:rPr>
        <w:t>1</w:t>
      </w:r>
      <w:r>
        <w:rPr>
          <w:rFonts w:hint="eastAsia" w:eastAsia="仿宋_GB2312"/>
          <w:sz w:val="32"/>
          <w:szCs w:val="32"/>
        </w:rPr>
        <w:t>年力争打造成集主流舆论阵地，综合信息服务、基层舆情聚合的县级融媒体平台。</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年，市财政对本项目预算安排标准为4</w:t>
      </w:r>
      <w:r>
        <w:rPr>
          <w:rFonts w:hint="eastAsia" w:eastAsia="仿宋_GB2312"/>
          <w:sz w:val="32"/>
          <w:szCs w:val="32"/>
          <w:lang w:val="en-US" w:eastAsia="zh-CN"/>
        </w:rPr>
        <w:t>4</w:t>
      </w:r>
      <w:r>
        <w:rPr>
          <w:rFonts w:hint="eastAsia" w:eastAsia="仿宋_GB2312"/>
          <w:sz w:val="32"/>
          <w:szCs w:val="32"/>
        </w:rPr>
        <w:t>万元，指标实际下达到位44万元。</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adjustRightInd w:val="0"/>
        <w:snapToGrid w:val="0"/>
        <w:spacing w:line="600" w:lineRule="exact"/>
        <w:ind w:firstLine="640" w:firstLineChars="200"/>
        <w:rPr>
          <w:rFonts w:hint="eastAsia" w:eastAsia="仿宋_GB2312"/>
          <w:sz w:val="32"/>
          <w:szCs w:val="32"/>
          <w:lang w:eastAsia="zh-CN"/>
        </w:rPr>
      </w:pPr>
      <w:r>
        <w:rPr>
          <w:rFonts w:hint="eastAsia" w:eastAsia="仿宋_GB2312"/>
          <w:sz w:val="32"/>
          <w:szCs w:val="32"/>
        </w:rPr>
        <w:t>202</w:t>
      </w:r>
      <w:r>
        <w:rPr>
          <w:rFonts w:hint="eastAsia" w:eastAsia="仿宋_GB2312"/>
          <w:sz w:val="32"/>
          <w:szCs w:val="32"/>
          <w:lang w:val="en-US" w:eastAsia="zh-CN"/>
        </w:rPr>
        <w:t>1</w:t>
      </w:r>
      <w:r>
        <w:rPr>
          <w:rFonts w:hint="eastAsia" w:eastAsia="仿宋_GB2312"/>
          <w:sz w:val="32"/>
          <w:szCs w:val="32"/>
        </w:rPr>
        <w:t>年，市融媒体中心</w:t>
      </w:r>
      <w:r>
        <w:rPr>
          <w:rFonts w:hint="eastAsia" w:eastAsia="仿宋_GB2312"/>
          <w:sz w:val="32"/>
          <w:szCs w:val="32"/>
          <w:lang w:eastAsia="zh-CN"/>
        </w:rPr>
        <w:t>新湖南运维费</w:t>
      </w:r>
      <w:r>
        <w:rPr>
          <w:rFonts w:hint="eastAsia" w:eastAsia="仿宋_GB2312"/>
          <w:sz w:val="32"/>
          <w:szCs w:val="32"/>
        </w:rPr>
        <w:t>项目共计支出44万元，</w:t>
      </w:r>
      <w:r>
        <w:rPr>
          <w:rFonts w:hint="eastAsia" w:eastAsia="仿宋_GB2312"/>
          <w:sz w:val="32"/>
          <w:szCs w:val="32"/>
          <w:lang w:eastAsia="zh-CN"/>
        </w:rPr>
        <w:t>无结余资金。</w:t>
      </w:r>
    </w:p>
    <w:p>
      <w:pPr>
        <w:numPr>
          <w:ilvl w:val="0"/>
          <w:numId w:val="2"/>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资金管理情况分析，主要包括管理制度、办法的制订及执行情况。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融媒体中心</w:t>
      </w:r>
      <w:r>
        <w:rPr>
          <w:rFonts w:hint="eastAsia" w:eastAsia="仿宋_GB2312"/>
          <w:sz w:val="32"/>
          <w:szCs w:val="32"/>
          <w:lang w:eastAsia="zh-CN"/>
        </w:rPr>
        <w:t>新湖南运维费</w:t>
      </w:r>
      <w:r>
        <w:rPr>
          <w:rFonts w:hint="eastAsia" w:eastAsia="仿宋_GB2312"/>
          <w:sz w:val="32"/>
          <w:szCs w:val="32"/>
        </w:rPr>
        <w:t>项目资金主要用于融媒体</w:t>
      </w:r>
      <w:r>
        <w:rPr>
          <w:rFonts w:hint="eastAsia" w:eastAsia="仿宋_GB2312"/>
          <w:sz w:val="32"/>
          <w:szCs w:val="32"/>
          <w:lang w:eastAsia="zh-CN"/>
        </w:rPr>
        <w:t>中心建设以及平台维护</w:t>
      </w:r>
      <w:r>
        <w:rPr>
          <w:rFonts w:hint="eastAsia" w:eastAsia="仿宋_GB2312"/>
          <w:sz w:val="32"/>
          <w:szCs w:val="32"/>
        </w:rPr>
        <w:t>，由本级财政拨款，本着专款专用的原则，严格按照政府采购走流程，再审核支付。</w:t>
      </w:r>
    </w:p>
    <w:p>
      <w:pPr>
        <w:numPr>
          <w:ilvl w:val="0"/>
          <w:numId w:val="0"/>
        </w:numPr>
        <w:adjustRightInd w:val="0"/>
        <w:snapToGrid w:val="0"/>
        <w:spacing w:line="600" w:lineRule="exact"/>
        <w:ind w:leftChars="200"/>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仿宋_GB2312"/>
          <w:sz w:val="32"/>
          <w:szCs w:val="32"/>
        </w:rPr>
      </w:pPr>
      <w:r>
        <w:rPr>
          <w:rFonts w:eastAsia="仿宋_GB2312"/>
          <w:sz w:val="32"/>
          <w:szCs w:val="32"/>
        </w:rPr>
        <w:t>项目组织实施情况，主要包括项目招投标、调整、竣工验收等情况。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为了实现本项目的整体绩效目标，我单位政府采购执行规范，20</w:t>
      </w:r>
      <w:r>
        <w:rPr>
          <w:rFonts w:hint="eastAsia" w:eastAsia="仿宋_GB2312"/>
          <w:sz w:val="32"/>
          <w:szCs w:val="32"/>
          <w:lang w:val="en-US" w:eastAsia="zh-CN"/>
        </w:rPr>
        <w:t>20</w:t>
      </w:r>
      <w:r>
        <w:rPr>
          <w:rFonts w:hint="eastAsia" w:eastAsia="仿宋_GB2312"/>
          <w:sz w:val="32"/>
          <w:szCs w:val="32"/>
        </w:rPr>
        <w:t>年12月2</w:t>
      </w:r>
      <w:r>
        <w:rPr>
          <w:rFonts w:hint="eastAsia" w:eastAsia="仿宋_GB2312"/>
          <w:sz w:val="32"/>
          <w:szCs w:val="32"/>
          <w:lang w:val="en-US" w:eastAsia="zh-CN"/>
        </w:rPr>
        <w:t>5</w:t>
      </w:r>
      <w:r>
        <w:rPr>
          <w:rFonts w:hint="eastAsia" w:eastAsia="仿宋_GB2312"/>
          <w:sz w:val="32"/>
          <w:szCs w:val="32"/>
        </w:rPr>
        <w:t>日前的公开招标政府采购活动中，经评标委员会评定和津市市</w:t>
      </w:r>
      <w:r>
        <w:rPr>
          <w:rFonts w:hint="eastAsia" w:eastAsia="仿宋_GB2312"/>
          <w:sz w:val="32"/>
          <w:szCs w:val="32"/>
          <w:lang w:eastAsia="zh-CN"/>
        </w:rPr>
        <w:t>融媒体中心</w:t>
      </w:r>
      <w:r>
        <w:rPr>
          <w:rFonts w:hint="eastAsia" w:eastAsia="仿宋_GB2312"/>
          <w:sz w:val="32"/>
          <w:szCs w:val="32"/>
        </w:rPr>
        <w:t>确认，湖南</w:t>
      </w:r>
      <w:r>
        <w:rPr>
          <w:rFonts w:hint="eastAsia" w:eastAsia="仿宋_GB2312"/>
          <w:sz w:val="32"/>
          <w:szCs w:val="32"/>
          <w:lang w:eastAsia="zh-CN"/>
        </w:rPr>
        <w:t>日报报业集团有限公司</w:t>
      </w:r>
      <w:r>
        <w:rPr>
          <w:rFonts w:hint="eastAsia" w:eastAsia="仿宋_GB2312"/>
          <w:sz w:val="32"/>
          <w:szCs w:val="32"/>
        </w:rPr>
        <w:t>为中标供应商，双方遵循平等、自愿、公平和诚实信用的原则采购，所有货物达国家“三包”规定。货物就位后的安装、调试、培训均在质保期内有效。</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主要从项目的经济性、效率性、有效性和可持续性等方面进行量化、具体分析。其中：项目的经济性分析主要是对项目成本（预算）控制、节约等情况进行分析；项目的效率性分析主要是对项目实施（完成）的进度及质量等情况进行分析；项目的有效性分析主要是对反映项目资金使用效果的个性指标进行分析；项目的可持续性分析主要是对项目完成后，后续政策、资金、人员机构安排和管理措施等影响项目持续发展的因素进行分析。</w:t>
      </w:r>
    </w:p>
    <w:p>
      <w:pPr>
        <w:adjustRightInd w:val="0"/>
        <w:snapToGrid w:val="0"/>
        <w:spacing w:line="560" w:lineRule="exact"/>
        <w:ind w:firstLine="700" w:firstLineChars="200"/>
        <w:rPr>
          <w:rFonts w:eastAsia="仿宋_GB2312"/>
          <w:sz w:val="32"/>
          <w:szCs w:val="32"/>
        </w:rPr>
      </w:pPr>
      <w:r>
        <w:rPr>
          <w:rFonts w:hint="eastAsia" w:ascii="仿宋" w:hAnsi="仿宋" w:eastAsia="仿宋"/>
          <w:color w:val="333333"/>
          <w:sz w:val="35"/>
          <w:szCs w:val="35"/>
        </w:rPr>
        <w:t>1、按照项目施工合同需求，</w:t>
      </w:r>
      <w:r>
        <w:rPr>
          <w:rFonts w:hint="eastAsia" w:eastAsia="仿宋_GB2312"/>
          <w:sz w:val="32"/>
          <w:szCs w:val="32"/>
        </w:rPr>
        <w:t>融媒体中心</w:t>
      </w:r>
      <w:r>
        <w:rPr>
          <w:rFonts w:hint="eastAsia" w:eastAsia="仿宋_GB2312"/>
          <w:sz w:val="32"/>
          <w:szCs w:val="32"/>
          <w:lang w:eastAsia="zh-CN"/>
        </w:rPr>
        <w:t>新湖南运维费</w:t>
      </w:r>
      <w:r>
        <w:rPr>
          <w:rFonts w:hint="eastAsia" w:eastAsia="仿宋_GB2312"/>
          <w:sz w:val="32"/>
          <w:szCs w:val="32"/>
        </w:rPr>
        <w:t>项目按要求施工，保质保量，按期完成施工任务，给融媒体</w:t>
      </w:r>
      <w:r>
        <w:rPr>
          <w:rFonts w:hint="eastAsia" w:eastAsia="仿宋_GB2312"/>
          <w:sz w:val="32"/>
          <w:szCs w:val="32"/>
          <w:lang w:eastAsia="zh-CN"/>
        </w:rPr>
        <w:t>中心建设</w:t>
      </w:r>
      <w:r>
        <w:rPr>
          <w:rFonts w:hint="eastAsia" w:eastAsia="仿宋_GB2312"/>
          <w:sz w:val="32"/>
          <w:szCs w:val="32"/>
        </w:rPr>
        <w:t>带来了便利。</w:t>
      </w:r>
    </w:p>
    <w:p>
      <w:pPr>
        <w:adjustRightInd w:val="0"/>
        <w:snapToGrid w:val="0"/>
        <w:spacing w:line="560" w:lineRule="exact"/>
        <w:ind w:firstLine="640" w:firstLineChars="200"/>
        <w:rPr>
          <w:rFonts w:eastAsia="仿宋_GB2312"/>
          <w:sz w:val="32"/>
          <w:szCs w:val="32"/>
        </w:rPr>
      </w:pPr>
      <w:r>
        <w:rPr>
          <w:rFonts w:hint="eastAsia" w:eastAsia="仿宋_GB2312"/>
          <w:sz w:val="32"/>
          <w:szCs w:val="32"/>
        </w:rPr>
        <w:t>2、施工期内的各类风险和政策性调整等风险合同期内未作调整，大大节约了施工成本。</w:t>
      </w:r>
    </w:p>
    <w:p>
      <w:pPr>
        <w:adjustRightInd w:val="0"/>
        <w:snapToGrid w:val="0"/>
        <w:spacing w:line="56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3、给津市人民带来了便利。</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（一）后续工作计划。</w:t>
      </w:r>
    </w:p>
    <w:p>
      <w:pPr>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（二）主要经验做法、存在的问题和建议。主要包括资金安排、使用过程中的经验、做法、存在的问题、改进措施和有关建议等。</w:t>
      </w: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Ind w:w="0" w:type="dxa"/>
        <w:tblLayout w:type="fixed"/>
        <w:tblCellMar>
          <w:top w:w="0" w:type="dxa"/>
          <w:left w:w="108" w:type="dxa"/>
          <w:bottom w:w="0" w:type="dxa"/>
          <w:right w:w="108" w:type="dxa"/>
        </w:tblCellMar>
      </w:tblPr>
      <w:tblGrid>
        <w:gridCol w:w="1135"/>
        <w:gridCol w:w="992"/>
        <w:gridCol w:w="1261"/>
        <w:gridCol w:w="1224"/>
        <w:gridCol w:w="1634"/>
        <w:gridCol w:w="634"/>
        <w:gridCol w:w="828"/>
        <w:gridCol w:w="873"/>
        <w:gridCol w:w="1418"/>
      </w:tblGrid>
      <w:tr>
        <w:tblPrEx>
          <w:tblLayout w:type="fixed"/>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bookmarkStart w:id="0" w:name="_GoBack"/>
            <w:bookmarkEnd w:id="0"/>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Layout w:type="fixed"/>
          <w:tblCellMar>
            <w:top w:w="0" w:type="dxa"/>
            <w:left w:w="108" w:type="dxa"/>
            <w:bottom w:w="0" w:type="dxa"/>
            <w:right w:w="108" w:type="dxa"/>
          </w:tblCellMar>
        </w:tblPrEx>
        <w:trPr>
          <w:trHeight w:val="9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p>
        </w:tc>
      </w:tr>
      <w:tr>
        <w:tblPrEx>
          <w:tblLayout w:type="fixed"/>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新湖南运维费</w:t>
            </w: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51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津市市融媒体中心</w:t>
            </w:r>
          </w:p>
        </w:tc>
        <w:tc>
          <w:tcPr>
            <w:tcW w:w="6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6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6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44</w:t>
            </w:r>
          </w:p>
        </w:tc>
        <w:tc>
          <w:tcPr>
            <w:tcW w:w="1634" w:type="dxa"/>
            <w:tcBorders>
              <w:top w:val="nil"/>
              <w:left w:val="nil"/>
              <w:bottom w:val="single" w:color="auto" w:sz="4" w:space="0"/>
              <w:right w:val="single" w:color="auto" w:sz="4" w:space="0"/>
            </w:tcBorders>
            <w:noWrap w:val="0"/>
            <w:vAlign w:val="center"/>
          </w:tcPr>
          <w:p>
            <w:pPr>
              <w:widowControl/>
              <w:tabs>
                <w:tab w:val="left" w:pos="558"/>
              </w:tabs>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44</w:t>
            </w:r>
          </w:p>
        </w:tc>
        <w:tc>
          <w:tcPr>
            <w:tcW w:w="634" w:type="dxa"/>
            <w:tcBorders>
              <w:top w:val="nil"/>
              <w:left w:val="nil"/>
              <w:bottom w:val="single" w:color="auto" w:sz="4" w:space="0"/>
              <w:right w:val="single" w:color="auto" w:sz="4" w:space="0"/>
            </w:tcBorders>
            <w:noWrap w:val="0"/>
            <w:vAlign w:val="center"/>
          </w:tcPr>
          <w:p>
            <w:pPr>
              <w:widowControl/>
              <w:tabs>
                <w:tab w:val="left" w:pos="489"/>
              </w:tabs>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ab/>
            </w:r>
            <w:r>
              <w:rPr>
                <w:rFonts w:hint="eastAsia" w:eastAsia="仿宋_GB2312"/>
                <w:color w:val="000000"/>
                <w:kern w:val="0"/>
                <w:szCs w:val="21"/>
                <w:lang w:val="en-US" w:eastAsia="zh-CN"/>
              </w:rPr>
              <w:t>44</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tabs>
                <w:tab w:val="center" w:pos="504"/>
              </w:tabs>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ab/>
            </w:r>
          </w:p>
        </w:tc>
        <w:tc>
          <w:tcPr>
            <w:tcW w:w="1634"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44</w:t>
            </w:r>
          </w:p>
        </w:tc>
        <w:tc>
          <w:tcPr>
            <w:tcW w:w="6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6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6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6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6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51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37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Layout w:type="fixed"/>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51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100%</w:t>
            </w:r>
            <w:r>
              <w:rPr>
                <w:rFonts w:eastAsia="仿宋_GB2312"/>
                <w:color w:val="000000"/>
                <w:kern w:val="0"/>
                <w:szCs w:val="21"/>
              </w:rPr>
              <w:t>　　</w:t>
            </w:r>
          </w:p>
        </w:tc>
        <w:tc>
          <w:tcPr>
            <w:tcW w:w="37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r>
      <w:tr>
        <w:tblPrEx>
          <w:tblLayout w:type="fixed"/>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6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6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rPr>
            </w:pPr>
            <w:r>
              <w:rPr>
                <w:rFonts w:hint="eastAsia" w:ascii="仿宋" w:hAnsi="仿宋" w:eastAsia="仿宋" w:cs="仿宋"/>
                <w:i w:val="0"/>
                <w:color w:val="000000"/>
                <w:kern w:val="0"/>
                <w:sz w:val="18"/>
                <w:szCs w:val="18"/>
                <w:u w:val="none"/>
                <w:lang w:val="en-US" w:eastAsia="zh-CN" w:bidi="ar"/>
              </w:rPr>
              <w:t>A</w:t>
            </w:r>
            <w:r>
              <w:rPr>
                <w:rStyle w:val="4"/>
                <w:rFonts w:hint="eastAsia" w:ascii="仿宋" w:hAnsi="仿宋" w:eastAsia="仿宋" w:cs="仿宋"/>
                <w:sz w:val="18"/>
                <w:szCs w:val="18"/>
                <w:lang w:val="en-US" w:eastAsia="zh-CN" w:bidi="ar"/>
              </w:rPr>
              <w:t>PP宣传</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指挥中心建设</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rPr>
            </w:pPr>
            <w:r>
              <w:rPr>
                <w:rFonts w:hint="eastAsia" w:ascii="仿宋" w:hAnsi="仿宋" w:eastAsia="仿宋" w:cs="仿宋"/>
                <w:i w:val="0"/>
                <w:color w:val="000000"/>
                <w:kern w:val="0"/>
                <w:sz w:val="18"/>
                <w:szCs w:val="18"/>
                <w:u w:val="none"/>
                <w:lang w:val="en-US" w:eastAsia="zh-CN" w:bidi="ar"/>
              </w:rPr>
              <w:t>APP普及率</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全民推广</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工作完成度</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rPr>
              <w:t>完成全年工作</w:t>
            </w:r>
            <w:r>
              <w:rPr>
                <w:rFonts w:hint="eastAsia" w:ascii="仿宋" w:hAnsi="仿宋" w:eastAsia="仿宋" w:cs="仿宋"/>
                <w:color w:val="000000"/>
                <w:kern w:val="0"/>
                <w:sz w:val="18"/>
                <w:szCs w:val="18"/>
                <w:lang w:eastAsia="zh-CN"/>
              </w:rPr>
              <w:t>计划</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rPr>
            </w:pPr>
            <w:r>
              <w:rPr>
                <w:rFonts w:hint="eastAsia" w:ascii="仿宋" w:hAnsi="仿宋" w:eastAsia="仿宋" w:cs="仿宋"/>
                <w:i w:val="0"/>
                <w:color w:val="000000"/>
                <w:kern w:val="0"/>
                <w:sz w:val="18"/>
                <w:szCs w:val="18"/>
                <w:u w:val="none"/>
                <w:lang w:val="en-US" w:eastAsia="zh-CN" w:bidi="ar"/>
              </w:rPr>
              <w:t>APP推广</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按合</w:t>
            </w:r>
            <w:r>
              <w:rPr>
                <w:rFonts w:hint="eastAsia" w:ascii="仿宋" w:hAnsi="仿宋" w:eastAsia="仿宋" w:cs="仿宋"/>
                <w:color w:val="000000"/>
                <w:kern w:val="0"/>
                <w:sz w:val="18"/>
                <w:szCs w:val="18"/>
              </w:rPr>
              <w:t>同完成　</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rPr>
            </w:pPr>
            <w:r>
              <w:rPr>
                <w:rFonts w:hint="eastAsia" w:ascii="仿宋" w:hAnsi="仿宋" w:eastAsia="仿宋" w:cs="仿宋"/>
                <w:i w:val="0"/>
                <w:color w:val="000000"/>
                <w:kern w:val="0"/>
                <w:sz w:val="18"/>
                <w:szCs w:val="18"/>
                <w:u w:val="none"/>
                <w:lang w:val="en-US" w:eastAsia="zh-CN" w:bidi="ar"/>
              </w:rPr>
              <w:t>成本控制</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在预算内合理开支</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9</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rPr>
            </w:pPr>
            <w:r>
              <w:rPr>
                <w:rFonts w:hint="eastAsia" w:ascii="仿宋" w:hAnsi="仿宋" w:eastAsia="仿宋" w:cs="仿宋"/>
                <w:i w:val="0"/>
                <w:color w:val="000000"/>
                <w:kern w:val="0"/>
                <w:sz w:val="18"/>
                <w:szCs w:val="18"/>
                <w:u w:val="none"/>
                <w:lang w:val="en-US" w:eastAsia="zh-CN" w:bidi="ar"/>
              </w:rPr>
              <w:t>经费开支</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运行维护工作经费</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rPr>
            </w:pPr>
            <w:r>
              <w:rPr>
                <w:rFonts w:hint="eastAsia" w:ascii="仿宋" w:hAnsi="仿宋" w:eastAsia="仿宋" w:cs="仿宋"/>
                <w:i w:val="0"/>
                <w:color w:val="000000"/>
                <w:kern w:val="0"/>
                <w:sz w:val="18"/>
                <w:szCs w:val="18"/>
                <w:u w:val="none"/>
                <w:lang w:val="en-US" w:eastAsia="zh-CN" w:bidi="ar"/>
              </w:rPr>
              <w:t>经营收入</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广告收入</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rPr>
            </w:pPr>
            <w:r>
              <w:rPr>
                <w:rFonts w:hint="eastAsia" w:ascii="仿宋" w:hAnsi="仿宋" w:eastAsia="仿宋" w:cs="仿宋"/>
                <w:i w:val="0"/>
                <w:color w:val="000000"/>
                <w:kern w:val="0"/>
                <w:sz w:val="18"/>
                <w:szCs w:val="18"/>
                <w:u w:val="none"/>
                <w:lang w:val="en-US" w:eastAsia="zh-CN" w:bidi="ar"/>
              </w:rPr>
              <w:t>保证社会稳定</w:t>
            </w: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维护社会稳定</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8</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28"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无</w:t>
            </w:r>
          </w:p>
        </w:tc>
        <w:tc>
          <w:tcPr>
            <w:tcW w:w="16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6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 w:hAnsi="仿宋" w:eastAsia="仿宋" w:cs="仿宋"/>
                <w:color w:val="000000"/>
                <w:kern w:val="0"/>
                <w:sz w:val="18"/>
                <w:szCs w:val="18"/>
                <w:lang w:val="en-US" w:eastAsia="zh-CN"/>
              </w:rPr>
            </w:pP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634" w:type="dxa"/>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eastAsia="zh-CN"/>
              </w:rPr>
              <w:t>可持续</w:t>
            </w:r>
          </w:p>
        </w:tc>
        <w:tc>
          <w:tcPr>
            <w:tcW w:w="16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发布信息的主窗口、主阵地、主渠道</w:t>
            </w:r>
          </w:p>
        </w:tc>
        <w:tc>
          <w:tcPr>
            <w:tcW w:w="6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6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6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eastAsia="zh-CN"/>
              </w:rPr>
              <w:t>满意度</w:t>
            </w:r>
          </w:p>
        </w:tc>
        <w:tc>
          <w:tcPr>
            <w:tcW w:w="16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社会公众和服务对象满意度</w:t>
            </w:r>
          </w:p>
        </w:tc>
        <w:tc>
          <w:tcPr>
            <w:tcW w:w="63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9</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6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6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Layout w:type="fixed"/>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100</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95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 xml:space="preserve">填表人：   </w:t>
      </w:r>
      <w:r>
        <w:rPr>
          <w:rFonts w:hint="eastAsia" w:eastAsia="仿宋_GB2312"/>
          <w:sz w:val="24"/>
          <w:lang w:eastAsia="zh-CN"/>
        </w:rPr>
        <w:t>田雅妮</w:t>
      </w:r>
      <w:r>
        <w:rPr>
          <w:rFonts w:eastAsia="仿宋_GB2312"/>
          <w:sz w:val="24"/>
        </w:rPr>
        <w:t xml:space="preserve">      填报日期：   </w:t>
      </w:r>
      <w:r>
        <w:rPr>
          <w:rFonts w:hint="eastAsia" w:eastAsia="仿宋_GB2312"/>
          <w:sz w:val="24"/>
          <w:lang w:val="en-US" w:eastAsia="zh-CN"/>
        </w:rPr>
        <w:t>2022年3月30日</w:t>
      </w:r>
      <w:r>
        <w:rPr>
          <w:rFonts w:eastAsia="仿宋_GB2312"/>
          <w:sz w:val="24"/>
        </w:rPr>
        <w:t xml:space="preserve">        联系电话：   </w:t>
      </w:r>
      <w:r>
        <w:rPr>
          <w:rFonts w:hint="eastAsia" w:eastAsia="仿宋_GB2312"/>
          <w:sz w:val="24"/>
          <w:lang w:val="en-US" w:eastAsia="zh-CN"/>
        </w:rPr>
        <w:t>4224610</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D0D4F7"/>
    <w:multiLevelType w:val="singleLevel"/>
    <w:tmpl w:val="CAD0D4F7"/>
    <w:lvl w:ilvl="0" w:tentative="0">
      <w:start w:val="2"/>
      <w:numFmt w:val="chineseCounting"/>
      <w:suff w:val="nothing"/>
      <w:lvlText w:val="（%1）"/>
      <w:lvlJc w:val="left"/>
      <w:rPr>
        <w:rFonts w:hint="eastAsia"/>
      </w:rPr>
    </w:lvl>
  </w:abstractNum>
  <w:abstractNum w:abstractNumId="1">
    <w:nsid w:val="5F696C4F"/>
    <w:multiLevelType w:val="singleLevel"/>
    <w:tmpl w:val="5F696C4F"/>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00A7AA0"/>
    <w:rsid w:val="05B10D7E"/>
    <w:rsid w:val="092904E0"/>
    <w:rsid w:val="0A462A2A"/>
    <w:rsid w:val="0C5C2D2A"/>
    <w:rsid w:val="0C606E72"/>
    <w:rsid w:val="0CFE4450"/>
    <w:rsid w:val="0F3B57AD"/>
    <w:rsid w:val="13494463"/>
    <w:rsid w:val="13D1626F"/>
    <w:rsid w:val="14D81D2E"/>
    <w:rsid w:val="14EF5E6B"/>
    <w:rsid w:val="169F72CB"/>
    <w:rsid w:val="17F4270E"/>
    <w:rsid w:val="1EAC5EE5"/>
    <w:rsid w:val="1F442E1E"/>
    <w:rsid w:val="202D5A38"/>
    <w:rsid w:val="220520F9"/>
    <w:rsid w:val="305B5409"/>
    <w:rsid w:val="31584EB1"/>
    <w:rsid w:val="32210FC2"/>
    <w:rsid w:val="348942E9"/>
    <w:rsid w:val="34E74349"/>
    <w:rsid w:val="369E0CAE"/>
    <w:rsid w:val="371E5454"/>
    <w:rsid w:val="3C343492"/>
    <w:rsid w:val="4329459A"/>
    <w:rsid w:val="46FD255A"/>
    <w:rsid w:val="487D713D"/>
    <w:rsid w:val="49150FED"/>
    <w:rsid w:val="4A944F8E"/>
    <w:rsid w:val="51152FEA"/>
    <w:rsid w:val="546A78D1"/>
    <w:rsid w:val="585226C9"/>
    <w:rsid w:val="594D6D0F"/>
    <w:rsid w:val="603F6E4D"/>
    <w:rsid w:val="60F008B9"/>
    <w:rsid w:val="62055D66"/>
    <w:rsid w:val="62E07601"/>
    <w:rsid w:val="63AB7815"/>
    <w:rsid w:val="65EC6F2C"/>
    <w:rsid w:val="6A526803"/>
    <w:rsid w:val="6C1E5FE3"/>
    <w:rsid w:val="6CE86A72"/>
    <w:rsid w:val="6D6C631E"/>
    <w:rsid w:val="6FA33F5D"/>
    <w:rsid w:val="75693D8F"/>
    <w:rsid w:val="76F57093"/>
    <w:rsid w:val="7C02048B"/>
    <w:rsid w:val="7CE21EFC"/>
    <w:rsid w:val="7EC3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customStyle="1" w:styleId="4">
    <w:name w:val="font11"/>
    <w:basedOn w:val="3"/>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1618</Words>
  <Characters>1651</Characters>
  <Lines>0</Lines>
  <Paragraphs>0</Paragraphs>
  <TotalTime>14</TotalTime>
  <ScaleCrop>false</ScaleCrop>
  <LinksUpToDate>false</LinksUpToDate>
  <CharactersWithSpaces>1808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Administrator</cp:lastModifiedBy>
  <dcterms:modified xsi:type="dcterms:W3CDTF">2022-03-31T06:58:25Z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C6CD5B2C6D5245CBB84BC4F80A5E1BC4</vt:lpwstr>
  </property>
</Properties>
</file>