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84F" w:rsidRPr="003F684F" w:rsidRDefault="003F684F" w:rsidP="003F684F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3F684F">
        <w:rPr>
          <w:rFonts w:asciiTheme="majorEastAsia" w:eastAsiaTheme="majorEastAsia" w:hAnsiTheme="majorEastAsia" w:hint="eastAsia"/>
          <w:b/>
          <w:sz w:val="44"/>
          <w:szCs w:val="44"/>
        </w:rPr>
        <w:t>津市市财政局2021年度部门整体支出</w:t>
      </w:r>
    </w:p>
    <w:p w:rsidR="003F684F" w:rsidRPr="003F684F" w:rsidRDefault="003F684F" w:rsidP="003F684F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3F684F">
        <w:rPr>
          <w:rFonts w:asciiTheme="majorEastAsia" w:eastAsiaTheme="majorEastAsia" w:hAnsiTheme="majorEastAsia" w:hint="eastAsia"/>
          <w:b/>
          <w:sz w:val="44"/>
          <w:szCs w:val="44"/>
        </w:rPr>
        <w:t>绩效报告</w:t>
      </w:r>
    </w:p>
    <w:p w:rsidR="003F684F" w:rsidRPr="003F684F" w:rsidRDefault="003F684F" w:rsidP="003F684F">
      <w:pPr>
        <w:rPr>
          <w:rFonts w:ascii="仿宋_GB2312" w:eastAsia="仿宋_GB2312"/>
          <w:sz w:val="32"/>
          <w:szCs w:val="32"/>
        </w:rPr>
      </w:pPr>
    </w:p>
    <w:p w:rsidR="003F684F" w:rsidRPr="003F684F" w:rsidRDefault="003F684F" w:rsidP="005509C1">
      <w:pPr>
        <w:rPr>
          <w:rFonts w:ascii="黑体" w:eastAsia="黑体" w:hAnsi="黑体"/>
          <w:sz w:val="32"/>
          <w:szCs w:val="32"/>
        </w:rPr>
      </w:pPr>
      <w:r w:rsidRPr="003F684F">
        <w:rPr>
          <w:rFonts w:ascii="黑体" w:eastAsia="黑体" w:hAnsi="黑体" w:hint="eastAsia"/>
          <w:sz w:val="32"/>
          <w:szCs w:val="32"/>
        </w:rPr>
        <w:t>一、</w:t>
      </w:r>
      <w:r w:rsidRPr="003F684F">
        <w:rPr>
          <w:rFonts w:ascii="黑体" w:eastAsia="黑体" w:hAnsi="黑体" w:hint="eastAsia"/>
          <w:sz w:val="32"/>
          <w:szCs w:val="32"/>
        </w:rPr>
        <w:tab/>
        <w:t>基本情况</w:t>
      </w:r>
    </w:p>
    <w:p w:rsidR="007C406A" w:rsidRDefault="003F684F" w:rsidP="007C406A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D216B">
        <w:rPr>
          <w:rFonts w:ascii="仿宋_GB2312" w:eastAsia="仿宋_GB2312" w:hint="eastAsia"/>
          <w:sz w:val="32"/>
          <w:szCs w:val="32"/>
        </w:rPr>
        <w:t>津市市财政局是隶属于津市市人民政府的全额预算管理行政单位，主要职能是管理全市财政财务收</w:t>
      </w:r>
      <w:r w:rsidR="007C406A">
        <w:rPr>
          <w:rFonts w:ascii="仿宋_GB2312" w:eastAsia="仿宋_GB2312" w:hint="eastAsia"/>
          <w:sz w:val="32"/>
          <w:szCs w:val="32"/>
        </w:rPr>
        <w:t>支，贯彻执行国家财税政策，实施财政监督，对国民经济进行宏观调控。</w:t>
      </w:r>
    </w:p>
    <w:p w:rsidR="007C406A" w:rsidRDefault="007C406A" w:rsidP="007C406A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D216B">
        <w:rPr>
          <w:rFonts w:ascii="仿宋_GB2312" w:eastAsia="仿宋_GB2312" w:hint="eastAsia"/>
          <w:sz w:val="32"/>
          <w:szCs w:val="32"/>
        </w:rPr>
        <w:t>我单位内设科室13个，所属事业单位5个，股级公益一类事业单位2个。分别是办公室、人事教育股、预算股、国库股、文行股、综合股、经建生态股、农业农村股、社会保障股、企业股、金融债务股、会计股、绩效监督股</w:t>
      </w:r>
      <w:r>
        <w:rPr>
          <w:rFonts w:ascii="仿宋_GB2312" w:eastAsia="仿宋_GB2312" w:hint="eastAsia"/>
          <w:sz w:val="32"/>
          <w:szCs w:val="32"/>
        </w:rPr>
        <w:t>；</w:t>
      </w:r>
      <w:r w:rsidRPr="003D216B">
        <w:rPr>
          <w:rFonts w:ascii="仿宋_GB2312" w:eastAsia="仿宋_GB2312" w:hint="eastAsia"/>
          <w:sz w:val="32"/>
          <w:szCs w:val="32"/>
        </w:rPr>
        <w:t>市财政事务中心、市乡镇财政服务中心、市国库集中支付核算中心、市国有资产经营管理中心、市财政局高新技术产业开发区分局</w:t>
      </w:r>
      <w:r>
        <w:rPr>
          <w:rFonts w:ascii="仿宋_GB2312" w:eastAsia="仿宋_GB2312" w:hint="eastAsia"/>
          <w:sz w:val="32"/>
          <w:szCs w:val="32"/>
        </w:rPr>
        <w:t>；</w:t>
      </w:r>
      <w:r w:rsidRPr="003D216B">
        <w:rPr>
          <w:rFonts w:ascii="仿宋_GB2312" w:eastAsia="仿宋_GB2312" w:hint="eastAsia"/>
          <w:sz w:val="32"/>
          <w:szCs w:val="32"/>
        </w:rPr>
        <w:t>市政府采购管理办公室、市财政投资评审中心。</w:t>
      </w:r>
    </w:p>
    <w:p w:rsidR="003F684F" w:rsidRPr="003F684F" w:rsidRDefault="003F684F" w:rsidP="005509C1">
      <w:pPr>
        <w:rPr>
          <w:rFonts w:ascii="黑体" w:eastAsia="黑体" w:hAnsi="黑体"/>
          <w:sz w:val="32"/>
          <w:szCs w:val="32"/>
        </w:rPr>
      </w:pPr>
      <w:r w:rsidRPr="003F684F">
        <w:rPr>
          <w:rFonts w:ascii="黑体" w:eastAsia="黑体" w:hAnsi="黑体" w:hint="eastAsia"/>
          <w:sz w:val="32"/>
          <w:szCs w:val="32"/>
        </w:rPr>
        <w:t>二、一般公共预算支出情况</w:t>
      </w:r>
    </w:p>
    <w:p w:rsidR="003F684F" w:rsidRPr="00B47E1D" w:rsidRDefault="003F684F" w:rsidP="007C406A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B47E1D">
        <w:rPr>
          <w:rFonts w:ascii="仿宋_GB2312" w:eastAsia="仿宋_GB2312" w:hint="eastAsia"/>
          <w:sz w:val="32"/>
          <w:szCs w:val="32"/>
        </w:rPr>
        <w:t>（一）基本支出情况</w:t>
      </w:r>
    </w:p>
    <w:p w:rsidR="003F684F" w:rsidRPr="00B47E1D" w:rsidRDefault="003F684F" w:rsidP="00803E3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B47E1D">
        <w:rPr>
          <w:rFonts w:ascii="仿宋_GB2312" w:eastAsia="仿宋_GB2312" w:hint="eastAsia"/>
          <w:sz w:val="32"/>
          <w:szCs w:val="32"/>
        </w:rPr>
        <w:t>2021年</w:t>
      </w:r>
      <w:r w:rsidR="00020EEF" w:rsidRPr="00B47E1D">
        <w:rPr>
          <w:rFonts w:ascii="仿宋_GB2312" w:eastAsia="仿宋_GB2312" w:hint="eastAsia"/>
          <w:sz w:val="32"/>
          <w:szCs w:val="32"/>
        </w:rPr>
        <w:t>度</w:t>
      </w:r>
      <w:r w:rsidR="00665898" w:rsidRPr="00B47E1D">
        <w:rPr>
          <w:rFonts w:ascii="仿宋_GB2312" w:eastAsia="仿宋_GB2312" w:hint="eastAsia"/>
          <w:sz w:val="32"/>
          <w:szCs w:val="32"/>
        </w:rPr>
        <w:t>,我单位</w:t>
      </w:r>
      <w:r w:rsidR="00020EEF" w:rsidRPr="00B47E1D">
        <w:rPr>
          <w:rFonts w:ascii="仿宋_GB2312" w:eastAsia="仿宋_GB2312" w:hint="eastAsia"/>
          <w:sz w:val="32"/>
          <w:szCs w:val="32"/>
        </w:rPr>
        <w:t>共</w:t>
      </w:r>
      <w:r w:rsidR="00803E31" w:rsidRPr="00B47E1D">
        <w:rPr>
          <w:rFonts w:ascii="仿宋_GB2312" w:eastAsia="仿宋_GB2312" w:hint="eastAsia"/>
          <w:sz w:val="32"/>
          <w:szCs w:val="32"/>
        </w:rPr>
        <w:t>完成</w:t>
      </w:r>
      <w:r w:rsidRPr="00B47E1D">
        <w:rPr>
          <w:rFonts w:ascii="仿宋_GB2312" w:eastAsia="仿宋_GB2312" w:hint="eastAsia"/>
          <w:sz w:val="32"/>
          <w:szCs w:val="32"/>
        </w:rPr>
        <w:t>基本支出</w:t>
      </w:r>
      <w:r w:rsidR="00803E31" w:rsidRPr="00B47E1D">
        <w:rPr>
          <w:rFonts w:ascii="仿宋_GB2312" w:eastAsia="仿宋_GB2312" w:hint="eastAsia"/>
          <w:sz w:val="32"/>
          <w:szCs w:val="32"/>
        </w:rPr>
        <w:t>2114</w:t>
      </w:r>
      <w:r w:rsidRPr="00B47E1D">
        <w:rPr>
          <w:rFonts w:ascii="仿宋_GB2312" w:eastAsia="仿宋_GB2312" w:hint="eastAsia"/>
          <w:sz w:val="32"/>
          <w:szCs w:val="32"/>
        </w:rPr>
        <w:t>万元</w:t>
      </w:r>
      <w:r w:rsidR="00020EEF" w:rsidRPr="00B47E1D">
        <w:rPr>
          <w:rFonts w:ascii="仿宋_GB2312" w:eastAsia="仿宋_GB2312" w:hint="eastAsia"/>
          <w:sz w:val="32"/>
          <w:szCs w:val="32"/>
        </w:rPr>
        <w:t>，其中：人员经费1693万元，占基本支出的80%，公用经费421万，占基本支出的20%</w:t>
      </w:r>
      <w:r w:rsidRPr="00B47E1D">
        <w:rPr>
          <w:rFonts w:ascii="仿宋_GB2312" w:eastAsia="仿宋_GB2312" w:hint="eastAsia"/>
          <w:sz w:val="32"/>
          <w:szCs w:val="32"/>
        </w:rPr>
        <w:t>。</w:t>
      </w:r>
    </w:p>
    <w:p w:rsidR="00020EEF" w:rsidRPr="00B47E1D" w:rsidRDefault="003F684F" w:rsidP="00020EE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B47E1D">
        <w:rPr>
          <w:rFonts w:ascii="仿宋_GB2312" w:eastAsia="仿宋_GB2312" w:hint="eastAsia"/>
          <w:sz w:val="32"/>
          <w:szCs w:val="32"/>
        </w:rPr>
        <w:t>（二）项目支出情况</w:t>
      </w:r>
    </w:p>
    <w:p w:rsidR="00310D7D" w:rsidRPr="003F684F" w:rsidRDefault="00DF7DE3" w:rsidP="00310D7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B47E1D">
        <w:rPr>
          <w:rFonts w:ascii="仿宋_GB2312" w:eastAsia="仿宋_GB2312" w:hint="eastAsia"/>
          <w:sz w:val="32"/>
          <w:szCs w:val="32"/>
        </w:rPr>
        <w:t>2021年度，我单位共</w:t>
      </w:r>
      <w:r w:rsidR="00020EEF" w:rsidRPr="00B47E1D">
        <w:rPr>
          <w:rFonts w:ascii="仿宋_GB2312" w:eastAsia="仿宋_GB2312" w:hint="eastAsia"/>
          <w:sz w:val="32"/>
          <w:szCs w:val="32"/>
        </w:rPr>
        <w:t>完成</w:t>
      </w:r>
      <w:r w:rsidR="00310D7D" w:rsidRPr="00B47E1D">
        <w:rPr>
          <w:rFonts w:ascii="仿宋_GB2312" w:eastAsia="仿宋_GB2312" w:hint="eastAsia"/>
          <w:sz w:val="32"/>
          <w:szCs w:val="32"/>
        </w:rPr>
        <w:t>一般公共预算项目支出666万元，是指单位为完成特定行政工</w:t>
      </w:r>
      <w:r w:rsidR="00310D7D" w:rsidRPr="00310D7D">
        <w:rPr>
          <w:rFonts w:ascii="仿宋_GB2312" w:eastAsia="仿宋_GB2312" w:hint="eastAsia"/>
          <w:sz w:val="32"/>
          <w:szCs w:val="32"/>
        </w:rPr>
        <w:t>作任务或事业发展目标而发</w:t>
      </w:r>
      <w:r w:rsidR="00310D7D" w:rsidRPr="00310D7D">
        <w:rPr>
          <w:rFonts w:ascii="仿宋_GB2312" w:eastAsia="仿宋_GB2312" w:hint="eastAsia"/>
          <w:sz w:val="32"/>
          <w:szCs w:val="32"/>
        </w:rPr>
        <w:lastRenderedPageBreak/>
        <w:t>生的支出，包括有关业务工作专项和运行维护专项。其中：业务工作</w:t>
      </w:r>
      <w:r w:rsidR="00310D7D" w:rsidRPr="00BE60CA">
        <w:rPr>
          <w:rFonts w:ascii="仿宋_GB2312" w:eastAsia="仿宋_GB2312" w:hint="eastAsia"/>
          <w:sz w:val="32"/>
          <w:szCs w:val="32"/>
        </w:rPr>
        <w:t>专项支出</w:t>
      </w:r>
      <w:r w:rsidR="00EA4F22">
        <w:rPr>
          <w:rFonts w:ascii="仿宋_GB2312" w:eastAsia="仿宋_GB2312" w:hint="eastAsia"/>
          <w:sz w:val="32"/>
          <w:szCs w:val="32"/>
        </w:rPr>
        <w:t>571</w:t>
      </w:r>
      <w:r w:rsidR="00310D7D" w:rsidRPr="00BE60CA">
        <w:rPr>
          <w:rFonts w:ascii="仿宋_GB2312" w:eastAsia="仿宋_GB2312" w:hint="eastAsia"/>
          <w:sz w:val="32"/>
          <w:szCs w:val="32"/>
        </w:rPr>
        <w:t>万元，主要用于财政改革科研、法规宣传、部门预决算编制、财政监督检查、非税收入稽查等方面；运行维护专项</w:t>
      </w:r>
      <w:r w:rsidR="00EA4F22">
        <w:rPr>
          <w:rFonts w:ascii="仿宋_GB2312" w:eastAsia="仿宋_GB2312" w:hint="eastAsia"/>
          <w:sz w:val="32"/>
          <w:szCs w:val="32"/>
        </w:rPr>
        <w:t>95</w:t>
      </w:r>
      <w:r w:rsidR="00310D7D" w:rsidRPr="00BE60CA">
        <w:rPr>
          <w:rFonts w:ascii="仿宋_GB2312" w:eastAsia="仿宋_GB2312" w:hint="eastAsia"/>
          <w:sz w:val="32"/>
          <w:szCs w:val="32"/>
        </w:rPr>
        <w:t>万元，主要用</w:t>
      </w:r>
      <w:r w:rsidR="00310D7D" w:rsidRPr="00310D7D">
        <w:rPr>
          <w:rFonts w:ascii="仿宋_GB2312" w:eastAsia="仿宋_GB2312" w:hint="eastAsia"/>
          <w:sz w:val="32"/>
          <w:szCs w:val="32"/>
        </w:rPr>
        <w:t>于财政信息网络建设、维护以及机关大院后勤服务、设备添置等方面。</w:t>
      </w:r>
    </w:p>
    <w:p w:rsidR="003F684F" w:rsidRPr="003F684F" w:rsidRDefault="00B47E1D" w:rsidP="005509C1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="003F684F" w:rsidRPr="003F684F">
        <w:rPr>
          <w:rFonts w:ascii="黑体" w:eastAsia="黑体" w:hAnsi="黑体" w:hint="eastAsia"/>
          <w:sz w:val="32"/>
          <w:szCs w:val="32"/>
        </w:rPr>
        <w:t>、</w:t>
      </w:r>
      <w:r w:rsidR="003F684F" w:rsidRPr="003F684F">
        <w:rPr>
          <w:rFonts w:ascii="黑体" w:eastAsia="黑体" w:hAnsi="黑体" w:hint="eastAsia"/>
          <w:sz w:val="32"/>
          <w:szCs w:val="32"/>
        </w:rPr>
        <w:tab/>
        <w:t>政府性基金预算支出情况</w:t>
      </w:r>
    </w:p>
    <w:p w:rsidR="003F684F" w:rsidRPr="003F684F" w:rsidRDefault="00B47E1D" w:rsidP="003F684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3F684F" w:rsidRPr="003F684F">
        <w:rPr>
          <w:rFonts w:ascii="仿宋_GB2312" w:eastAsia="仿宋_GB2312" w:hint="eastAsia"/>
          <w:sz w:val="32"/>
          <w:szCs w:val="32"/>
        </w:rPr>
        <w:t>无。</w:t>
      </w:r>
    </w:p>
    <w:p w:rsidR="003F684F" w:rsidRPr="003F684F" w:rsidRDefault="003F684F" w:rsidP="005509C1">
      <w:pPr>
        <w:rPr>
          <w:rFonts w:ascii="黑体" w:eastAsia="黑体" w:hAnsi="黑体"/>
          <w:sz w:val="32"/>
          <w:szCs w:val="32"/>
        </w:rPr>
      </w:pPr>
      <w:r w:rsidRPr="003F684F">
        <w:rPr>
          <w:rFonts w:ascii="黑体" w:eastAsia="黑体" w:hAnsi="黑体" w:hint="eastAsia"/>
          <w:sz w:val="32"/>
          <w:szCs w:val="32"/>
        </w:rPr>
        <w:t>四、部门整体支出绩效情况</w:t>
      </w:r>
    </w:p>
    <w:p w:rsidR="005509C1" w:rsidRDefault="003F684F" w:rsidP="005509C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F684F">
        <w:rPr>
          <w:rFonts w:ascii="仿宋_GB2312" w:eastAsia="仿宋_GB2312" w:hint="eastAsia"/>
          <w:sz w:val="32"/>
          <w:szCs w:val="32"/>
        </w:rPr>
        <w:t>1、加强非税管理。推进票据电子化管理改革，加大对重点领域、用票大户的布局，力争电子化票据覆盖面</w:t>
      </w:r>
      <w:r w:rsidR="005509C1">
        <w:rPr>
          <w:rFonts w:ascii="仿宋_GB2312" w:eastAsia="仿宋_GB2312" w:hint="eastAsia"/>
          <w:sz w:val="32"/>
          <w:szCs w:val="32"/>
        </w:rPr>
        <w:t>9</w:t>
      </w:r>
      <w:r w:rsidRPr="003F684F">
        <w:rPr>
          <w:rFonts w:ascii="仿宋_GB2312" w:eastAsia="仿宋_GB2312" w:hint="eastAsia"/>
          <w:sz w:val="32"/>
          <w:szCs w:val="32"/>
        </w:rPr>
        <w:t>0%以上；</w:t>
      </w:r>
    </w:p>
    <w:p w:rsidR="005509C1" w:rsidRDefault="003F684F" w:rsidP="005509C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F684F">
        <w:rPr>
          <w:rFonts w:ascii="仿宋_GB2312" w:eastAsia="仿宋_GB2312" w:hint="eastAsia"/>
          <w:sz w:val="32"/>
          <w:szCs w:val="32"/>
        </w:rPr>
        <w:t>2、加强乡财管理。推进乡镇预算精细化管理，规范乡镇村居资金管理，落实评审、采购等程序监管，深化村居“三资”重审，建立日常监管机制，引导村居集体自觉规范三资管理。加强惠农资金打卡发放管理，严格执行“三级公示、三级管理”，按省厅要求，实行惠农资金主管部门直接录入。推动“一事一议”奖补，促进农村公益事业发展；</w:t>
      </w:r>
    </w:p>
    <w:p w:rsidR="003F684F" w:rsidRPr="003F684F" w:rsidRDefault="003F684F" w:rsidP="005509C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F684F">
        <w:rPr>
          <w:rFonts w:ascii="仿宋_GB2312" w:eastAsia="仿宋_GB2312" w:hint="eastAsia"/>
          <w:sz w:val="32"/>
          <w:szCs w:val="32"/>
        </w:rPr>
        <w:t>3、加强支付管理。严格执行部门预算，执行财经纪律规定，严格控制“三公”经费、奖金、津补贴等重点支出，严格执行公务卡强制消费目录制度。探索开展电子化支付改革，在严格保证资金安全的情况下，先试点再推进。加强支付数据分析，提高分析效率，加强预算执行动态监控，建立</w:t>
      </w:r>
      <w:r w:rsidRPr="003F684F">
        <w:rPr>
          <w:rFonts w:ascii="仿宋_GB2312" w:eastAsia="仿宋_GB2312" w:hint="eastAsia"/>
          <w:sz w:val="32"/>
          <w:szCs w:val="32"/>
        </w:rPr>
        <w:lastRenderedPageBreak/>
        <w:t>事前事中有效控制、事后跟踪问效的机制。</w:t>
      </w:r>
    </w:p>
    <w:p w:rsidR="003F684F" w:rsidRPr="003F684F" w:rsidRDefault="003F684F" w:rsidP="005509C1">
      <w:pPr>
        <w:rPr>
          <w:rFonts w:ascii="黑体" w:eastAsia="黑体" w:hAnsi="黑体"/>
          <w:sz w:val="32"/>
          <w:szCs w:val="32"/>
        </w:rPr>
      </w:pPr>
      <w:r w:rsidRPr="003F684F">
        <w:rPr>
          <w:rFonts w:ascii="黑体" w:eastAsia="黑体" w:hAnsi="黑体" w:hint="eastAsia"/>
          <w:sz w:val="32"/>
          <w:szCs w:val="32"/>
        </w:rPr>
        <w:t>五、存在的问题及原因分析</w:t>
      </w:r>
    </w:p>
    <w:p w:rsidR="005509C1" w:rsidRDefault="003F684F" w:rsidP="005509C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F684F">
        <w:rPr>
          <w:rFonts w:ascii="仿宋_GB2312" w:eastAsia="仿宋_GB2312" w:hint="eastAsia"/>
          <w:sz w:val="32"/>
          <w:szCs w:val="32"/>
        </w:rPr>
        <w:t>1、采购管理需加强。坚持应采尽采，完善采购预算编制，强化采购控税，提请出台政府采购控税管理办法，维护本地税收。加强采购履约结果验收，推行采购合同公示制度，增加采购透明度；</w:t>
      </w:r>
    </w:p>
    <w:p w:rsidR="005509C1" w:rsidRDefault="003F684F" w:rsidP="005509C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F684F">
        <w:rPr>
          <w:rFonts w:ascii="仿宋_GB2312" w:eastAsia="仿宋_GB2312" w:hint="eastAsia"/>
          <w:sz w:val="32"/>
          <w:szCs w:val="32"/>
        </w:rPr>
        <w:t>2、评审管理需加强。坚持应审尽审，强化联动管理机制，严格执行评审程序，落实责任制度，推广项目中介评审，提高一审效率。加强评审监督，维护评审公信力；</w:t>
      </w:r>
    </w:p>
    <w:p w:rsidR="003F684F" w:rsidRPr="003F684F" w:rsidRDefault="005509C1" w:rsidP="005509C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3F684F" w:rsidRPr="003F684F">
        <w:rPr>
          <w:rFonts w:ascii="仿宋_GB2312" w:eastAsia="仿宋_GB2312" w:hint="eastAsia"/>
          <w:sz w:val="32"/>
          <w:szCs w:val="32"/>
        </w:rPr>
        <w:t>、债务管理需加强。根据债务预警情况制定化债方案，核实平台公司工程款等债务，加强每月债务支付动态监测。将非政府债券的存量政府债务纳入预算管理，完善融资债务预算编制，加强平台债务和政府支出的管控，确保不发生债务风险和风险蔓延。继续做好债券置换债务工作，加快置换资金拨付，完善手续，做好置换迎检工作。</w:t>
      </w:r>
    </w:p>
    <w:p w:rsidR="003F684F" w:rsidRPr="003F684F" w:rsidRDefault="003F684F" w:rsidP="005509C1">
      <w:pPr>
        <w:rPr>
          <w:rFonts w:ascii="黑体" w:eastAsia="黑体" w:hAnsi="黑体"/>
          <w:sz w:val="32"/>
          <w:szCs w:val="32"/>
        </w:rPr>
      </w:pPr>
      <w:r w:rsidRPr="003F684F">
        <w:rPr>
          <w:rFonts w:ascii="黑体" w:eastAsia="黑体" w:hAnsi="黑体" w:hint="eastAsia"/>
          <w:sz w:val="32"/>
          <w:szCs w:val="32"/>
        </w:rPr>
        <w:t>六、下一步改进措施</w:t>
      </w:r>
    </w:p>
    <w:p w:rsidR="005509C1" w:rsidRDefault="003F684F" w:rsidP="005509C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F684F">
        <w:rPr>
          <w:rFonts w:ascii="仿宋_GB2312" w:eastAsia="仿宋_GB2312" w:hint="eastAsia"/>
          <w:sz w:val="32"/>
          <w:szCs w:val="32"/>
        </w:rPr>
        <w:t>1、加强采购管理。坚持应采尽采，完善采购预算编制，强化采购控税，提请出台政府采购控税管理办法，维护本地税收。加强采购履约结果验收，推行采购合同公示制度，增加采购透明度；</w:t>
      </w:r>
    </w:p>
    <w:p w:rsidR="005509C1" w:rsidRDefault="003F684F" w:rsidP="005509C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F684F">
        <w:rPr>
          <w:rFonts w:ascii="仿宋_GB2312" w:eastAsia="仿宋_GB2312" w:hint="eastAsia"/>
          <w:sz w:val="32"/>
          <w:szCs w:val="32"/>
        </w:rPr>
        <w:t>2、加强评审管理。坚持应审尽审，强化联动管理机制，严格执行评审程序，落实责任制度，推广项目中介评审，提</w:t>
      </w:r>
      <w:r w:rsidRPr="003F684F">
        <w:rPr>
          <w:rFonts w:ascii="仿宋_GB2312" w:eastAsia="仿宋_GB2312" w:hint="eastAsia"/>
          <w:sz w:val="32"/>
          <w:szCs w:val="32"/>
        </w:rPr>
        <w:lastRenderedPageBreak/>
        <w:t>高一审效率。加强评审监督，维护评审公信力；</w:t>
      </w:r>
    </w:p>
    <w:p w:rsidR="003F684F" w:rsidRPr="003F684F" w:rsidRDefault="003F684F" w:rsidP="005509C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F684F">
        <w:rPr>
          <w:rFonts w:ascii="仿宋_GB2312" w:eastAsia="仿宋_GB2312" w:hint="eastAsia"/>
          <w:sz w:val="32"/>
          <w:szCs w:val="32"/>
        </w:rPr>
        <w:t>3、加强债务管理。根据债务预警情况制定好202</w:t>
      </w:r>
      <w:r w:rsidR="005509C1">
        <w:rPr>
          <w:rFonts w:ascii="仿宋_GB2312" w:eastAsia="仿宋_GB2312" w:hint="eastAsia"/>
          <w:sz w:val="32"/>
          <w:szCs w:val="32"/>
        </w:rPr>
        <w:t>2</w:t>
      </w:r>
      <w:r w:rsidRPr="003F684F">
        <w:rPr>
          <w:rFonts w:ascii="仿宋_GB2312" w:eastAsia="仿宋_GB2312" w:hint="eastAsia"/>
          <w:sz w:val="32"/>
          <w:szCs w:val="32"/>
        </w:rPr>
        <w:t>年化债方案，核实平台公司工程款等债务，加强每月债务支付动态监测。将非政府债券的存量政府债务纳入预算管理，完善融资债务预算编制，加强平台债务和政府支出的管控，确保不发生债务风险和风险蔓延。继续做好债券置换债务工作，加快置换资金拨付，完善手续，做好置换迎检工作。</w:t>
      </w:r>
    </w:p>
    <w:p w:rsidR="003F684F" w:rsidRPr="003F684F" w:rsidRDefault="003F684F" w:rsidP="005509C1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3F684F">
        <w:rPr>
          <w:rFonts w:ascii="黑体" w:eastAsia="黑体" w:hAnsi="黑体" w:hint="eastAsia"/>
          <w:sz w:val="32"/>
          <w:szCs w:val="32"/>
        </w:rPr>
        <w:t>七、其他需要说明的情况</w:t>
      </w:r>
    </w:p>
    <w:p w:rsidR="004A42CC" w:rsidRPr="003F684F" w:rsidRDefault="003F684F" w:rsidP="003F684F">
      <w:pPr>
        <w:rPr>
          <w:rFonts w:ascii="仿宋_GB2312" w:eastAsia="仿宋_GB2312"/>
          <w:sz w:val="32"/>
          <w:szCs w:val="32"/>
        </w:rPr>
      </w:pPr>
      <w:r w:rsidRPr="003F684F">
        <w:rPr>
          <w:rFonts w:ascii="仿宋_GB2312" w:eastAsia="仿宋_GB2312" w:hint="eastAsia"/>
          <w:sz w:val="32"/>
          <w:szCs w:val="32"/>
        </w:rPr>
        <w:t xml:space="preserve">    无。</w:t>
      </w:r>
    </w:p>
    <w:sectPr w:rsidR="004A42CC" w:rsidRPr="003F684F" w:rsidSect="008236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D71" w:rsidRDefault="00261D71" w:rsidP="004A42CC">
      <w:r>
        <w:separator/>
      </w:r>
    </w:p>
  </w:endnote>
  <w:endnote w:type="continuationSeparator" w:id="1">
    <w:p w:rsidR="00261D71" w:rsidRDefault="00261D71" w:rsidP="004A4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D71" w:rsidRDefault="00261D71" w:rsidP="004A42CC">
      <w:r>
        <w:separator/>
      </w:r>
    </w:p>
  </w:footnote>
  <w:footnote w:type="continuationSeparator" w:id="1">
    <w:p w:rsidR="00261D71" w:rsidRDefault="00261D71" w:rsidP="004A42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9220C"/>
    <w:multiLevelType w:val="hybridMultilevel"/>
    <w:tmpl w:val="1F066A04"/>
    <w:lvl w:ilvl="0" w:tplc="8A02DBC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020EEF"/>
    <w:rsid w:val="00261D71"/>
    <w:rsid w:val="00263ED9"/>
    <w:rsid w:val="002B71F2"/>
    <w:rsid w:val="00310D7D"/>
    <w:rsid w:val="003F684F"/>
    <w:rsid w:val="004A42CC"/>
    <w:rsid w:val="005509C1"/>
    <w:rsid w:val="00572109"/>
    <w:rsid w:val="00665898"/>
    <w:rsid w:val="006C0EA0"/>
    <w:rsid w:val="007B487A"/>
    <w:rsid w:val="007C406A"/>
    <w:rsid w:val="00803E31"/>
    <w:rsid w:val="008236E9"/>
    <w:rsid w:val="009B78A3"/>
    <w:rsid w:val="00AC36DD"/>
    <w:rsid w:val="00B17548"/>
    <w:rsid w:val="00B21101"/>
    <w:rsid w:val="00B47E1D"/>
    <w:rsid w:val="00BE60CA"/>
    <w:rsid w:val="00D65E4E"/>
    <w:rsid w:val="00DF7DE3"/>
    <w:rsid w:val="00EA4F22"/>
    <w:rsid w:val="00FD08B4"/>
    <w:rsid w:val="00FD7976"/>
    <w:rsid w:val="3A076E09"/>
    <w:rsid w:val="3B8F3226"/>
    <w:rsid w:val="5A9D5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36E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236E9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rsid w:val="004A42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A42C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A42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A42C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17</cp:revision>
  <dcterms:created xsi:type="dcterms:W3CDTF">2021-03-15T06:50:00Z</dcterms:created>
  <dcterms:modified xsi:type="dcterms:W3CDTF">2022-03-23T02:51:00Z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