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津市市社会救助事务中心单位2021年度</w:t>
      </w:r>
    </w:p>
    <w:p>
      <w:pPr>
        <w:spacing w:line="600" w:lineRule="exact"/>
        <w:jc w:val="center"/>
        <w:rPr>
          <w:rFonts w:eastAsia="方正小标宋_GBK"/>
          <w:sz w:val="32"/>
          <w:szCs w:val="32"/>
        </w:rPr>
      </w:pPr>
      <w:r>
        <w:rPr>
          <w:rFonts w:eastAsia="方正小标宋_GBK"/>
          <w:sz w:val="36"/>
          <w:szCs w:val="36"/>
        </w:rPr>
        <w:t>部门整体支出绩效报告</w:t>
      </w:r>
    </w:p>
    <w:p>
      <w:pPr>
        <w:spacing w:line="600" w:lineRule="exact"/>
        <w:jc w:val="center"/>
        <w:rPr>
          <w:rFonts w:eastAsia="方正小标宋_GBK"/>
          <w:sz w:val="32"/>
          <w:szCs w:val="32"/>
        </w:rPr>
      </w:pPr>
    </w:p>
    <w:p>
      <w:pPr>
        <w:pStyle w:val="6"/>
        <w:widowControl/>
        <w:numPr>
          <w:ilvl w:val="0"/>
          <w:numId w:val="0"/>
        </w:numPr>
        <w:spacing w:line="600" w:lineRule="exact"/>
        <w:ind w:left="640" w:leftChars="0"/>
        <w:rPr>
          <w:rFonts w:ascii="Times New Roman" w:hAnsi="Times New Roman" w:eastAsia="黑体"/>
          <w:sz w:val="32"/>
          <w:szCs w:val="32"/>
        </w:rPr>
      </w:pPr>
      <w:r>
        <w:rPr>
          <w:rFonts w:hint="eastAsia" w:ascii="Times New Roman" w:hAnsi="Times New Roman" w:eastAsia="黑体"/>
          <w:sz w:val="32"/>
          <w:szCs w:val="32"/>
          <w:lang w:eastAsia="zh-CN"/>
        </w:rPr>
        <w:t>一、</w:t>
      </w:r>
      <w:r>
        <w:rPr>
          <w:rFonts w:ascii="Times New Roman" w:hAnsi="Times New Roman" w:eastAsia="黑体"/>
          <w:sz w:val="32"/>
          <w:szCs w:val="32"/>
        </w:rPr>
        <w:t>部门、单位基本情况</w:t>
      </w:r>
    </w:p>
    <w:p>
      <w:pPr>
        <w:pStyle w:val="2"/>
        <w:keepNext w:val="0"/>
        <w:keepLines w:val="0"/>
        <w:pageBreakBefore w:val="0"/>
        <w:widowControl w:val="0"/>
        <w:kinsoku/>
        <w:wordWrap/>
        <w:overflowPunct/>
        <w:topLinePunct w:val="0"/>
        <w:autoSpaceDE w:val="0"/>
        <w:autoSpaceDN w:val="0"/>
        <w:bidi w:val="0"/>
        <w:adjustRightInd w:val="0"/>
        <w:snapToGrid w:val="0"/>
        <w:spacing w:before="0" w:line="600" w:lineRule="exact"/>
        <w:ind w:left="0" w:leftChars="0" w:right="0" w:firstLine="305" w:firstLineChars="100"/>
        <w:jc w:val="both"/>
        <w:textAlignment w:val="auto"/>
        <w:rPr>
          <w:rFonts w:hint="eastAsia" w:ascii="仿宋_GB2312" w:hAnsi="仿宋_GB2312" w:eastAsia="仿宋_GB2312" w:cs="仿宋_GB2312"/>
          <w:w w:val="95"/>
          <w:sz w:val="32"/>
          <w:szCs w:val="32"/>
        </w:rPr>
      </w:pPr>
      <w:r>
        <w:rPr>
          <w:rFonts w:hint="eastAsia" w:ascii="仿宋_GB2312" w:hAnsi="仿宋_GB2312" w:eastAsia="仿宋_GB2312" w:cs="仿宋_GB2312"/>
          <w:w w:val="95"/>
          <w:sz w:val="32"/>
          <w:szCs w:val="32"/>
        </w:rPr>
        <w:t>（一）职能职责</w:t>
      </w:r>
    </w:p>
    <w:p>
      <w:pPr>
        <w:widowControl/>
        <w:spacing w:line="560" w:lineRule="exact"/>
        <w:ind w:firstLine="640"/>
        <w:rPr>
          <w:rFonts w:hint="eastAsia" w:ascii="仿宋_GB2312" w:hAnsi="仿宋_GB2312" w:eastAsia="仿宋_GB2312" w:cs="仿宋_GB2312"/>
          <w:w w:val="95"/>
          <w:kern w:val="0"/>
          <w:sz w:val="32"/>
          <w:szCs w:val="32"/>
          <w:lang w:val="en-US" w:eastAsia="zh-CN" w:bidi="ar-SA"/>
        </w:rPr>
      </w:pPr>
      <w:r>
        <w:rPr>
          <w:rFonts w:hint="eastAsia" w:ascii="仿宋_GB2312" w:hAnsi="仿宋_GB2312" w:eastAsia="仿宋_GB2312" w:cs="仿宋_GB2312"/>
          <w:w w:val="95"/>
          <w:kern w:val="0"/>
          <w:sz w:val="32"/>
          <w:szCs w:val="32"/>
          <w:lang w:val="en-US" w:eastAsia="zh-CN" w:bidi="ar-SA"/>
        </w:rPr>
        <w:t>津市市社会救助事务中心是全额拨款事业单位。负责城市流浪乞讨人员的救助管理工作，对符合条件的人员及时提供救助。本着自愿求助，无偿救助的原则对救助人员进行救助。向求助的流浪乞讨人员告知救助对象的范围和实施救助的内容。对未成年人及行动不便的老年人等特定流浪乞讨对象，实施主动救助和帮教。对在中心内突发急病的求助流浪乞讨人员及时送医院救治。</w:t>
      </w:r>
    </w:p>
    <w:p>
      <w:pPr>
        <w:pStyle w:val="2"/>
        <w:keepNext w:val="0"/>
        <w:keepLines w:val="0"/>
        <w:pageBreakBefore w:val="0"/>
        <w:widowControl w:val="0"/>
        <w:kinsoku/>
        <w:wordWrap/>
        <w:overflowPunct/>
        <w:topLinePunct w:val="0"/>
        <w:autoSpaceDE w:val="0"/>
        <w:autoSpaceDN w:val="0"/>
        <w:bidi w:val="0"/>
        <w:adjustRightInd w:val="0"/>
        <w:snapToGrid w:val="0"/>
        <w:spacing w:before="0" w:line="600" w:lineRule="exact"/>
        <w:ind w:left="0" w:leftChars="0" w:right="0" w:firstLine="305" w:firstLineChars="100"/>
        <w:jc w:val="both"/>
        <w:textAlignment w:val="auto"/>
        <w:rPr>
          <w:rFonts w:hint="eastAsia" w:ascii="仿宋_GB2312" w:hAnsi="仿宋_GB2312" w:eastAsia="仿宋_GB2312" w:cs="仿宋_GB2312"/>
          <w:w w:val="95"/>
          <w:sz w:val="32"/>
          <w:szCs w:val="32"/>
          <w:lang w:val="en-US" w:eastAsia="zh-CN"/>
        </w:rPr>
      </w:pPr>
      <w:r>
        <w:rPr>
          <w:rFonts w:hint="eastAsia" w:ascii="仿宋_GB2312" w:hAnsi="仿宋_GB2312" w:eastAsia="仿宋_GB2312" w:cs="仿宋_GB2312"/>
          <w:w w:val="95"/>
          <w:sz w:val="32"/>
          <w:szCs w:val="32"/>
          <w:lang w:val="en-US" w:eastAsia="zh-CN"/>
        </w:rPr>
        <w:t>（二）机构设置</w:t>
      </w:r>
    </w:p>
    <w:p>
      <w:pPr>
        <w:pStyle w:val="3"/>
        <w:keepNext w:val="0"/>
        <w:keepLines w:val="0"/>
        <w:pageBreakBefore w:val="0"/>
        <w:kinsoku/>
        <w:wordWrap/>
        <w:overflowPunct/>
        <w:topLinePunct w:val="0"/>
        <w:autoSpaceDE w:val="0"/>
        <w:autoSpaceDN w:val="0"/>
        <w:bidi w:val="0"/>
        <w:spacing w:beforeAutospacing="0" w:afterAutospacing="0" w:line="600" w:lineRule="exact"/>
        <w:ind w:firstLine="608" w:firstLineChars="200"/>
        <w:jc w:val="both"/>
        <w:textAlignment w:val="auto"/>
        <w:rPr>
          <w:rFonts w:hint="eastAsia" w:ascii="Times New Roman" w:hAnsi="Times New Roman" w:eastAsia="黑体"/>
          <w:sz w:val="32"/>
          <w:szCs w:val="32"/>
          <w:lang w:eastAsia="zh-CN"/>
        </w:rPr>
      </w:pPr>
      <w:r>
        <w:rPr>
          <w:rFonts w:hint="eastAsia" w:ascii="仿宋_GB2312" w:hAnsi="仿宋_GB2312" w:eastAsia="仿宋_GB2312" w:cs="仿宋_GB2312"/>
          <w:w w:val="95"/>
          <w:kern w:val="0"/>
          <w:sz w:val="32"/>
          <w:szCs w:val="32"/>
          <w:lang w:val="en-US" w:eastAsia="zh-CN" w:bidi="ar-SA"/>
        </w:rPr>
        <w:t>津市市社会救助事务中心内设3个股室，分别是主任室、办公室、财务室，无二级机构。</w:t>
      </w:r>
    </w:p>
    <w:p>
      <w:pPr>
        <w:pStyle w:val="6"/>
        <w:widowControl/>
        <w:spacing w:line="600" w:lineRule="exact"/>
        <w:ind w:left="0" w:leftChars="0" w:firstLine="640" w:firstLineChars="200"/>
        <w:rPr>
          <w:rFonts w:ascii="Times New Roman" w:hAnsi="Times New Roman" w:eastAsia="黑体"/>
          <w:sz w:val="32"/>
          <w:szCs w:val="32"/>
        </w:rPr>
      </w:pPr>
      <w:bookmarkStart w:id="0" w:name="_GoBack"/>
      <w:bookmarkEnd w:id="0"/>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6"/>
        <w:widowControl/>
        <w:spacing w:line="600" w:lineRule="exact"/>
        <w:ind w:left="0" w:leftChars="0" w:firstLine="320" w:firstLineChars="10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spacing w:line="560" w:lineRule="exact"/>
        <w:ind w:firstLine="608" w:firstLineChars="200"/>
        <w:jc w:val="both"/>
        <w:rPr>
          <w:rFonts w:hint="eastAsia" w:ascii="仿宋_GB2312" w:hAnsi="仿宋_GB2312" w:eastAsia="仿宋_GB2312" w:cs="仿宋_GB2312"/>
          <w:w w:val="95"/>
          <w:kern w:val="0"/>
          <w:sz w:val="32"/>
          <w:szCs w:val="32"/>
          <w:lang w:val="en-US" w:eastAsia="zh-CN" w:bidi="ar-SA"/>
        </w:rPr>
      </w:pPr>
      <w:r>
        <w:rPr>
          <w:rFonts w:hint="eastAsia" w:ascii="仿宋_GB2312" w:hAnsi="仿宋_GB2312" w:eastAsia="仿宋_GB2312" w:cs="仿宋_GB2312"/>
          <w:w w:val="95"/>
          <w:kern w:val="0"/>
          <w:sz w:val="32"/>
          <w:szCs w:val="32"/>
          <w:lang w:val="en-US" w:eastAsia="zh-CN" w:bidi="ar-SA"/>
        </w:rPr>
        <w:t>津市市社会救助事务中心2021年一般公共预算基本支出72.87万元，其中：人员经费68.39万元，包括：基本工资、津贴补贴、奖金、其他社会保障缴费、绩效工资、其他工资福利支出、住房公积金等；公用经费4.48万元，包括：公务费、物业管理费、工会费、福利费、其他交通费、其他商品和服务支出等等。</w:t>
      </w:r>
    </w:p>
    <w:p>
      <w:pPr>
        <w:pStyle w:val="6"/>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lang w:eastAsia="zh-CN"/>
        </w:rPr>
        <w:t>　</w:t>
      </w: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08" w:firstLineChars="200"/>
        <w:jc w:val="left"/>
        <w:rPr>
          <w:rFonts w:hint="default" w:eastAsia="仿宋_GB2312"/>
          <w:sz w:val="32"/>
          <w:szCs w:val="32"/>
          <w:lang w:val="en-US" w:eastAsia="zh-CN"/>
        </w:rPr>
      </w:pPr>
      <w:r>
        <w:rPr>
          <w:rFonts w:hint="eastAsia" w:ascii="仿宋_GB2312" w:hAnsi="仿宋_GB2312" w:eastAsia="仿宋_GB2312" w:cs="仿宋_GB2312"/>
          <w:w w:val="95"/>
          <w:kern w:val="0"/>
          <w:sz w:val="32"/>
          <w:szCs w:val="32"/>
          <w:lang w:val="en-US" w:eastAsia="zh-CN" w:bidi="ar-SA"/>
        </w:rPr>
        <w:t>2021</w:t>
      </w:r>
      <w:r>
        <w:rPr>
          <w:rFonts w:eastAsia="仿宋_GB2312"/>
          <w:sz w:val="32"/>
          <w:szCs w:val="32"/>
        </w:rPr>
        <w:t>年度</w:t>
      </w:r>
      <w:r>
        <w:rPr>
          <w:rFonts w:hint="eastAsia" w:eastAsia="仿宋_GB2312"/>
          <w:sz w:val="32"/>
          <w:szCs w:val="32"/>
          <w:lang w:eastAsia="zh-CN"/>
        </w:rPr>
        <w:t>项目支出</w:t>
      </w:r>
      <w:r>
        <w:rPr>
          <w:rFonts w:hint="eastAsia" w:eastAsia="仿宋_GB2312"/>
          <w:sz w:val="32"/>
          <w:szCs w:val="32"/>
          <w:lang w:val="en-US" w:eastAsia="zh-CN"/>
        </w:rPr>
        <w:t>43.6万元，其中困难群众救助43.6万元，主要用流浪乞讨人员救助支出。</w:t>
      </w:r>
    </w:p>
    <w:p>
      <w:pPr>
        <w:pStyle w:val="6"/>
        <w:widowControl/>
        <w:numPr>
          <w:ilvl w:val="0"/>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widowControl/>
        <w:spacing w:line="600" w:lineRule="exact"/>
        <w:ind w:firstLine="608" w:firstLineChars="200"/>
        <w:jc w:val="left"/>
        <w:rPr>
          <w:rFonts w:hint="default" w:eastAsia="仿宋_GB2312"/>
          <w:sz w:val="32"/>
          <w:szCs w:val="32"/>
          <w:lang w:val="en-US" w:eastAsia="zh-CN"/>
        </w:rPr>
      </w:pPr>
      <w:r>
        <w:rPr>
          <w:rFonts w:hint="eastAsia" w:ascii="仿宋_GB2312" w:hAnsi="仿宋_GB2312" w:eastAsia="仿宋_GB2312" w:cs="仿宋_GB2312"/>
          <w:w w:val="95"/>
          <w:kern w:val="0"/>
          <w:sz w:val="32"/>
          <w:szCs w:val="32"/>
          <w:lang w:val="en-US" w:eastAsia="zh-CN" w:bidi="ar-SA"/>
        </w:rPr>
        <w:t>2021</w:t>
      </w:r>
      <w:r>
        <w:rPr>
          <w:rFonts w:hint="eastAsia" w:eastAsia="仿宋_GB2312"/>
          <w:sz w:val="32"/>
          <w:szCs w:val="32"/>
          <w:lang w:val="en-US" w:eastAsia="zh-CN"/>
        </w:rPr>
        <w:t>年无政府性基金预算支出。</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shd w:val="clear" w:color="auto" w:fill="FFFFFF"/>
        <w:kinsoku/>
        <w:wordWrap/>
        <w:overflowPunct/>
        <w:topLinePunct w:val="0"/>
        <w:autoSpaceDE/>
        <w:autoSpaceDN/>
        <w:bidi w:val="0"/>
        <w:adjustRightInd/>
        <w:snapToGrid/>
        <w:spacing w:line="580" w:lineRule="atLeast"/>
        <w:ind w:firstLine="640" w:firstLineChars="200"/>
        <w:jc w:val="left"/>
        <w:textAlignment w:val="auto"/>
        <w:rPr>
          <w:rFonts w:hint="eastAsia" w:ascii="仿宋_GB2312" w:hAnsi="微软雅黑" w:eastAsia="仿宋_GB2312" w:cs="宋体"/>
          <w:color w:val="3D3D3D"/>
          <w:kern w:val="0"/>
          <w:sz w:val="32"/>
          <w:szCs w:val="32"/>
          <w:lang w:eastAsia="zh-CN"/>
        </w:rPr>
      </w:pPr>
      <w:r>
        <w:rPr>
          <w:rFonts w:hint="eastAsia" w:ascii="仿宋_GB2312" w:hAnsi="微软雅黑" w:eastAsia="仿宋_GB2312" w:cs="宋体"/>
          <w:color w:val="3D3D3D"/>
          <w:kern w:val="0"/>
          <w:sz w:val="32"/>
          <w:szCs w:val="32"/>
          <w:lang w:val="en-US" w:eastAsia="zh-CN"/>
        </w:rPr>
        <w:t>2021年</w:t>
      </w:r>
      <w:r>
        <w:rPr>
          <w:rFonts w:hint="eastAsia" w:ascii="仿宋_GB2312" w:hAnsi="微软雅黑" w:eastAsia="仿宋_GB2312" w:cs="宋体"/>
          <w:color w:val="3D3D3D"/>
          <w:kern w:val="0"/>
          <w:sz w:val="32"/>
          <w:szCs w:val="32"/>
        </w:rPr>
        <w:t>多部门联动开展隐患排查。公安、城管、民政联合开展街面巡查，加大了对流浪乞讨人员身份查询力度，严厉打击了操纵未成年人、残疾人乞讨和拐卖拐骗未成年人等犯罪行为，有效减少了“强行讨要”、“职业乞讨”等不文明现象，依法处置了街头流浪乞讨人员占据、损毁公共设施妨碍他人正常使用的行为和随处涂画、制造噪音等破坏环境卫生、违反城市管理规定的行为</w:t>
      </w:r>
      <w:r>
        <w:rPr>
          <w:rFonts w:hint="eastAsia" w:ascii="仿宋_GB2312" w:hAnsi="微软雅黑" w:eastAsia="仿宋_GB2312" w:cs="宋体"/>
          <w:color w:val="3D3D3D"/>
          <w:kern w:val="0"/>
          <w:sz w:val="32"/>
          <w:szCs w:val="32"/>
          <w:lang w:eastAsia="zh-CN"/>
        </w:rPr>
        <w:t>等。</w:t>
      </w:r>
    </w:p>
    <w:p>
      <w:pPr>
        <w:keepNext w:val="0"/>
        <w:keepLines w:val="0"/>
        <w:pageBreakBefore w:val="0"/>
        <w:widowControl/>
        <w:shd w:val="clear" w:color="auto" w:fill="FFFFFF"/>
        <w:kinsoku/>
        <w:wordWrap/>
        <w:overflowPunct/>
        <w:topLinePunct w:val="0"/>
        <w:autoSpaceDE/>
        <w:autoSpaceDN/>
        <w:bidi w:val="0"/>
        <w:adjustRightInd/>
        <w:snapToGrid/>
        <w:spacing w:line="580" w:lineRule="atLeast"/>
        <w:ind w:firstLine="640" w:firstLineChars="200"/>
        <w:jc w:val="left"/>
        <w:textAlignment w:val="auto"/>
        <w:rPr>
          <w:rFonts w:hint="eastAsia" w:ascii="仿宋_GB2312" w:hAnsi="微软雅黑" w:eastAsia="仿宋_GB2312" w:cs="宋体"/>
          <w:color w:val="3D3D3D"/>
          <w:kern w:val="0"/>
          <w:sz w:val="32"/>
          <w:szCs w:val="32"/>
          <w:lang w:eastAsia="zh-CN"/>
        </w:rPr>
      </w:pPr>
      <w:r>
        <w:rPr>
          <w:rFonts w:hint="eastAsia" w:ascii="仿宋_GB2312" w:hAnsi="微软雅黑" w:eastAsia="仿宋_GB2312" w:cs="宋体"/>
          <w:color w:val="3D3D3D"/>
          <w:kern w:val="0"/>
          <w:sz w:val="32"/>
          <w:szCs w:val="32"/>
        </w:rPr>
        <w:t>全方位开展救助专项行动。向公众宣传救助成效、展示照料服务、介绍寻亲工作。积极开展寒冬送温暖、夏季送清凉、等专项活动，为流浪乞讨人员和部分遇困人员送上了御寒物资和消暑用</w:t>
      </w:r>
      <w:r>
        <w:rPr>
          <w:rFonts w:hint="eastAsia" w:ascii="仿宋_GB2312" w:hAnsi="微软雅黑" w:eastAsia="仿宋_GB2312" w:cs="宋体"/>
          <w:color w:val="3D3D3D"/>
          <w:kern w:val="0"/>
          <w:sz w:val="32"/>
          <w:szCs w:val="32"/>
          <w:lang w:eastAsia="zh-CN"/>
        </w:rPr>
        <w:t>品。</w:t>
      </w:r>
    </w:p>
    <w:p>
      <w:pPr>
        <w:keepNext w:val="0"/>
        <w:keepLines w:val="0"/>
        <w:pageBreakBefore w:val="0"/>
        <w:widowControl/>
        <w:shd w:val="clear" w:color="auto" w:fill="FFFFFF"/>
        <w:kinsoku/>
        <w:wordWrap/>
        <w:overflowPunct/>
        <w:topLinePunct w:val="0"/>
        <w:autoSpaceDE/>
        <w:autoSpaceDN/>
        <w:bidi w:val="0"/>
        <w:adjustRightInd/>
        <w:snapToGrid/>
        <w:spacing w:line="580" w:lineRule="atLeast"/>
        <w:ind w:firstLine="640" w:firstLineChars="200"/>
        <w:jc w:val="left"/>
        <w:textAlignment w:val="auto"/>
        <w:rPr>
          <w:rFonts w:hint="eastAsia" w:ascii="仿宋_GB2312" w:hAnsi="微软雅黑" w:eastAsia="仿宋_GB2312" w:cs="宋体"/>
          <w:color w:val="3D3D3D"/>
          <w:kern w:val="0"/>
          <w:sz w:val="32"/>
          <w:szCs w:val="32"/>
          <w:lang w:eastAsia="zh-CN"/>
        </w:rPr>
      </w:pPr>
      <w:r>
        <w:rPr>
          <w:rFonts w:hint="eastAsia" w:ascii="仿宋_GB2312" w:hAnsi="微软雅黑" w:eastAsia="仿宋_GB2312" w:cs="宋体"/>
          <w:color w:val="3D3D3D"/>
          <w:kern w:val="0"/>
          <w:sz w:val="32"/>
          <w:szCs w:val="32"/>
        </w:rPr>
        <w:t>坚持以“以人为本、为民解困”为服务宗旨，维护社会安定，让救助服务对象感受到党和国家的关爱，让他们回归社会、回归家庭。</w:t>
      </w:r>
    </w:p>
    <w:p>
      <w:pPr>
        <w:keepNext w:val="0"/>
        <w:keepLines w:val="0"/>
        <w:pageBreakBefore w:val="0"/>
        <w:widowControl/>
        <w:shd w:val="clear" w:color="auto" w:fill="FFFFFF"/>
        <w:kinsoku/>
        <w:wordWrap/>
        <w:overflowPunct/>
        <w:topLinePunct w:val="0"/>
        <w:autoSpaceDE/>
        <w:autoSpaceDN/>
        <w:bidi w:val="0"/>
        <w:adjustRightInd/>
        <w:snapToGrid/>
        <w:spacing w:line="580" w:lineRule="atLeast"/>
        <w:ind w:firstLine="640" w:firstLineChars="200"/>
        <w:jc w:val="left"/>
        <w:textAlignment w:val="auto"/>
        <w:rPr>
          <w:rFonts w:hint="eastAsia" w:ascii="仿宋_GB2312" w:hAnsi="微软雅黑" w:eastAsia="仿宋_GB2312" w:cs="宋体"/>
          <w:color w:val="3D3D3D"/>
          <w:kern w:val="0"/>
          <w:sz w:val="32"/>
          <w:szCs w:val="32"/>
          <w:lang w:eastAsia="zh-CN"/>
        </w:rPr>
      </w:pPr>
      <w:r>
        <w:rPr>
          <w:rFonts w:hint="eastAsia" w:ascii="仿宋_GB2312" w:hAnsi="微软雅黑" w:eastAsia="仿宋_GB2312" w:cs="宋体"/>
          <w:color w:val="3D3D3D"/>
          <w:kern w:val="0"/>
          <w:sz w:val="32"/>
          <w:szCs w:val="32"/>
        </w:rPr>
        <w:t>20</w:t>
      </w:r>
      <w:r>
        <w:rPr>
          <w:rFonts w:hint="eastAsia" w:ascii="仿宋_GB2312" w:hAnsi="微软雅黑" w:eastAsia="仿宋_GB2312" w:cs="宋体"/>
          <w:color w:val="3D3D3D"/>
          <w:kern w:val="0"/>
          <w:sz w:val="32"/>
          <w:szCs w:val="32"/>
          <w:lang w:val="en-US" w:eastAsia="zh-CN"/>
        </w:rPr>
        <w:t>21</w:t>
      </w:r>
      <w:r>
        <w:rPr>
          <w:rFonts w:hint="eastAsia" w:ascii="仿宋_GB2312" w:hAnsi="微软雅黑" w:eastAsia="仿宋_GB2312" w:cs="宋体"/>
          <w:color w:val="3D3D3D"/>
          <w:kern w:val="0"/>
          <w:sz w:val="32"/>
          <w:szCs w:val="32"/>
        </w:rPr>
        <w:t>年，我</w:t>
      </w:r>
      <w:r>
        <w:rPr>
          <w:rFonts w:hint="eastAsia" w:ascii="仿宋_GB2312" w:hAnsi="微软雅黑" w:eastAsia="仿宋_GB2312" w:cs="宋体"/>
          <w:color w:val="3D3D3D"/>
          <w:kern w:val="0"/>
          <w:sz w:val="32"/>
          <w:szCs w:val="32"/>
          <w:lang w:eastAsia="zh-CN"/>
        </w:rPr>
        <w:t>单位</w:t>
      </w:r>
      <w:r>
        <w:rPr>
          <w:rFonts w:hint="eastAsia" w:ascii="仿宋_GB2312" w:hAnsi="微软雅黑" w:eastAsia="仿宋_GB2312" w:cs="宋体"/>
          <w:color w:val="3D3D3D"/>
          <w:kern w:val="0"/>
          <w:sz w:val="32"/>
          <w:szCs w:val="32"/>
        </w:rPr>
        <w:t>按财政统一部署，认真开展了整体绩效评价自评工作。成立了专门的绩效评价工作组，工作组结合单位的实际情况，对照《部门整体支出绩效目标申报表》，从年度预算申请、绩效目标完成情况、资金管理、财务信息质量以及经济社会效益等方面进行绩效评价。按照工作内容、工作措施、工作时限和达到的预期效果，进一步分解细化，将责任落实到相关科室，使绩效评价指标与相关部门工作任务紧密联系起来，推动了各项工作落实，圆满地完成了本单位发展规划。</w:t>
      </w:r>
    </w:p>
    <w:p>
      <w:pPr>
        <w:pStyle w:val="6"/>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keepNext w:val="0"/>
        <w:keepLines w:val="0"/>
        <w:pageBreakBefore w:val="0"/>
        <w:widowControl/>
        <w:shd w:val="clear" w:color="auto" w:fill="FFFFFF"/>
        <w:kinsoku/>
        <w:wordWrap/>
        <w:overflowPunct/>
        <w:topLinePunct w:val="0"/>
        <w:autoSpaceDE/>
        <w:autoSpaceDN/>
        <w:bidi w:val="0"/>
        <w:adjustRightInd/>
        <w:snapToGrid/>
        <w:spacing w:line="580" w:lineRule="atLeast"/>
        <w:ind w:firstLine="640" w:firstLineChars="200"/>
        <w:jc w:val="left"/>
        <w:textAlignment w:val="auto"/>
        <w:rPr>
          <w:rFonts w:hint="default" w:ascii="Times New Roman" w:hAnsi="Times New Roman" w:eastAsia="仿宋_GB2312" w:cs="Times New Roman"/>
          <w:sz w:val="32"/>
          <w:szCs w:val="32"/>
          <w:lang w:val="en-US"/>
        </w:rPr>
      </w:pPr>
      <w:r>
        <w:rPr>
          <w:rFonts w:hint="eastAsia" w:ascii="仿宋_GB2312" w:hAnsi="微软雅黑" w:eastAsia="仿宋_GB2312" w:cs="宋体"/>
          <w:color w:val="3D3D3D"/>
          <w:kern w:val="0"/>
          <w:sz w:val="32"/>
          <w:szCs w:val="32"/>
          <w:lang w:val="en-US" w:eastAsia="zh-CN" w:bidi="ar-SA"/>
        </w:rPr>
        <w:t>预算编制欠严谨，2021年度决算总收入116.47万元，与年初预算相比，增加24.29万元，增加26.35%，预算编制的精准性比上年有点提高，但还需要继续提高预算编制精准性。</w:t>
      </w:r>
    </w:p>
    <w:p>
      <w:pPr>
        <w:widowControl/>
        <w:numPr>
          <w:ilvl w:val="0"/>
          <w:numId w:val="1"/>
        </w:numPr>
        <w:spacing w:line="600" w:lineRule="exact"/>
        <w:ind w:firstLine="640" w:firstLineChars="200"/>
        <w:jc w:val="left"/>
        <w:rPr>
          <w:rFonts w:eastAsia="黑体"/>
          <w:sz w:val="32"/>
          <w:szCs w:val="32"/>
        </w:rPr>
      </w:pPr>
      <w:r>
        <w:rPr>
          <w:rFonts w:eastAsia="黑体"/>
          <w:sz w:val="32"/>
          <w:szCs w:val="32"/>
        </w:rPr>
        <w:t>下一步改进措施</w:t>
      </w:r>
    </w:p>
    <w:p>
      <w:pPr>
        <w:widowControl/>
        <w:numPr>
          <w:ilvl w:val="0"/>
          <w:numId w:val="0"/>
        </w:numPr>
        <w:spacing w:line="600" w:lineRule="exact"/>
        <w:ind w:firstLine="640" w:firstLineChars="200"/>
        <w:jc w:val="left"/>
        <w:rPr>
          <w:rFonts w:hint="eastAsia" w:eastAsia="仿宋_GB2312"/>
          <w:sz w:val="32"/>
          <w:szCs w:val="32"/>
          <w:lang w:eastAsia="zh-CN"/>
        </w:rPr>
      </w:pPr>
      <w:r>
        <w:rPr>
          <w:rFonts w:eastAsia="仿宋_GB2312"/>
          <w:sz w:val="32"/>
          <w:szCs w:val="32"/>
        </w:rPr>
        <w:t>今后我单位将积极加强与财政及上级部门的沟通与联系，提高预算的科学性，并且严格执行预算</w:t>
      </w:r>
      <w:r>
        <w:rPr>
          <w:rFonts w:hint="eastAsia" w:eastAsia="仿宋_GB2312"/>
          <w:sz w:val="32"/>
          <w:szCs w:val="32"/>
          <w:lang w:eastAsia="zh-CN"/>
        </w:rPr>
        <w:t>。</w:t>
      </w:r>
    </w:p>
    <w:p>
      <w:pPr>
        <w:widowControl/>
        <w:numPr>
          <w:ilvl w:val="0"/>
          <w:numId w:val="0"/>
        </w:numPr>
        <w:spacing w:line="600" w:lineRule="exact"/>
        <w:ind w:firstLine="640" w:firstLineChars="200"/>
        <w:jc w:val="left"/>
        <w:rPr>
          <w:rFonts w:hint="eastAsia" w:eastAsia="仿宋_GB2312"/>
          <w:sz w:val="32"/>
          <w:szCs w:val="32"/>
          <w:lang w:eastAsia="zh-CN"/>
        </w:rPr>
      </w:pPr>
      <w:r>
        <w:rPr>
          <w:rFonts w:hint="eastAsia" w:ascii="仿宋_GB2312" w:hAnsi="微软雅黑" w:eastAsia="仿宋_GB2312" w:cs="宋体"/>
          <w:color w:val="3D3D3D"/>
          <w:kern w:val="0"/>
          <w:sz w:val="32"/>
          <w:szCs w:val="32"/>
          <w:lang w:val="en-US" w:eastAsia="zh-CN" w:bidi="ar-SA"/>
        </w:rPr>
        <w:t>加强对部门整体支出的绩效监管，形成绩效考核机制。</w:t>
      </w:r>
      <w:r>
        <w:rPr>
          <w:rFonts w:ascii="Times New Roman" w:hAnsi="Times New Roman" w:eastAsia="仿宋_GB2312" w:cs="Times New Roman"/>
          <w:sz w:val="32"/>
          <w:szCs w:val="32"/>
        </w:rPr>
        <w:t>提高对预算资金使用效益的认识，把预算资金是否发挥使用效益与各岗位履职尽职相结合，将预算资金使用效率和效益作为对各岗位人员考核评价的重要依据之一。</w:t>
      </w:r>
    </w:p>
    <w:p>
      <w:pPr>
        <w:widowControl/>
        <w:numPr>
          <w:ilvl w:val="0"/>
          <w:numId w:val="1"/>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ilvl w:val="0"/>
          <w:numId w:val="0"/>
        </w:numPr>
        <w:spacing w:line="600" w:lineRule="exact"/>
        <w:ind w:firstLine="640" w:firstLineChars="200"/>
        <w:jc w:val="left"/>
        <w:rPr>
          <w:rFonts w:hint="eastAsia" w:ascii="Times New Roman" w:hAnsi="Times New Roman" w:eastAsia="仿宋_GB2312" w:cs="Times New Roman"/>
          <w:sz w:val="32"/>
          <w:szCs w:val="32"/>
          <w:lang w:eastAsia="zh-CN"/>
        </w:rPr>
      </w:pPr>
      <w:r>
        <w:rPr>
          <w:rFonts w:hint="eastAsia" w:eastAsia="仿宋_GB2312" w:cs="Times New Roman"/>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8D757"/>
    <w:multiLevelType w:val="singleLevel"/>
    <w:tmpl w:val="0418D757"/>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0330DAA"/>
    <w:rsid w:val="01301E99"/>
    <w:rsid w:val="015C2B0C"/>
    <w:rsid w:val="04E377CC"/>
    <w:rsid w:val="0C5257B6"/>
    <w:rsid w:val="14877500"/>
    <w:rsid w:val="14CA0061"/>
    <w:rsid w:val="1AC94917"/>
    <w:rsid w:val="22CC7F71"/>
    <w:rsid w:val="23BB5122"/>
    <w:rsid w:val="29144453"/>
    <w:rsid w:val="29427E57"/>
    <w:rsid w:val="2AD153B3"/>
    <w:rsid w:val="2B2408AD"/>
    <w:rsid w:val="32F422AD"/>
    <w:rsid w:val="33EB149C"/>
    <w:rsid w:val="37720360"/>
    <w:rsid w:val="3A076E09"/>
    <w:rsid w:val="3B8F3226"/>
    <w:rsid w:val="3E012496"/>
    <w:rsid w:val="40BE641C"/>
    <w:rsid w:val="41CA0DF1"/>
    <w:rsid w:val="42EA174A"/>
    <w:rsid w:val="45835E86"/>
    <w:rsid w:val="49D76589"/>
    <w:rsid w:val="4C4C6FD2"/>
    <w:rsid w:val="4D2F5A1E"/>
    <w:rsid w:val="503B294F"/>
    <w:rsid w:val="5A2C7061"/>
    <w:rsid w:val="5A4D3C18"/>
    <w:rsid w:val="5A9D5D9B"/>
    <w:rsid w:val="5DD155AC"/>
    <w:rsid w:val="60A24FBB"/>
    <w:rsid w:val="60C77ED1"/>
    <w:rsid w:val="61F21F72"/>
    <w:rsid w:val="64044DC4"/>
    <w:rsid w:val="650C50F9"/>
    <w:rsid w:val="6C281BF9"/>
    <w:rsid w:val="6E3F0D5A"/>
    <w:rsid w:val="71F666E6"/>
    <w:rsid w:val="73D34024"/>
    <w:rsid w:val="758D7ACA"/>
    <w:rsid w:val="78AB7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85"/>
      <w:ind w:left="751"/>
      <w:outlineLvl w:val="1"/>
    </w:pPr>
    <w:rPr>
      <w:rFonts w:ascii="Microsoft JhengHei" w:hAnsi="Microsoft JhengHei" w:eastAsia="Microsoft JhengHei" w:cs="Microsoft JhengHei"/>
      <w:b/>
      <w:bCs/>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0"/>
    <w:pPr>
      <w:widowControl/>
      <w:spacing w:before="100" w:beforeAutospacing="1" w:after="100" w:afterAutospacing="1" w:line="240" w:lineRule="auto"/>
    </w:pPr>
    <w:rPr>
      <w:rFonts w:ascii="宋体" w:hAnsi="宋体" w:eastAsia="宋体" w:cs="宋体"/>
      <w:kern w:val="0"/>
      <w:sz w:val="24"/>
      <w:szCs w:val="24"/>
    </w:rPr>
  </w:style>
  <w:style w:type="paragraph"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1255</Words>
  <Characters>1307</Characters>
  <Lines>0</Lines>
  <Paragraphs>0</Paragraphs>
  <TotalTime>2</TotalTime>
  <ScaleCrop>false</ScaleCrop>
  <LinksUpToDate>false</LinksUpToDate>
  <CharactersWithSpaces>1309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2022-03-28T08:57:46Z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