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eastAsia="方正小标宋_GBK"/>
          <w:sz w:val="36"/>
          <w:szCs w:val="36"/>
          <w:lang w:val="en-US" w:eastAsia="zh-CN"/>
        </w:rPr>
      </w:pPr>
      <w:r>
        <w:rPr>
          <w:rFonts w:hint="eastAsia" w:eastAsia="方正小标宋_GBK"/>
          <w:sz w:val="36"/>
          <w:szCs w:val="36"/>
          <w:lang w:val="en-US" w:eastAsia="zh-CN"/>
        </w:rPr>
        <w:t>津市市殡葬事务中心单位2021年度</w:t>
      </w:r>
    </w:p>
    <w:p>
      <w:pPr>
        <w:spacing w:line="600" w:lineRule="exact"/>
        <w:jc w:val="center"/>
        <w:rPr>
          <w:rFonts w:eastAsia="方正小标宋_GBK"/>
          <w:sz w:val="32"/>
          <w:szCs w:val="32"/>
        </w:rPr>
      </w:pPr>
      <w:r>
        <w:rPr>
          <w:rFonts w:eastAsia="方正小标宋_GBK"/>
          <w:sz w:val="36"/>
          <w:szCs w:val="36"/>
        </w:rPr>
        <w:t>部门整体支出绩效报告</w:t>
      </w:r>
    </w:p>
    <w:p>
      <w:pPr>
        <w:spacing w:line="600" w:lineRule="exact"/>
        <w:jc w:val="center"/>
        <w:rPr>
          <w:rFonts w:eastAsia="方正小标宋_GBK"/>
          <w:sz w:val="32"/>
          <w:szCs w:val="32"/>
        </w:rPr>
      </w:pPr>
    </w:p>
    <w:p>
      <w:pPr>
        <w:pStyle w:val="5"/>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pStyle w:val="5"/>
        <w:widowControl/>
        <w:spacing w:line="600" w:lineRule="exact"/>
        <w:ind w:left="640" w:firstLine="0" w:firstLineChars="0"/>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(一)职能职责</w:t>
      </w:r>
    </w:p>
    <w:p>
      <w:pPr>
        <w:pStyle w:val="2"/>
        <w:keepNext w:val="0"/>
        <w:keepLines w:val="0"/>
        <w:pageBreakBefore w:val="0"/>
        <w:kinsoku/>
        <w:wordWrap/>
        <w:overflowPunct/>
        <w:topLinePunct w:val="0"/>
        <w:autoSpaceDE w:val="0"/>
        <w:autoSpaceDN w:val="0"/>
        <w:bidi w:val="0"/>
        <w:spacing w:beforeAutospacing="0" w:afterAutospacing="0" w:line="600" w:lineRule="exact"/>
        <w:ind w:firstLine="608" w:firstLineChars="200"/>
        <w:jc w:val="both"/>
        <w:textAlignment w:val="auto"/>
        <w:rPr>
          <w:rFonts w:hint="eastAsia" w:ascii="仿宋_GB2312" w:hAnsi="仿宋_GB2312" w:eastAsia="仿宋_GB2312" w:cs="仿宋_GB2312"/>
          <w:w w:val="95"/>
          <w:kern w:val="0"/>
          <w:sz w:val="32"/>
          <w:szCs w:val="32"/>
          <w:lang w:val="en-US" w:eastAsia="zh-CN" w:bidi="ar-SA"/>
        </w:rPr>
      </w:pPr>
      <w:r>
        <w:rPr>
          <w:rFonts w:hint="eastAsia" w:ascii="仿宋_GB2312" w:hAnsi="仿宋_GB2312" w:eastAsia="仿宋_GB2312" w:cs="仿宋_GB2312"/>
          <w:w w:val="95"/>
          <w:kern w:val="0"/>
          <w:sz w:val="32"/>
          <w:szCs w:val="32"/>
          <w:lang w:val="en-US" w:eastAsia="zh-CN" w:bidi="ar-SA"/>
        </w:rPr>
        <w:t>津市市殡葬事务中心是全额拨款事业单位，贯彻执行国家、省、市殡葬管理的政策法规；掌握全市殡葬改革情况，提出建议，制订规律，拟定殡葬改革规划；协调有关部门齐抓共管，确保火化区火化率100%；检查全市殡葬改革和殡葬法规的执行情况，对违反殡葬法规的行为作为行政处罚；做好火化管理、公墓管理、丧事管理和丧葬用品市场管理等日常工作；做好殡葬改革的宣传工作，协助街道、镇（乡）制止和处理丧事中的封建迷信活动。</w:t>
      </w:r>
    </w:p>
    <w:p>
      <w:pPr>
        <w:pStyle w:val="5"/>
        <w:widowControl/>
        <w:spacing w:line="600" w:lineRule="exact"/>
        <w:ind w:left="0" w:leftChars="0" w:firstLine="320" w:firstLineChars="100"/>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（二）机构设置</w:t>
      </w:r>
    </w:p>
    <w:p>
      <w:pPr>
        <w:pStyle w:val="2"/>
        <w:keepNext w:val="0"/>
        <w:keepLines w:val="0"/>
        <w:pageBreakBefore w:val="0"/>
        <w:kinsoku/>
        <w:wordWrap/>
        <w:overflowPunct/>
        <w:topLinePunct w:val="0"/>
        <w:autoSpaceDE w:val="0"/>
        <w:autoSpaceDN w:val="0"/>
        <w:bidi w:val="0"/>
        <w:spacing w:beforeAutospacing="0" w:afterAutospacing="0" w:line="600" w:lineRule="exact"/>
        <w:ind w:firstLine="608" w:firstLineChars="200"/>
        <w:jc w:val="both"/>
        <w:textAlignment w:val="auto"/>
        <w:rPr>
          <w:rFonts w:hint="eastAsia" w:ascii="Times New Roman" w:hAnsi="Times New Roman" w:eastAsia="黑体"/>
          <w:sz w:val="32"/>
          <w:szCs w:val="32"/>
          <w:lang w:eastAsia="zh-CN"/>
        </w:rPr>
      </w:pPr>
      <w:r>
        <w:rPr>
          <w:rFonts w:hint="eastAsia" w:ascii="仿宋_GB2312" w:hAnsi="仿宋_GB2312" w:eastAsia="仿宋_GB2312" w:cs="仿宋_GB2312"/>
          <w:w w:val="95"/>
          <w:kern w:val="0"/>
          <w:sz w:val="32"/>
          <w:szCs w:val="32"/>
          <w:lang w:val="en-US" w:eastAsia="zh-CN" w:bidi="ar-SA"/>
        </w:rPr>
        <w:t>津市市殡葬事务中心内设2个股室，分别是主任室、办公室，无二级机构。</w:t>
      </w:r>
    </w:p>
    <w:p>
      <w:pPr>
        <w:pStyle w:val="5"/>
        <w:widowControl/>
        <w:spacing w:line="600" w:lineRule="exact"/>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5"/>
        <w:widowControl/>
        <w:spacing w:line="600" w:lineRule="exact"/>
        <w:ind w:left="0" w:leftChars="0" w:firstLine="320" w:firstLineChars="10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widowControl/>
        <w:spacing w:line="560" w:lineRule="exact"/>
        <w:ind w:firstLine="608" w:firstLineChars="200"/>
        <w:jc w:val="both"/>
        <w:rPr>
          <w:rFonts w:hint="eastAsia" w:ascii="仿宋_GB2312" w:hAnsi="仿宋_GB2312" w:eastAsia="仿宋_GB2312" w:cs="仿宋_GB2312"/>
          <w:w w:val="95"/>
          <w:kern w:val="0"/>
          <w:sz w:val="32"/>
          <w:szCs w:val="32"/>
          <w:lang w:val="en-US" w:eastAsia="zh-CN" w:bidi="ar-SA"/>
        </w:rPr>
      </w:pPr>
      <w:r>
        <w:rPr>
          <w:rFonts w:hint="eastAsia" w:ascii="仿宋_GB2312" w:hAnsi="仿宋_GB2312" w:eastAsia="仿宋_GB2312" w:cs="仿宋_GB2312"/>
          <w:w w:val="95"/>
          <w:kern w:val="0"/>
          <w:sz w:val="32"/>
          <w:szCs w:val="32"/>
          <w:lang w:val="en-US" w:eastAsia="zh-CN" w:bidi="ar-SA"/>
        </w:rPr>
        <w:t>津市市殡葬事务中心2021年一般公共预算基本支出32.75万元，其中：人员经费30.83万元，包括：基本工资、津贴补贴、奖金、其他社会保障缴费、绩效工资、其他工资福利支出、住房公积金、退休费、生活补贴；公用经费1.92万元，包括：公务费、物业管理费、工会费、福利费、其他交通费、其他商品和服务支出、专项业务支出等等。</w:t>
      </w:r>
    </w:p>
    <w:p>
      <w:pPr>
        <w:pStyle w:val="5"/>
        <w:widowControl/>
        <w:spacing w:line="600" w:lineRule="exact"/>
        <w:ind w:left="0" w:leftChars="0" w:firstLine="320" w:firstLineChars="10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08" w:firstLineChars="200"/>
        <w:jc w:val="left"/>
        <w:rPr>
          <w:rFonts w:hint="eastAsia" w:eastAsia="仿宋_GB2312"/>
          <w:sz w:val="32"/>
          <w:szCs w:val="32"/>
          <w:lang w:eastAsia="zh-CN"/>
        </w:rPr>
      </w:pPr>
      <w:r>
        <w:rPr>
          <w:rFonts w:hint="eastAsia" w:ascii="仿宋_GB2312" w:hAnsi="仿宋_GB2312" w:eastAsia="仿宋_GB2312" w:cs="仿宋_GB2312"/>
          <w:w w:val="95"/>
          <w:kern w:val="0"/>
          <w:sz w:val="32"/>
          <w:szCs w:val="32"/>
          <w:lang w:val="en-US" w:eastAsia="zh-CN" w:bidi="ar-SA"/>
        </w:rPr>
        <w:t>2021</w:t>
      </w:r>
      <w:r>
        <w:rPr>
          <w:rFonts w:eastAsia="仿宋_GB2312"/>
          <w:sz w:val="32"/>
          <w:szCs w:val="32"/>
        </w:rPr>
        <w:t>年度</w:t>
      </w:r>
      <w:r>
        <w:rPr>
          <w:rFonts w:hint="eastAsia" w:eastAsia="仿宋_GB2312"/>
          <w:sz w:val="32"/>
          <w:szCs w:val="32"/>
          <w:lang w:eastAsia="zh-CN"/>
        </w:rPr>
        <w:t>无</w:t>
      </w:r>
      <w:r>
        <w:rPr>
          <w:rFonts w:eastAsia="仿宋_GB2312"/>
          <w:sz w:val="32"/>
          <w:szCs w:val="32"/>
        </w:rPr>
        <w:t>专项资金安排和使用管理情况</w:t>
      </w:r>
      <w:r>
        <w:rPr>
          <w:rFonts w:hint="eastAsia" w:eastAsia="仿宋_GB2312"/>
          <w:sz w:val="32"/>
          <w:szCs w:val="32"/>
          <w:lang w:eastAsia="zh-CN"/>
        </w:rPr>
        <w:t>。</w:t>
      </w:r>
    </w:p>
    <w:p>
      <w:pPr>
        <w:pStyle w:val="5"/>
        <w:widowControl/>
        <w:numPr>
          <w:ilvl w:val="0"/>
          <w:numId w:val="0"/>
        </w:numPr>
        <w:spacing w:line="600" w:lineRule="exact"/>
        <w:ind w:left="640" w:leftChars="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widowControl/>
        <w:spacing w:line="600" w:lineRule="exact"/>
        <w:ind w:firstLine="608" w:firstLineChars="200"/>
        <w:jc w:val="left"/>
        <w:rPr>
          <w:rFonts w:hint="default" w:eastAsia="仿宋_GB2312"/>
          <w:sz w:val="32"/>
          <w:szCs w:val="32"/>
          <w:lang w:val="en-US" w:eastAsia="zh-CN"/>
        </w:rPr>
      </w:pPr>
      <w:r>
        <w:rPr>
          <w:rFonts w:hint="eastAsia" w:ascii="仿宋_GB2312" w:hAnsi="仿宋_GB2312" w:eastAsia="仿宋_GB2312" w:cs="仿宋_GB2312"/>
          <w:w w:val="95"/>
          <w:kern w:val="0"/>
          <w:sz w:val="32"/>
          <w:szCs w:val="32"/>
          <w:lang w:val="en-US" w:eastAsia="zh-CN" w:bidi="ar-SA"/>
        </w:rPr>
        <w:t>2021</w:t>
      </w:r>
      <w:r>
        <w:rPr>
          <w:rFonts w:hint="eastAsia" w:eastAsia="仿宋_GB2312"/>
          <w:sz w:val="32"/>
          <w:szCs w:val="32"/>
          <w:lang w:val="en-US" w:eastAsia="zh-CN"/>
        </w:rPr>
        <w:t>年无政府性基金预算支出。</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widowControl/>
        <w:spacing w:line="600" w:lineRule="exact"/>
        <w:ind w:firstLine="608" w:firstLineChars="200"/>
        <w:jc w:val="left"/>
        <w:rPr>
          <w:rFonts w:hint="eastAsia" w:ascii="仿宋_GB2312" w:hAnsi="仿宋_GB2312" w:eastAsia="仿宋_GB2312" w:cs="仿宋_GB2312"/>
          <w:w w:val="95"/>
          <w:kern w:val="0"/>
          <w:sz w:val="32"/>
          <w:szCs w:val="32"/>
          <w:lang w:val="en-US" w:eastAsia="zh-CN" w:bidi="ar-SA"/>
        </w:rPr>
      </w:pPr>
      <w:r>
        <w:rPr>
          <w:rFonts w:hint="eastAsia" w:ascii="仿宋_GB2312" w:hAnsi="仿宋_GB2312" w:eastAsia="仿宋_GB2312" w:cs="仿宋_GB2312"/>
          <w:w w:val="95"/>
          <w:kern w:val="0"/>
          <w:sz w:val="32"/>
          <w:szCs w:val="32"/>
          <w:lang w:val="en-US" w:eastAsia="zh-CN" w:bidi="ar-SA"/>
        </w:rPr>
        <w:t>2021年，我单位按财政统一部署，认真开展了整体绩效评价自评工作。成立了专门的绩效评价工作组，工作组结合单位的实际情况，对照《部门整体支出绩效目标申报表》，从年度预算申请、绩效目标完成情况、资金管理、财务信息质量以及经济社会效益等方面进行绩效评价。按照工作内容、工作措施、工作时限和达到的预期效果，进一步分解细化，将责任落实到相关科室，使绩效评价指标与相关部门工作任务紧密联系起来，推动了各项工作落实，圆满地完成了本单位发展规划。</w:t>
      </w:r>
    </w:p>
    <w:p>
      <w:pPr>
        <w:pStyle w:val="5"/>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keepNext w:val="0"/>
        <w:keepLines w:val="0"/>
        <w:pageBreakBefore w:val="0"/>
        <w:widowControl/>
        <w:shd w:val="clear" w:color="auto" w:fill="FFFFFF"/>
        <w:kinsoku/>
        <w:wordWrap/>
        <w:overflowPunct/>
        <w:topLinePunct w:val="0"/>
        <w:autoSpaceDE/>
        <w:autoSpaceDN/>
        <w:bidi w:val="0"/>
        <w:adjustRightInd/>
        <w:snapToGrid/>
        <w:spacing w:line="580" w:lineRule="atLeast"/>
        <w:ind w:firstLine="608" w:firstLineChars="200"/>
        <w:jc w:val="left"/>
        <w:textAlignment w:val="auto"/>
        <w:rPr>
          <w:rFonts w:hint="default" w:ascii="Times New Roman" w:hAnsi="Times New Roman" w:eastAsia="仿宋_GB2312" w:cs="Times New Roman"/>
          <w:sz w:val="32"/>
          <w:szCs w:val="32"/>
          <w:lang w:val="en-US"/>
        </w:rPr>
      </w:pPr>
      <w:r>
        <w:rPr>
          <w:rFonts w:hint="eastAsia" w:ascii="仿宋_GB2312" w:hAnsi="仿宋_GB2312" w:eastAsia="仿宋_GB2312" w:cs="仿宋_GB2312"/>
          <w:w w:val="95"/>
          <w:kern w:val="0"/>
          <w:sz w:val="32"/>
          <w:szCs w:val="32"/>
          <w:lang w:val="en-US" w:eastAsia="zh-CN" w:bidi="ar-SA"/>
        </w:rPr>
        <w:t>预算编制欠严谨，2021年度决算总收入32.75万元，与年初预算相比，减少2.4万元，减少6.83%，预算编制的精准性比上年有点提高，但还需要继续提高预算编制精准性。</w:t>
      </w:r>
    </w:p>
    <w:p>
      <w:pPr>
        <w:widowControl/>
        <w:numPr>
          <w:ilvl w:val="0"/>
          <w:numId w:val="2"/>
        </w:numPr>
        <w:spacing w:line="600" w:lineRule="exact"/>
        <w:ind w:firstLine="640" w:firstLineChars="200"/>
        <w:jc w:val="left"/>
        <w:rPr>
          <w:rFonts w:eastAsia="黑体"/>
          <w:sz w:val="32"/>
          <w:szCs w:val="32"/>
        </w:rPr>
      </w:pPr>
      <w:r>
        <w:rPr>
          <w:rFonts w:eastAsia="黑体"/>
          <w:sz w:val="32"/>
          <w:szCs w:val="32"/>
        </w:rPr>
        <w:t>下一步改进措施</w:t>
      </w:r>
    </w:p>
    <w:p>
      <w:pPr>
        <w:keepNext w:val="0"/>
        <w:keepLines w:val="0"/>
        <w:pageBreakBefore w:val="0"/>
        <w:widowControl/>
        <w:shd w:val="clear" w:color="auto" w:fill="FFFFFF"/>
        <w:kinsoku/>
        <w:wordWrap/>
        <w:overflowPunct/>
        <w:topLinePunct w:val="0"/>
        <w:autoSpaceDE/>
        <w:autoSpaceDN/>
        <w:bidi w:val="0"/>
        <w:adjustRightInd/>
        <w:snapToGrid/>
        <w:spacing w:line="580" w:lineRule="atLeast"/>
        <w:ind w:firstLine="608" w:firstLineChars="200"/>
        <w:jc w:val="left"/>
        <w:textAlignment w:val="auto"/>
        <w:rPr>
          <w:rFonts w:hint="eastAsia" w:ascii="仿宋_GB2312" w:hAnsi="仿宋_GB2312" w:eastAsia="仿宋_GB2312" w:cs="仿宋_GB2312"/>
          <w:w w:val="95"/>
          <w:kern w:val="0"/>
          <w:sz w:val="32"/>
          <w:szCs w:val="32"/>
          <w:lang w:val="en-US" w:eastAsia="zh-CN" w:bidi="ar-SA"/>
        </w:rPr>
      </w:pPr>
      <w:r>
        <w:rPr>
          <w:rFonts w:hint="eastAsia" w:ascii="仿宋_GB2312" w:hAnsi="仿宋_GB2312" w:eastAsia="仿宋_GB2312" w:cs="仿宋_GB2312"/>
          <w:w w:val="95"/>
          <w:kern w:val="0"/>
          <w:sz w:val="32"/>
          <w:szCs w:val="32"/>
          <w:lang w:val="en-US" w:eastAsia="zh-CN" w:bidi="ar-SA"/>
        </w:rPr>
        <w:t>今后我单位将积极加强与财政及上级部门的沟通与联系，提高预算的科学性，并且严格执行预算。</w:t>
      </w:r>
    </w:p>
    <w:p>
      <w:pPr>
        <w:keepNext w:val="0"/>
        <w:keepLines w:val="0"/>
        <w:pageBreakBefore w:val="0"/>
        <w:widowControl/>
        <w:shd w:val="clear" w:color="auto" w:fill="FFFFFF"/>
        <w:kinsoku/>
        <w:wordWrap/>
        <w:overflowPunct/>
        <w:topLinePunct w:val="0"/>
        <w:autoSpaceDE/>
        <w:autoSpaceDN/>
        <w:bidi w:val="0"/>
        <w:adjustRightInd/>
        <w:snapToGrid/>
        <w:spacing w:line="580" w:lineRule="atLeast"/>
        <w:ind w:firstLine="608" w:firstLineChars="200"/>
        <w:jc w:val="left"/>
        <w:textAlignment w:val="auto"/>
        <w:rPr>
          <w:rFonts w:hint="eastAsia" w:ascii="仿宋_GB2312" w:hAnsi="仿宋_GB2312" w:eastAsia="仿宋_GB2312" w:cs="仿宋_GB2312"/>
          <w:w w:val="95"/>
          <w:kern w:val="0"/>
          <w:sz w:val="32"/>
          <w:szCs w:val="32"/>
          <w:lang w:val="en-US" w:eastAsia="zh-CN" w:bidi="ar-SA"/>
        </w:rPr>
      </w:pPr>
      <w:r>
        <w:rPr>
          <w:rFonts w:hint="eastAsia" w:ascii="仿宋_GB2312" w:hAnsi="仿宋_GB2312" w:eastAsia="仿宋_GB2312" w:cs="仿宋_GB2312"/>
          <w:w w:val="95"/>
          <w:kern w:val="0"/>
          <w:sz w:val="32"/>
          <w:szCs w:val="32"/>
          <w:lang w:val="en-US" w:eastAsia="zh-CN" w:bidi="ar-SA"/>
        </w:rPr>
        <w:t>加强对部门整体支出的绩效监管，形成绩效考核机制。提高对预算资金使用效益的认识，把预算资金是否发挥使用效益与各岗位履职尽职相结合，将预算资金使用效率和效益作为对各岗位人员考核评价的重要依据之一。</w:t>
      </w:r>
    </w:p>
    <w:p>
      <w:pPr>
        <w:widowControl/>
        <w:numPr>
          <w:ilvl w:val="0"/>
          <w:numId w:val="2"/>
        </w:numPr>
        <w:spacing w:line="600" w:lineRule="exact"/>
        <w:ind w:left="0" w:leftChars="0" w:firstLine="640" w:firstLineChars="200"/>
        <w:jc w:val="left"/>
        <w:rPr>
          <w:rFonts w:eastAsia="黑体"/>
          <w:sz w:val="32"/>
          <w:szCs w:val="32"/>
        </w:rPr>
      </w:pPr>
      <w:r>
        <w:rPr>
          <w:rFonts w:eastAsia="黑体"/>
          <w:sz w:val="32"/>
          <w:szCs w:val="32"/>
        </w:rPr>
        <w:t>其他需要说明的情况</w:t>
      </w:r>
    </w:p>
    <w:p>
      <w:pPr>
        <w:widowControl/>
        <w:numPr>
          <w:ilvl w:val="0"/>
          <w:numId w:val="0"/>
        </w:numPr>
        <w:spacing w:line="600" w:lineRule="exact"/>
        <w:ind w:leftChars="200"/>
        <w:jc w:val="left"/>
        <w:rPr>
          <w:rFonts w:hint="eastAsia" w:ascii="Times New Roman" w:hAnsi="Times New Roman" w:eastAsia="仿宋_GB2312" w:cs="Times New Roman"/>
          <w:sz w:val="32"/>
          <w:szCs w:val="32"/>
          <w:lang w:eastAsia="zh-CN"/>
        </w:rPr>
      </w:pPr>
      <w:r>
        <w:rPr>
          <w:rFonts w:hint="eastAsia" w:eastAsia="黑体"/>
          <w:sz w:val="32"/>
          <w:szCs w:val="32"/>
          <w:lang w:eastAsia="zh-CN"/>
        </w:rPr>
        <w:t>　</w:t>
      </w:r>
      <w:bookmarkStart w:id="0" w:name="_GoBack"/>
      <w:bookmarkEnd w:id="0"/>
      <w:r>
        <w:rPr>
          <w:rFonts w:hint="eastAsia" w:ascii="Times New Roman" w:hAnsi="Times New Roman" w:eastAsia="仿宋_GB2312" w:cs="Times New Roman"/>
          <w:sz w:val="32"/>
          <w:szCs w:val="32"/>
          <w:lang w:eastAsia="zh-CN"/>
        </w:rPr>
        <w:t>无。</w:t>
      </w:r>
    </w:p>
    <w:p>
      <w:pPr>
        <w:widowControl/>
        <w:numPr>
          <w:ilvl w:val="0"/>
          <w:numId w:val="0"/>
        </w:numPr>
        <w:spacing w:line="600" w:lineRule="exact"/>
        <w:ind w:leftChars="200"/>
        <w:jc w:val="left"/>
        <w:rPr>
          <w:rFonts w:eastAsia="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0D4398"/>
    <w:multiLevelType w:val="singleLevel"/>
    <w:tmpl w:val="DF0D4398"/>
    <w:lvl w:ilvl="0" w:tentative="0">
      <w:start w:val="1"/>
      <w:numFmt w:val="chineseCounting"/>
      <w:suff w:val="nothing"/>
      <w:lvlText w:val="%1、"/>
      <w:lvlJc w:val="left"/>
      <w:rPr>
        <w:rFonts w:hint="eastAsia"/>
      </w:rPr>
    </w:lvl>
  </w:abstractNum>
  <w:abstractNum w:abstractNumId="1">
    <w:nsid w:val="0418D757"/>
    <w:multiLevelType w:val="singleLevel"/>
    <w:tmpl w:val="0418D757"/>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0330DAA"/>
    <w:rsid w:val="01301E99"/>
    <w:rsid w:val="09BE6112"/>
    <w:rsid w:val="11547C54"/>
    <w:rsid w:val="13605DE9"/>
    <w:rsid w:val="14877500"/>
    <w:rsid w:val="29144453"/>
    <w:rsid w:val="29427E57"/>
    <w:rsid w:val="33EB149C"/>
    <w:rsid w:val="3A076E09"/>
    <w:rsid w:val="3B8F3226"/>
    <w:rsid w:val="5A2C7061"/>
    <w:rsid w:val="5A4D3C18"/>
    <w:rsid w:val="5A9D5D9B"/>
    <w:rsid w:val="60A24FBB"/>
    <w:rsid w:val="6C281BF9"/>
    <w:rsid w:val="764E3653"/>
    <w:rsid w:val="78AB7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0"/>
    <w:pPr>
      <w:widowControl/>
      <w:spacing w:before="100" w:beforeAutospacing="1" w:after="100" w:afterAutospacing="1" w:line="240" w:lineRule="auto"/>
    </w:pPr>
    <w:rPr>
      <w:rFonts w:ascii="宋体" w:hAnsi="宋体" w:eastAsia="宋体" w:cs="宋体"/>
      <w:kern w:val="0"/>
      <w:sz w:val="24"/>
      <w:szCs w:val="24"/>
    </w:rPr>
  </w:style>
  <w:style w:type="paragraph"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955</Words>
  <Characters>997</Characters>
  <Lines>0</Lines>
  <Paragraphs>0</Paragraphs>
  <TotalTime>7</TotalTime>
  <ScaleCrop>false</ScaleCrop>
  <LinksUpToDate>false</LinksUpToDate>
  <CharactersWithSpaces>999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2022-03-28T08:52:40Z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