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津市市社会福利院单位2021年度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部门整体支出绩效报告</w:t>
      </w:r>
      <w:bookmarkStart w:id="0" w:name="_GoBack"/>
      <w:bookmarkEnd w:id="0"/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　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rPr>
          <w:rFonts w:hint="eastAsia" w:ascii="Times New Roman" w:hAnsi="Times New Roman" w:eastAsia="黑体"/>
          <w:sz w:val="32"/>
          <w:szCs w:val="32"/>
          <w:lang w:eastAsia="zh-CN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（一）职能职责</w:t>
      </w:r>
    </w:p>
    <w:p>
      <w:pPr>
        <w:spacing w:line="600" w:lineRule="exact"/>
        <w:ind w:firstLine="480" w:firstLineChars="200"/>
        <w:rPr>
          <w:rFonts w:hint="eastAsia" w:eastAsia="仿宋_GB2312"/>
          <w:sz w:val="32"/>
          <w:szCs w:val="32"/>
        </w:rPr>
      </w:pPr>
      <w:r>
        <w:rPr>
          <w:rFonts w:hint="eastAsia" w:ascii="宋体" w:hAnsi="宋体"/>
          <w:sz w:val="24"/>
          <w:szCs w:val="24"/>
          <w:lang w:eastAsia="zh-CN"/>
        </w:rPr>
        <w:t>　</w:t>
      </w:r>
      <w:r>
        <w:rPr>
          <w:rFonts w:hint="eastAsia" w:eastAsia="仿宋_GB2312"/>
          <w:sz w:val="32"/>
          <w:szCs w:val="32"/>
          <w:lang w:eastAsia="zh-CN"/>
        </w:rPr>
        <w:t>津市市社会福利院是全额拨款的事业单位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认真贯彻执行国家有关法律、法规和政策，促进儿童福利事业的发展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收养本市父母双亡，无依无靠，无劳动能力、无生活来源的孤儿；对入院收养人员履行看管、教育义务，促进其健康发展。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(二)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机构设置</w:t>
      </w:r>
    </w:p>
    <w:p>
      <w:pPr>
        <w:pStyle w:val="2"/>
        <w:spacing w:beforeAutospacing="0" w:afterAutospacing="0" w:line="600" w:lineRule="exact"/>
        <w:ind w:firstLine="608" w:firstLineChars="200"/>
        <w:jc w:val="both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5"/>
          <w:kern w:val="0"/>
          <w:sz w:val="32"/>
          <w:szCs w:val="32"/>
          <w:lang w:val="en-US" w:eastAsia="zh-CN" w:bidi="ar-SA"/>
        </w:rPr>
        <w:t>津市市社会福利院内设3个股室，分别是院长室、办公室、财务室，无二级机构。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　</w:t>
      </w: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600" w:lineRule="exact"/>
        <w:ind w:left="0" w:right="0" w:firstLine="640" w:firstLineChars="200"/>
        <w:jc w:val="both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2021年本部门基本支出数97.90万元，主要是为保障部门正常运转、完成日常工作任务而发生的各项支出，包括用于基本工资、津贴补贴等人员经费以及办公费、印刷费、水电费、办公设备购置等公用经费。</w:t>
      </w:r>
    </w:p>
    <w:p>
      <w:pPr>
        <w:pStyle w:val="5"/>
        <w:widowControl/>
        <w:spacing w:line="600" w:lineRule="exact"/>
        <w:ind w:left="0" w:leftChars="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　</w:t>
      </w: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widowControl/>
        <w:spacing w:line="60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2021</w:t>
      </w:r>
      <w:r>
        <w:rPr>
          <w:rFonts w:eastAsia="仿宋_GB2312"/>
          <w:sz w:val="32"/>
          <w:szCs w:val="32"/>
        </w:rPr>
        <w:t>年度</w:t>
      </w:r>
      <w:r>
        <w:rPr>
          <w:rFonts w:hint="eastAsia" w:eastAsia="仿宋_GB2312"/>
          <w:sz w:val="32"/>
          <w:szCs w:val="32"/>
          <w:lang w:eastAsia="zh-CN"/>
        </w:rPr>
        <w:t>项目支出数</w:t>
      </w:r>
      <w:r>
        <w:rPr>
          <w:rFonts w:hint="eastAsia" w:eastAsia="仿宋_GB2312"/>
          <w:sz w:val="32"/>
          <w:szCs w:val="32"/>
          <w:lang w:val="en-US" w:eastAsia="zh-CN"/>
        </w:rPr>
        <w:t>42.25万元，其中困难群众救助42.25万元，主要用于收养人员费用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对个人和家庭补助支出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年度无政府性基金预算支出情况。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我院一直坚持社会福利工作以突出社会效益为原则，坚持无私奉献精神；本着“以人为本、为长者尽孝心、为残疾人献爱心”和“一切为了孩子”的服务宗旨。福利院全面工作是不断强化责任意识，努力追溯一流意识、整体意识、务实意识、和谐意识的服务理念。在为长者服务工作中倡导健康老龄化，服务亲情化，管理实施规范化，全程护理服务专业标准化，积极推行现代养老、尊老、爱老、敬老的浓厚氛围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  <w:t>做好疫情防控，守护老人儿童生命安全。以“人民至上、生命至上”为指引，用心用情做好疫情防控工作，守护院内老人儿童身体健康和生命安全。在疫情期间实行全封闭管理，工作人员和临聘人员坚持一岗到底、24小时在院值守，不出院门；每天早晚2次为服务对象测温消毒；为有基础疾病的老人儿童建立专门台账，提供特别照顾；设置应急隔离房间；院内社工及时为老人儿童、一线护理员进行心理疏导，缓解疫情期间的紧张焦虑情绪；开展疫情防控知识讲座健康知识讲座，提高自我防护能力。通过全院干部职工的共同努力和家属的支持配合，实现了全年零感染的工作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20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年，我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  <w:t>院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按财政统一部署，认真开展了整体绩效评价自评工作。成立了专门的绩效评价工作组，工作组结合单位的实际情况，对照《部门整体支出绩效目标申报表》，从年度预算申请、绩效目标完成情况、资金管理、财务信息质量以及经济社会效益等方面进行绩效评价。按照工作内容、工作措施、工作时限和达到的预期效果，进一步分解细化，将责任落实到相关科室，使绩效评价指标与相关部门工作任务紧密联系起来，推动了各项工作落实，圆满地完成了本单位发展规划。</w:t>
      </w:r>
    </w:p>
    <w:p>
      <w:pPr>
        <w:pStyle w:val="5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left"/>
        <w:textAlignment w:val="auto"/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因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  <w:t>近两年来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全国突发疫情，我院执行上级部门的文件要求，全院实行封闭式管理，院内服务对象由于长期不能出入自由，不能回家与亲人团聚过年，个人情绪受到疫情影响增加了一些小矛盾，也增加了工作人员的工作量。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left"/>
        <w:textAlignment w:val="auto"/>
        <w:rPr>
          <w:rFonts w:hint="default" w:ascii="仿宋_GB2312" w:hAnsi="微软雅黑" w:eastAsia="仿宋_GB2312" w:cs="宋体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  <w:t>预算编制欠严谨，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val="en-US" w:eastAsia="zh-CN"/>
        </w:rPr>
        <w:t>2021年决算总收入139.60万元，与年初预算相比，增加了37.77万元，增加了37.09%，和上年相比预算编制的精准性有所提高，但还需要继续改进。</w:t>
      </w:r>
    </w:p>
    <w:p>
      <w:pPr>
        <w:widowControl/>
        <w:numPr>
          <w:ilvl w:val="0"/>
          <w:numId w:val="1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　　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</w:rPr>
        <w:t>今后我单位将积极加强与财政及上级部门的沟通与联系，提高预算的科学性，并且严格执行预算，规范项目资金管理。根据我单位实际情况，适当补足单位资金缺口，以便单位运转。</w:t>
      </w:r>
    </w:p>
    <w:p>
      <w:pPr>
        <w:widowControl/>
        <w:numPr>
          <w:ilvl w:val="0"/>
          <w:numId w:val="1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leftChars="200"/>
        <w:jc w:val="left"/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　</w:t>
      </w:r>
      <w:r>
        <w:rPr>
          <w:rFonts w:hint="eastAsia" w:ascii="仿宋_GB2312" w:hAnsi="微软雅黑" w:eastAsia="仿宋_GB2312" w:cs="宋体"/>
          <w:color w:val="3D3D3D"/>
          <w:kern w:val="0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B7BC1"/>
    <w:multiLevelType w:val="singleLevel"/>
    <w:tmpl w:val="9CAB7BC1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18233BD"/>
    <w:rsid w:val="099C2971"/>
    <w:rsid w:val="0C825924"/>
    <w:rsid w:val="192F2B88"/>
    <w:rsid w:val="26EC4CB7"/>
    <w:rsid w:val="27D74BC7"/>
    <w:rsid w:val="34F605A6"/>
    <w:rsid w:val="35527ED3"/>
    <w:rsid w:val="3A076E09"/>
    <w:rsid w:val="3B8F3226"/>
    <w:rsid w:val="4488300E"/>
    <w:rsid w:val="4C9179EA"/>
    <w:rsid w:val="4CC32763"/>
    <w:rsid w:val="4D9A1FBF"/>
    <w:rsid w:val="4EE35A99"/>
    <w:rsid w:val="51B349E2"/>
    <w:rsid w:val="551006B0"/>
    <w:rsid w:val="56165F9F"/>
    <w:rsid w:val="5A9D5D9B"/>
    <w:rsid w:val="5D7A7717"/>
    <w:rsid w:val="5DA60781"/>
    <w:rsid w:val="5F467EEE"/>
    <w:rsid w:val="67905589"/>
    <w:rsid w:val="687C6ADD"/>
    <w:rsid w:val="71D8635C"/>
    <w:rsid w:val="73D94061"/>
    <w:rsid w:val="7A99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1315</Words>
  <Characters>1360</Characters>
  <Lines>0</Lines>
  <Paragraphs>0</Paragraphs>
  <TotalTime>13</TotalTime>
  <ScaleCrop>false</ScaleCrop>
  <LinksUpToDate>false</LinksUpToDate>
  <CharactersWithSpaces>1367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2022-03-28T09:02:35Z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