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_GBK"/>
          <w:sz w:val="36"/>
          <w:szCs w:val="36"/>
        </w:rPr>
      </w:pPr>
      <w:r>
        <w:rPr>
          <w:rFonts w:hint="eastAsia" w:eastAsia="方正小标宋_GBK"/>
          <w:sz w:val="36"/>
          <w:szCs w:val="36"/>
          <w:lang w:val="en-US" w:eastAsia="zh-CN"/>
        </w:rPr>
        <w:t>津市市医疗保障局2021年度</w:t>
      </w:r>
      <w:r>
        <w:rPr>
          <w:rFonts w:eastAsia="方正小标宋_GBK"/>
          <w:sz w:val="36"/>
          <w:szCs w:val="36"/>
        </w:rPr>
        <w:t>部门整体支出</w:t>
      </w:r>
    </w:p>
    <w:p>
      <w:pPr>
        <w:spacing w:line="600" w:lineRule="exact"/>
        <w:jc w:val="center"/>
        <w:rPr>
          <w:rFonts w:eastAsia="方正小标宋_GBK"/>
          <w:sz w:val="32"/>
          <w:szCs w:val="32"/>
        </w:rPr>
      </w:pPr>
      <w:r>
        <w:rPr>
          <w:rFonts w:eastAsia="方正小标宋_GBK"/>
          <w:sz w:val="36"/>
          <w:szCs w:val="36"/>
        </w:rPr>
        <w:t>绩</w:t>
      </w:r>
      <w:r>
        <w:rPr>
          <w:rFonts w:hint="eastAsia" w:eastAsia="方正小标宋_GBK"/>
          <w:sz w:val="36"/>
          <w:szCs w:val="36"/>
          <w:lang w:val="en-US" w:eastAsia="zh-CN"/>
        </w:rPr>
        <w:t xml:space="preserve"> </w:t>
      </w:r>
      <w:r>
        <w:rPr>
          <w:rFonts w:eastAsia="方正小标宋_GBK"/>
          <w:sz w:val="36"/>
          <w:szCs w:val="36"/>
        </w:rPr>
        <w:t>效</w:t>
      </w:r>
      <w:r>
        <w:rPr>
          <w:rFonts w:hint="eastAsia" w:eastAsia="方正小标宋_GBK"/>
          <w:sz w:val="36"/>
          <w:szCs w:val="36"/>
          <w:lang w:val="en-US" w:eastAsia="zh-CN"/>
        </w:rPr>
        <w:t xml:space="preserve"> </w:t>
      </w:r>
      <w:r>
        <w:rPr>
          <w:rFonts w:eastAsia="方正小标宋_GBK"/>
          <w:sz w:val="36"/>
          <w:szCs w:val="36"/>
        </w:rPr>
        <w:t>报</w:t>
      </w:r>
      <w:r>
        <w:rPr>
          <w:rFonts w:hint="eastAsia" w:eastAsia="方正小标宋_GBK"/>
          <w:sz w:val="36"/>
          <w:szCs w:val="36"/>
          <w:lang w:val="en-US" w:eastAsia="zh-CN"/>
        </w:rPr>
        <w:t xml:space="preserve"> </w:t>
      </w:r>
      <w:r>
        <w:rPr>
          <w:rFonts w:eastAsia="方正小标宋_GBK"/>
          <w:sz w:val="36"/>
          <w:szCs w:val="36"/>
        </w:rPr>
        <w:t>告</w:t>
      </w:r>
    </w:p>
    <w:p>
      <w:pPr>
        <w:spacing w:line="600" w:lineRule="exact"/>
        <w:jc w:val="center"/>
        <w:rPr>
          <w:rFonts w:eastAsia="方正小标宋_GBK"/>
          <w:sz w:val="32"/>
          <w:szCs w:val="32"/>
        </w:rPr>
      </w:pPr>
    </w:p>
    <w:p>
      <w:pPr>
        <w:pStyle w:val="4"/>
        <w:widowControl/>
        <w:numPr>
          <w:ilvl w:val="0"/>
          <w:numId w:val="1"/>
        </w:numPr>
        <w:spacing w:line="600" w:lineRule="exact"/>
        <w:ind w:left="630" w:leftChars="0" w:firstLine="0" w:firstLineChars="0"/>
        <w:rPr>
          <w:rFonts w:ascii="Times New Roman" w:hAnsi="Times New Roman" w:eastAsia="黑体"/>
          <w:sz w:val="32"/>
          <w:szCs w:val="32"/>
        </w:rPr>
      </w:pPr>
      <w:r>
        <w:rPr>
          <w:rFonts w:ascii="Times New Roman" w:hAnsi="Times New Roman" w:eastAsia="黑体"/>
          <w:sz w:val="32"/>
          <w:szCs w:val="32"/>
        </w:rPr>
        <w:t>部门、单位基本情况</w:t>
      </w:r>
    </w:p>
    <w:p>
      <w:pPr>
        <w:pStyle w:val="4"/>
        <w:widowControl/>
        <w:numPr>
          <w:ilvl w:val="0"/>
          <w:numId w:val="0"/>
        </w:numPr>
        <w:spacing w:line="600" w:lineRule="exact"/>
        <w:ind w:left="630" w:leftChars="0"/>
        <w:rPr>
          <w:rFonts w:ascii="Times New Roman" w:hAnsi="Times New Roman" w:eastAsia="黑体"/>
          <w:sz w:val="32"/>
          <w:szCs w:val="32"/>
        </w:rPr>
      </w:pPr>
      <w:r>
        <w:rPr>
          <w:rFonts w:hint="eastAsia" w:ascii="Times New Roman" w:hAnsi="Times New Roman" w:eastAsia="黑体"/>
          <w:sz w:val="32"/>
          <w:szCs w:val="32"/>
          <w:lang w:val="en-US" w:eastAsia="zh-CN"/>
        </w:rPr>
        <w:t>1、机构、人员构成</w:t>
      </w:r>
    </w:p>
    <w:p>
      <w:pPr>
        <w:widowControl/>
        <w:spacing w:line="600" w:lineRule="exact"/>
        <w:ind w:firstLine="548" w:firstLineChars="196"/>
        <w:jc w:val="left"/>
        <w:rPr>
          <w:rFonts w:hint="eastAsia" w:ascii="宋体" w:hAnsi="宋体" w:eastAsia="宋体" w:cs="宋体"/>
          <w:color w:val="000000"/>
          <w:sz w:val="28"/>
          <w:szCs w:val="28"/>
        </w:rPr>
      </w:pPr>
      <w:r>
        <w:rPr>
          <w:rFonts w:hint="eastAsia" w:ascii="宋体" w:hAnsi="宋体" w:eastAsia="宋体" w:cs="宋体"/>
          <w:color w:val="000000"/>
          <w:sz w:val="28"/>
          <w:szCs w:val="28"/>
          <w:lang w:eastAsia="zh-CN"/>
        </w:rPr>
        <w:t>津市市医疗保障局实有编制</w:t>
      </w:r>
      <w:r>
        <w:rPr>
          <w:rFonts w:hint="eastAsia" w:ascii="宋体" w:hAnsi="宋体" w:eastAsia="宋体" w:cs="宋体"/>
          <w:color w:val="000000"/>
          <w:sz w:val="28"/>
          <w:szCs w:val="28"/>
          <w:lang w:val="en-US" w:eastAsia="zh-CN"/>
        </w:rPr>
        <w:t>30人其中行政编6人。</w:t>
      </w:r>
      <w:r>
        <w:rPr>
          <w:rFonts w:hint="eastAsia" w:ascii="宋体" w:hAnsi="宋体" w:eastAsia="宋体" w:cs="宋体"/>
          <w:color w:val="000000"/>
          <w:sz w:val="28"/>
          <w:szCs w:val="28"/>
        </w:rPr>
        <w:t>现有</w:t>
      </w:r>
      <w:r>
        <w:rPr>
          <w:rFonts w:hint="eastAsia" w:ascii="宋体" w:hAnsi="宋体" w:eastAsia="宋体" w:cs="宋体"/>
          <w:color w:val="000000"/>
          <w:sz w:val="28"/>
          <w:szCs w:val="28"/>
          <w:lang w:eastAsia="zh-CN"/>
        </w:rPr>
        <w:t>在岗</w:t>
      </w:r>
      <w:r>
        <w:rPr>
          <w:rFonts w:hint="eastAsia" w:ascii="宋体" w:hAnsi="宋体" w:eastAsia="宋体" w:cs="宋体"/>
          <w:color w:val="000000"/>
          <w:sz w:val="28"/>
          <w:szCs w:val="28"/>
        </w:rPr>
        <w:t>职工</w:t>
      </w:r>
      <w:r>
        <w:rPr>
          <w:rFonts w:hint="eastAsia" w:ascii="宋体" w:hAnsi="宋体" w:eastAsia="宋体" w:cs="宋体"/>
          <w:color w:val="000000"/>
          <w:sz w:val="28"/>
          <w:szCs w:val="28"/>
          <w:lang w:val="en-US" w:eastAsia="zh-CN"/>
        </w:rPr>
        <w:t>34</w:t>
      </w:r>
      <w:r>
        <w:rPr>
          <w:rFonts w:hint="eastAsia" w:ascii="宋体" w:hAnsi="宋体" w:eastAsia="宋体" w:cs="宋体"/>
          <w:color w:val="000000"/>
          <w:sz w:val="28"/>
          <w:szCs w:val="28"/>
        </w:rPr>
        <w:t>人</w:t>
      </w:r>
      <w:r>
        <w:rPr>
          <w:rFonts w:hint="eastAsia" w:ascii="宋体" w:hAnsi="宋体" w:eastAsia="宋体" w:cs="宋体"/>
          <w:color w:val="000000"/>
          <w:sz w:val="28"/>
          <w:szCs w:val="28"/>
          <w:lang w:eastAsia="zh-CN"/>
        </w:rPr>
        <w:t>，其中在编职工</w:t>
      </w:r>
      <w:r>
        <w:rPr>
          <w:rFonts w:hint="eastAsia" w:ascii="宋体" w:hAnsi="宋体" w:eastAsia="宋体" w:cs="宋体"/>
          <w:color w:val="000000"/>
          <w:sz w:val="28"/>
          <w:szCs w:val="28"/>
          <w:lang w:val="en-US" w:eastAsia="zh-CN"/>
        </w:rPr>
        <w:t>24人，</w:t>
      </w:r>
      <w:r>
        <w:rPr>
          <w:rFonts w:hint="eastAsia" w:ascii="宋体" w:hAnsi="宋体" w:eastAsia="宋体" w:cs="宋体"/>
          <w:color w:val="000000"/>
          <w:sz w:val="28"/>
          <w:szCs w:val="28"/>
        </w:rPr>
        <w:t>临聘</w:t>
      </w:r>
      <w:r>
        <w:rPr>
          <w:rFonts w:hint="eastAsia" w:ascii="宋体" w:hAnsi="宋体" w:eastAsia="宋体" w:cs="宋体"/>
          <w:color w:val="000000"/>
          <w:sz w:val="28"/>
          <w:szCs w:val="28"/>
          <w:lang w:val="en-US" w:eastAsia="zh-CN"/>
        </w:rPr>
        <w:t>10</w:t>
      </w:r>
      <w:r>
        <w:rPr>
          <w:rFonts w:hint="eastAsia" w:ascii="宋体" w:hAnsi="宋体" w:eastAsia="宋体" w:cs="宋体"/>
          <w:color w:val="000000"/>
          <w:sz w:val="28"/>
          <w:szCs w:val="28"/>
        </w:rPr>
        <w:t>人。退休人员8人。根据编委核定，我局内设处室6个，所属事业单位1个，全部纳入202</w:t>
      </w:r>
      <w:r>
        <w:rPr>
          <w:rFonts w:hint="eastAsia" w:ascii="宋体" w:hAnsi="宋体" w:eastAsia="宋体" w:cs="宋体"/>
          <w:color w:val="000000"/>
          <w:sz w:val="28"/>
          <w:szCs w:val="28"/>
          <w:lang w:val="en-US" w:eastAsia="zh-CN"/>
        </w:rPr>
        <w:t>1</w:t>
      </w:r>
      <w:r>
        <w:rPr>
          <w:rFonts w:hint="eastAsia" w:ascii="宋体" w:hAnsi="宋体" w:eastAsia="宋体" w:cs="宋体"/>
          <w:color w:val="000000"/>
          <w:sz w:val="28"/>
          <w:szCs w:val="28"/>
        </w:rPr>
        <w:t>年部门预</w:t>
      </w:r>
      <w:r>
        <w:rPr>
          <w:rFonts w:hint="eastAsia" w:ascii="宋体" w:hAnsi="宋体" w:eastAsia="宋体" w:cs="宋体"/>
          <w:color w:val="000000"/>
          <w:sz w:val="28"/>
          <w:szCs w:val="28"/>
          <w:lang w:eastAsia="zh-CN"/>
        </w:rPr>
        <w:t>、决</w:t>
      </w:r>
      <w:r>
        <w:rPr>
          <w:rFonts w:hint="eastAsia" w:ascii="宋体" w:hAnsi="宋体" w:eastAsia="宋体" w:cs="宋体"/>
          <w:color w:val="000000"/>
          <w:sz w:val="28"/>
          <w:szCs w:val="28"/>
        </w:rPr>
        <w:t>算编制范围。内设科室分别是办公室、规划财务股、待遇保障和医药服务管理股（法规股）、人教股、基金监督股（行政审批服务办公室）、医药价格和招标采购股。所属事业单位是津市市医疗障事务中心。</w:t>
      </w:r>
    </w:p>
    <w:p>
      <w:pPr>
        <w:pStyle w:val="4"/>
        <w:widowControl/>
        <w:numPr>
          <w:ilvl w:val="0"/>
          <w:numId w:val="0"/>
        </w:numPr>
        <w:spacing w:line="600" w:lineRule="exact"/>
        <w:ind w:firstLine="640" w:firstLineChars="200"/>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2、单位主要职责</w:t>
      </w:r>
    </w:p>
    <w:p>
      <w:pPr>
        <w:spacing w:line="600" w:lineRule="atLeast"/>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1、</w:t>
      </w:r>
      <w:r>
        <w:rPr>
          <w:rFonts w:hint="eastAsia" w:ascii="宋体" w:hAnsi="宋体" w:eastAsia="宋体" w:cs="宋体"/>
          <w:color w:val="000000"/>
          <w:sz w:val="28"/>
          <w:szCs w:val="28"/>
        </w:rPr>
        <w:t>拟订全市医疗保险、生育保险、医疗救助等医疗保障制度的政策、规划并组织实施。</w:t>
      </w:r>
    </w:p>
    <w:p>
      <w:pPr>
        <w:spacing w:line="600" w:lineRule="atLeast"/>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2、</w:t>
      </w:r>
      <w:r>
        <w:rPr>
          <w:rFonts w:hint="eastAsia" w:ascii="宋体" w:hAnsi="宋体" w:eastAsia="宋体" w:cs="宋体"/>
          <w:color w:val="000000"/>
          <w:sz w:val="28"/>
          <w:szCs w:val="28"/>
        </w:rPr>
        <w:t>组织实施医疗保障基金监督管理办法，监督管理相关医疗保障基金，建立健全医疗保障基金安全防控机制，推进医疗保障基金支付方式改革。</w:t>
      </w:r>
    </w:p>
    <w:p>
      <w:pPr>
        <w:spacing w:line="600" w:lineRule="atLeast"/>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3、</w:t>
      </w:r>
      <w:r>
        <w:rPr>
          <w:rFonts w:hint="eastAsia" w:ascii="宋体" w:hAnsi="宋体" w:eastAsia="宋体" w:cs="宋体"/>
          <w:color w:val="000000"/>
          <w:sz w:val="28"/>
          <w:szCs w:val="28"/>
        </w:rPr>
        <w:t>组织实施全市医疗保障筹资和待遇政策，完善动态调整和区域调剂平衡机制，统筹城乡医疗保障待遇标准。建立健全与筹资水平相适应的待遇调整机制，组织实施长期护理保险制度改革。</w:t>
      </w:r>
    </w:p>
    <w:p>
      <w:pPr>
        <w:spacing w:line="600" w:lineRule="atLeast"/>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4、</w:t>
      </w:r>
      <w:r>
        <w:rPr>
          <w:rFonts w:hint="eastAsia" w:ascii="宋体" w:hAnsi="宋体" w:eastAsia="宋体" w:cs="宋体"/>
          <w:color w:val="000000"/>
          <w:sz w:val="28"/>
          <w:szCs w:val="28"/>
        </w:rPr>
        <w:t>组织实施药品、医用耗材、医疗服务项目、医疗服务设施等医保目录和支付标准。</w:t>
      </w:r>
    </w:p>
    <w:p>
      <w:pPr>
        <w:spacing w:line="600" w:lineRule="atLeast"/>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5、</w:t>
      </w:r>
      <w:r>
        <w:rPr>
          <w:rFonts w:hint="eastAsia" w:ascii="宋体" w:hAnsi="宋体" w:eastAsia="宋体" w:cs="宋体"/>
          <w:color w:val="000000"/>
          <w:sz w:val="28"/>
          <w:szCs w:val="28"/>
        </w:rPr>
        <w:t>贯彻执行药品、医用耗材价格和医疗服务项目、医疗服务设施收费等政策，建立医保支付医药服务价格合理确定和动态调整机制，推动建立市场主导的社会医药服务价格形成机制，建立价格信息监测和信息发布制度。</w:t>
      </w:r>
    </w:p>
    <w:p>
      <w:pPr>
        <w:spacing w:line="600" w:lineRule="atLeast"/>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6、</w:t>
      </w:r>
      <w:r>
        <w:rPr>
          <w:rFonts w:hint="eastAsia" w:ascii="宋体" w:hAnsi="宋体" w:eastAsia="宋体" w:cs="宋体"/>
          <w:color w:val="000000"/>
          <w:sz w:val="28"/>
          <w:szCs w:val="28"/>
        </w:rPr>
        <w:t>贯彻执行国家、省和常德市药品、医用耗材的招标采购政策。</w:t>
      </w:r>
    </w:p>
    <w:p>
      <w:pPr>
        <w:spacing w:line="600" w:lineRule="atLeast"/>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7、</w:t>
      </w:r>
      <w:r>
        <w:rPr>
          <w:rFonts w:hint="eastAsia" w:ascii="宋体" w:hAnsi="宋体" w:eastAsia="宋体" w:cs="宋体"/>
          <w:color w:val="000000"/>
          <w:sz w:val="28"/>
          <w:szCs w:val="28"/>
        </w:rPr>
        <w:t>拟定全市定点医药机构协议和支付管理办法并组织实施，建立健全医疗保障信用评价体系和信息披露制度，监督管理纳入医保范围内的医疗服务行为和医疗费用，依法查处医疗保障领域违法违规行为。</w:t>
      </w:r>
    </w:p>
    <w:p>
      <w:pPr>
        <w:spacing w:line="600" w:lineRule="atLeast"/>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8、</w:t>
      </w:r>
      <w:r>
        <w:rPr>
          <w:rFonts w:hint="eastAsia" w:ascii="宋体" w:hAnsi="宋体" w:eastAsia="宋体" w:cs="宋体"/>
          <w:color w:val="000000"/>
          <w:sz w:val="28"/>
          <w:szCs w:val="28"/>
        </w:rPr>
        <w:t>负责全市医疗保障经办管理、公共服务体系和信息化建设。指导和监督全市医疗保险、生育保险、医疗救助等医疗保障经办业务。组织实施异地就医管理和费用结算政策。完善并组织实施医疗保障关系转移接续制度。</w:t>
      </w:r>
    </w:p>
    <w:p>
      <w:pPr>
        <w:spacing w:line="600" w:lineRule="atLeast"/>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9、</w:t>
      </w:r>
      <w:r>
        <w:rPr>
          <w:rFonts w:hint="eastAsia" w:ascii="宋体" w:hAnsi="宋体" w:eastAsia="宋体" w:cs="宋体"/>
          <w:color w:val="000000"/>
          <w:sz w:val="28"/>
          <w:szCs w:val="28"/>
        </w:rPr>
        <w:t>完成市委、市政府交办的其他事项。</w:t>
      </w:r>
    </w:p>
    <w:p>
      <w:pPr>
        <w:spacing w:line="600" w:lineRule="atLeast"/>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10、</w:t>
      </w:r>
      <w:r>
        <w:rPr>
          <w:rFonts w:hint="eastAsia" w:ascii="宋体" w:hAnsi="宋体" w:eastAsia="宋体" w:cs="宋体"/>
          <w:color w:val="000000"/>
          <w:sz w:val="28"/>
          <w:szCs w:val="28"/>
        </w:rPr>
        <w:t>职能转变。市医保局应完善全市统一的城乡居民基本医疗保险制度和大病保险制度，巩固完善城乡居民医疗救助制度，建立健全覆盖全民、城乡统筹的多层次医疗保障体系，不断提高医疗保障水平，确保医保资金合理使用、安全可控，推进医疗、医保、医药“三医联动”改革，更好保障人民群众就医需求、减轻医药费用负担。</w:t>
      </w:r>
    </w:p>
    <w:p>
      <w:pPr>
        <w:spacing w:line="600" w:lineRule="atLeast"/>
        <w:ind w:firstLine="560" w:firstLineChars="200"/>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11、</w:t>
      </w:r>
      <w:r>
        <w:rPr>
          <w:rFonts w:hint="eastAsia" w:ascii="宋体" w:hAnsi="宋体" w:eastAsia="宋体" w:cs="宋体"/>
          <w:color w:val="000000"/>
          <w:sz w:val="28"/>
          <w:szCs w:val="28"/>
        </w:rPr>
        <w:t>与市卫健局的有关职责分工。市卫健局、市医保局等部门在医疗、医保、医药等方面加强制度、政策衔接，建立沟通协商机制，协同推进改革，提高医疗资源使用效率和医疗保障水平。</w:t>
      </w:r>
    </w:p>
    <w:p>
      <w:pPr>
        <w:widowControl/>
        <w:spacing w:line="600" w:lineRule="exact"/>
        <w:ind w:firstLine="548" w:firstLineChars="196"/>
        <w:jc w:val="left"/>
        <w:rPr>
          <w:rFonts w:hint="eastAsia" w:ascii="宋体" w:hAnsi="宋体" w:eastAsia="宋体" w:cs="宋体"/>
          <w:color w:val="000000"/>
          <w:sz w:val="28"/>
          <w:szCs w:val="28"/>
        </w:rPr>
      </w:pPr>
    </w:p>
    <w:p>
      <w:pPr>
        <w:widowControl/>
        <w:spacing w:line="600" w:lineRule="exact"/>
        <w:ind w:firstLine="627" w:firstLineChars="196"/>
        <w:jc w:val="left"/>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keepNext w:val="0"/>
        <w:keepLines w:val="0"/>
        <w:pageBreakBefore w:val="0"/>
        <w:widowControl w:val="0"/>
        <w:kinsoku/>
        <w:wordWrap/>
        <w:overflowPunct/>
        <w:topLinePunct w:val="0"/>
        <w:autoSpaceDE w:val="0"/>
        <w:autoSpaceDN w:val="0"/>
        <w:bidi w:val="0"/>
        <w:adjustRightInd w:val="0"/>
        <w:snapToGrid w:val="0"/>
        <w:spacing w:before="0" w:line="600" w:lineRule="exact"/>
        <w:ind w:left="0" w:right="0" w:firstLine="640" w:firstLineChars="200"/>
        <w:jc w:val="both"/>
        <w:textAlignment w:val="auto"/>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基本支出情况</w:t>
      </w:r>
    </w:p>
    <w:p>
      <w:pPr>
        <w:keepNext w:val="0"/>
        <w:keepLines w:val="0"/>
        <w:pageBreakBefore w:val="0"/>
        <w:widowControl w:val="0"/>
        <w:kinsoku/>
        <w:wordWrap/>
        <w:overflowPunct/>
        <w:topLinePunct w:val="0"/>
        <w:autoSpaceDE w:val="0"/>
        <w:autoSpaceDN w:val="0"/>
        <w:bidi w:val="0"/>
        <w:adjustRightInd w:val="0"/>
        <w:snapToGrid w:val="0"/>
        <w:spacing w:before="0" w:line="600" w:lineRule="exact"/>
        <w:ind w:left="0" w:right="0" w:firstLine="592" w:firstLineChars="200"/>
        <w:jc w:val="both"/>
        <w:textAlignment w:val="auto"/>
        <w:rPr>
          <w:rFonts w:hint="default" w:ascii="Times New Roman" w:hAnsi="Times New Roman" w:eastAsia="宋体"/>
          <w:sz w:val="32"/>
          <w:szCs w:val="32"/>
          <w:lang w:val="en-US" w:eastAsia="zh-CN"/>
        </w:rPr>
      </w:pPr>
      <w:r>
        <w:rPr>
          <w:rFonts w:hint="eastAsia" w:ascii="宋体" w:hAnsi="宋体" w:eastAsia="宋体" w:cs="宋体"/>
          <w:spacing w:val="15"/>
          <w:w w:val="95"/>
          <w:sz w:val="28"/>
          <w:szCs w:val="28"/>
        </w:rPr>
        <w:t>202</w:t>
      </w:r>
      <w:r>
        <w:rPr>
          <w:rFonts w:hint="eastAsia" w:ascii="宋体" w:hAnsi="宋体" w:cs="宋体"/>
          <w:spacing w:val="15"/>
          <w:w w:val="95"/>
          <w:sz w:val="28"/>
          <w:szCs w:val="28"/>
          <w:lang w:val="en-US" w:eastAsia="zh-CN"/>
        </w:rPr>
        <w:t>1</w:t>
      </w:r>
      <w:r>
        <w:rPr>
          <w:rFonts w:hint="eastAsia" w:ascii="宋体" w:hAnsi="宋体" w:eastAsia="宋体" w:cs="宋体"/>
          <w:spacing w:val="34"/>
          <w:w w:val="95"/>
          <w:sz w:val="28"/>
          <w:szCs w:val="28"/>
        </w:rPr>
        <w:t>年本部门基本支出</w:t>
      </w:r>
      <w:r>
        <w:rPr>
          <w:rFonts w:hint="eastAsia" w:ascii="宋体" w:hAnsi="宋体" w:cs="宋体"/>
          <w:spacing w:val="34"/>
          <w:w w:val="95"/>
          <w:sz w:val="28"/>
          <w:szCs w:val="28"/>
          <w:lang w:eastAsia="zh-CN"/>
        </w:rPr>
        <w:t>决算</w:t>
      </w:r>
      <w:r>
        <w:rPr>
          <w:rFonts w:hint="eastAsia" w:ascii="宋体" w:hAnsi="宋体" w:eastAsia="宋体" w:cs="宋体"/>
          <w:spacing w:val="34"/>
          <w:w w:val="95"/>
          <w:sz w:val="28"/>
          <w:szCs w:val="28"/>
        </w:rPr>
        <w:t>数</w:t>
      </w:r>
      <w:r>
        <w:rPr>
          <w:rFonts w:hint="eastAsia" w:ascii="宋体" w:hAnsi="宋体" w:cs="宋体"/>
          <w:sz w:val="28"/>
          <w:szCs w:val="28"/>
          <w:lang w:val="en-US" w:eastAsia="zh-CN"/>
        </w:rPr>
        <w:t>486.63</w:t>
      </w:r>
      <w:r>
        <w:rPr>
          <w:rFonts w:hint="eastAsia" w:ascii="宋体" w:hAnsi="宋体" w:eastAsia="宋体" w:cs="宋体"/>
          <w:spacing w:val="40"/>
          <w:sz w:val="28"/>
          <w:szCs w:val="28"/>
        </w:rPr>
        <w:t>万元</w:t>
      </w:r>
      <w:r>
        <w:rPr>
          <w:rFonts w:hint="eastAsia" w:ascii="宋体" w:hAnsi="宋体" w:cs="宋体"/>
          <w:spacing w:val="40"/>
          <w:sz w:val="28"/>
          <w:szCs w:val="28"/>
          <w:lang w:eastAsia="zh-CN"/>
        </w:rPr>
        <w:t>，</w:t>
      </w:r>
      <w:r>
        <w:rPr>
          <w:rFonts w:hint="eastAsia" w:ascii="宋体" w:hAnsi="宋体" w:eastAsia="宋体" w:cs="宋体"/>
          <w:spacing w:val="40"/>
          <w:sz w:val="28"/>
          <w:szCs w:val="28"/>
        </w:rPr>
        <w:t>主要是为保障部门正常运转、完成日常工作任务而发生的各项支出，包括用于基本工资、津贴补贴等人员经费以及办公费、印刷费、水电费、办公设备购置等公用经费。</w:t>
      </w:r>
      <w:r>
        <w:rPr>
          <w:rFonts w:hint="eastAsia" w:ascii="宋体" w:hAnsi="宋体" w:cs="宋体"/>
          <w:spacing w:val="40"/>
          <w:sz w:val="28"/>
          <w:szCs w:val="28"/>
          <w:lang w:eastAsia="zh-CN"/>
        </w:rPr>
        <w:t>比</w:t>
      </w:r>
      <w:r>
        <w:rPr>
          <w:rFonts w:hint="eastAsia" w:ascii="宋体" w:hAnsi="宋体" w:cs="宋体"/>
          <w:spacing w:val="40"/>
          <w:sz w:val="28"/>
          <w:szCs w:val="28"/>
          <w:lang w:val="en-US" w:eastAsia="zh-CN"/>
        </w:rPr>
        <w:t>2021年预算数437.1万元增加了49.53万元，主要原因一是住房公积金因为补单位历年配套没有纳入年初预算增加了33.17万元；二是为了更好的开展医保工作增加了公用经费支出 印刷费、邮电费、办公费、工会经费合计7.97万元；三是劳务派遣人员增加相应工资等增加8.39万元。</w:t>
      </w:r>
    </w:p>
    <w:p>
      <w:pPr>
        <w:pStyle w:val="4"/>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项目支出情况</w:t>
      </w:r>
    </w:p>
    <w:p>
      <w:pPr>
        <w:keepNext w:val="0"/>
        <w:keepLines w:val="0"/>
        <w:pageBreakBefore w:val="0"/>
        <w:widowControl w:val="0"/>
        <w:kinsoku/>
        <w:wordWrap/>
        <w:overflowPunct/>
        <w:topLinePunct w:val="0"/>
        <w:autoSpaceDE w:val="0"/>
        <w:autoSpaceDN w:val="0"/>
        <w:bidi w:val="0"/>
        <w:adjustRightInd w:val="0"/>
        <w:snapToGrid w:val="0"/>
        <w:spacing w:before="0" w:line="600" w:lineRule="exact"/>
        <w:ind w:left="0" w:right="0" w:firstLine="560" w:firstLineChars="200"/>
        <w:jc w:val="both"/>
        <w:textAlignment w:val="auto"/>
        <w:rPr>
          <w:rFonts w:hint="eastAsia" w:ascii="宋体" w:hAnsi="宋体" w:eastAsia="宋体" w:cs="宋体"/>
          <w:sz w:val="28"/>
          <w:szCs w:val="28"/>
          <w:lang w:eastAsia="zh-CN"/>
        </w:rPr>
      </w:pPr>
      <w:r>
        <w:rPr>
          <w:rFonts w:hint="eastAsia" w:ascii="宋体" w:hAnsi="宋体" w:cs="宋体"/>
          <w:sz w:val="28"/>
          <w:szCs w:val="28"/>
          <w:lang w:eastAsia="zh-CN"/>
        </w:rPr>
        <w:t>项目支出</w:t>
      </w:r>
      <w:r>
        <w:rPr>
          <w:rFonts w:hint="eastAsia" w:ascii="宋体" w:hAnsi="宋体" w:eastAsia="宋体" w:cs="宋体"/>
          <w:sz w:val="28"/>
          <w:szCs w:val="28"/>
        </w:rPr>
        <w:t>两方面：一是</w:t>
      </w:r>
      <w:r>
        <w:rPr>
          <w:rFonts w:hint="eastAsia" w:ascii="宋体" w:hAnsi="宋体" w:eastAsia="宋体" w:cs="宋体"/>
          <w:w w:val="95"/>
          <w:sz w:val="28"/>
          <w:szCs w:val="28"/>
        </w:rPr>
        <w:t>202</w:t>
      </w:r>
      <w:r>
        <w:rPr>
          <w:rFonts w:hint="eastAsia" w:ascii="宋体" w:hAnsi="宋体" w:cs="宋体"/>
          <w:w w:val="95"/>
          <w:sz w:val="28"/>
          <w:szCs w:val="28"/>
          <w:lang w:val="en-US" w:eastAsia="zh-CN"/>
        </w:rPr>
        <w:t>1</w:t>
      </w:r>
      <w:r>
        <w:rPr>
          <w:rFonts w:hint="eastAsia" w:ascii="宋体" w:hAnsi="宋体" w:eastAsia="宋体" w:cs="宋体"/>
          <w:spacing w:val="8"/>
          <w:w w:val="95"/>
          <w:sz w:val="28"/>
          <w:szCs w:val="28"/>
        </w:rPr>
        <w:t>年本部门项目支出</w:t>
      </w:r>
      <w:r>
        <w:rPr>
          <w:rFonts w:hint="eastAsia" w:ascii="宋体" w:hAnsi="宋体" w:cs="宋体"/>
          <w:sz w:val="28"/>
          <w:szCs w:val="28"/>
          <w:lang w:val="en-US" w:eastAsia="zh-CN"/>
        </w:rPr>
        <w:t>40.3</w:t>
      </w:r>
      <w:r>
        <w:rPr>
          <w:rFonts w:hint="eastAsia" w:ascii="宋体" w:hAnsi="宋体" w:eastAsia="宋体" w:cs="宋体"/>
          <w:w w:val="95"/>
          <w:sz w:val="28"/>
          <w:szCs w:val="28"/>
        </w:rPr>
        <w:t>万元，主要是部门为完成特定行政工作任务或事业发展目标而发生的支出，包括业务工作经费、运行维护经费、事业发展专项、其他事业类发展资金、其他项目支出等，其中：</w:t>
      </w:r>
      <w:r>
        <w:rPr>
          <w:rFonts w:hint="eastAsia" w:ascii="宋体" w:hAnsi="宋体" w:eastAsia="宋体" w:cs="宋体"/>
          <w:spacing w:val="5"/>
          <w:w w:val="95"/>
          <w:sz w:val="28"/>
          <w:szCs w:val="28"/>
          <w:lang w:eastAsia="zh-CN"/>
        </w:rPr>
        <w:t>居民医保日常工作经费</w:t>
      </w:r>
      <w:r>
        <w:rPr>
          <w:rFonts w:hint="eastAsia" w:ascii="宋体" w:hAnsi="宋体" w:eastAsia="宋体" w:cs="宋体"/>
          <w:spacing w:val="5"/>
          <w:w w:val="95"/>
          <w:sz w:val="28"/>
          <w:szCs w:val="28"/>
          <w:lang w:val="en-US" w:eastAsia="zh-CN"/>
        </w:rPr>
        <w:t>8.8万元，主要用于居民医保日常工作方面；居民医保筹资工作经费4万元，主要用于居民医保筹资工作方面；征缴经费工作经费24万元，主要用于居民医保征缴工作方面；居民医保网络托管费3.5万元，主要用于居民医保网络维护方面。</w:t>
      </w:r>
      <w:r>
        <w:rPr>
          <w:rFonts w:hint="eastAsia" w:ascii="宋体" w:hAnsi="宋体" w:eastAsia="宋体" w:cs="宋体"/>
          <w:sz w:val="28"/>
          <w:szCs w:val="28"/>
        </w:rPr>
        <w:t>二是除专项资金以外的其他项目支出</w:t>
      </w:r>
      <w:r>
        <w:rPr>
          <w:rFonts w:hint="eastAsia" w:ascii="宋体" w:hAnsi="宋体" w:cs="宋体"/>
          <w:sz w:val="28"/>
          <w:szCs w:val="28"/>
          <w:lang w:eastAsia="zh-CN"/>
        </w:rPr>
        <w:t>，是我局争取的省医疗服务与保障能力提升补助项目</w:t>
      </w:r>
      <w:r>
        <w:rPr>
          <w:rFonts w:hint="eastAsia" w:ascii="宋体" w:hAnsi="宋体" w:cs="宋体"/>
          <w:sz w:val="28"/>
          <w:szCs w:val="28"/>
          <w:lang w:val="en-US" w:eastAsia="zh-CN"/>
        </w:rPr>
        <w:t>20万元</w:t>
      </w:r>
      <w:r>
        <w:rPr>
          <w:rFonts w:hint="eastAsia" w:ascii="宋体" w:hAnsi="宋体" w:cs="宋体"/>
          <w:sz w:val="28"/>
          <w:szCs w:val="28"/>
          <w:lang w:eastAsia="zh-CN"/>
        </w:rPr>
        <w:t>，主要用于：1、医保业务培训支出</w:t>
      </w:r>
      <w:r>
        <w:rPr>
          <w:rFonts w:hint="eastAsia" w:ascii="宋体" w:hAnsi="宋体" w:cs="宋体"/>
          <w:sz w:val="28"/>
          <w:szCs w:val="28"/>
          <w:lang w:val="en-US" w:eastAsia="zh-CN"/>
        </w:rPr>
        <w:t>0.39</w:t>
      </w:r>
      <w:r>
        <w:rPr>
          <w:rFonts w:hint="eastAsia" w:ascii="宋体" w:hAnsi="宋体" w:cs="宋体"/>
          <w:sz w:val="28"/>
          <w:szCs w:val="28"/>
          <w:lang w:eastAsia="zh-CN"/>
        </w:rPr>
        <w:t>万元；2、医保信息化建设支出</w:t>
      </w:r>
      <w:r>
        <w:rPr>
          <w:rFonts w:hint="eastAsia" w:ascii="宋体" w:hAnsi="宋体" w:cs="宋体"/>
          <w:sz w:val="28"/>
          <w:szCs w:val="28"/>
          <w:lang w:val="en-US" w:eastAsia="zh-CN"/>
        </w:rPr>
        <w:t>4.18</w:t>
      </w:r>
      <w:r>
        <w:rPr>
          <w:rFonts w:hint="eastAsia" w:ascii="宋体" w:hAnsi="宋体" w:cs="宋体"/>
          <w:sz w:val="28"/>
          <w:szCs w:val="28"/>
          <w:lang w:eastAsia="zh-CN"/>
        </w:rPr>
        <w:t>万元；3、医保基金监管支出</w:t>
      </w:r>
      <w:r>
        <w:rPr>
          <w:rFonts w:hint="eastAsia" w:ascii="宋体" w:hAnsi="宋体" w:cs="宋体"/>
          <w:sz w:val="28"/>
          <w:szCs w:val="28"/>
          <w:lang w:val="en-US" w:eastAsia="zh-CN"/>
        </w:rPr>
        <w:t>1.57</w:t>
      </w:r>
      <w:r>
        <w:rPr>
          <w:rFonts w:hint="eastAsia" w:ascii="宋体" w:hAnsi="宋体" w:cs="宋体"/>
          <w:sz w:val="28"/>
          <w:szCs w:val="28"/>
          <w:lang w:eastAsia="zh-CN"/>
        </w:rPr>
        <w:t>万元；4、医保政策宣传支出</w:t>
      </w:r>
      <w:r>
        <w:rPr>
          <w:rFonts w:hint="eastAsia" w:ascii="宋体" w:hAnsi="宋体" w:cs="宋体"/>
          <w:sz w:val="28"/>
          <w:szCs w:val="28"/>
          <w:lang w:val="en-US" w:eastAsia="zh-CN"/>
        </w:rPr>
        <w:t>9.35</w:t>
      </w:r>
      <w:r>
        <w:rPr>
          <w:rFonts w:hint="eastAsia" w:ascii="宋体" w:hAnsi="宋体" w:cs="宋体"/>
          <w:sz w:val="28"/>
          <w:szCs w:val="28"/>
          <w:lang w:eastAsia="zh-CN"/>
        </w:rPr>
        <w:t>万元；5、医保支付方式改革支出</w:t>
      </w:r>
      <w:r>
        <w:rPr>
          <w:rFonts w:hint="eastAsia" w:ascii="宋体" w:hAnsi="宋体" w:cs="宋体"/>
          <w:sz w:val="28"/>
          <w:szCs w:val="28"/>
          <w:lang w:val="en-US" w:eastAsia="zh-CN"/>
        </w:rPr>
        <w:t>0.73</w:t>
      </w:r>
      <w:r>
        <w:rPr>
          <w:rFonts w:hint="eastAsia" w:ascii="宋体" w:hAnsi="宋体" w:cs="宋体"/>
          <w:sz w:val="28"/>
          <w:szCs w:val="28"/>
          <w:lang w:eastAsia="zh-CN"/>
        </w:rPr>
        <w:t>万元；6、医保经办能力提升支出</w:t>
      </w:r>
      <w:r>
        <w:rPr>
          <w:rFonts w:hint="eastAsia" w:ascii="宋体" w:hAnsi="宋体" w:cs="宋体"/>
          <w:sz w:val="28"/>
          <w:szCs w:val="28"/>
          <w:lang w:val="en-US" w:eastAsia="zh-CN"/>
        </w:rPr>
        <w:t>3.78</w:t>
      </w:r>
      <w:r>
        <w:rPr>
          <w:rFonts w:hint="eastAsia" w:ascii="宋体" w:hAnsi="宋体" w:cs="宋体"/>
          <w:sz w:val="28"/>
          <w:szCs w:val="28"/>
          <w:lang w:eastAsia="zh-CN"/>
        </w:rPr>
        <w:t>万元。项目支出按年初预算安排执行。</w:t>
      </w:r>
    </w:p>
    <w:p>
      <w:pPr>
        <w:pStyle w:val="4"/>
        <w:widowControl/>
        <w:numPr>
          <w:ilvl w:val="0"/>
          <w:numId w:val="0"/>
        </w:numPr>
        <w:spacing w:line="600" w:lineRule="exact"/>
        <w:ind w:left="630" w:leftChars="0"/>
        <w:jc w:val="left"/>
        <w:rPr>
          <w:rFonts w:ascii="Times New Roman" w:hAnsi="Times New Roman" w:eastAsia="黑体"/>
          <w:sz w:val="32"/>
          <w:szCs w:val="32"/>
        </w:rPr>
      </w:pPr>
      <w:r>
        <w:rPr>
          <w:rFonts w:hint="eastAsia" w:ascii="Times New Roman" w:hAnsi="Times New Roman" w:eastAsia="黑体"/>
          <w:sz w:val="32"/>
          <w:szCs w:val="32"/>
          <w:lang w:eastAsia="zh-CN"/>
        </w:rPr>
        <w:t>三、</w:t>
      </w:r>
      <w:r>
        <w:rPr>
          <w:rFonts w:ascii="Times New Roman" w:hAnsi="Times New Roman" w:eastAsia="黑体"/>
          <w:sz w:val="32"/>
          <w:szCs w:val="32"/>
        </w:rPr>
        <w:t>政府性基金预算支出情况</w:t>
      </w:r>
    </w:p>
    <w:p>
      <w:pPr>
        <w:pStyle w:val="4"/>
        <w:widowControl/>
        <w:numPr>
          <w:ilvl w:val="0"/>
          <w:numId w:val="0"/>
        </w:numPr>
        <w:spacing w:line="600" w:lineRule="exact"/>
        <w:ind w:left="640" w:leftChars="0"/>
        <w:jc w:val="left"/>
        <w:rPr>
          <w:rFonts w:hint="eastAsia" w:ascii="Times New Roman" w:hAnsi="Times New Roman" w:eastAsia="黑体"/>
          <w:sz w:val="32"/>
          <w:szCs w:val="32"/>
          <w:lang w:eastAsia="zh-CN"/>
        </w:rPr>
      </w:pPr>
      <w:r>
        <w:rPr>
          <w:rFonts w:hint="eastAsia" w:ascii="Times New Roman" w:hAnsi="Times New Roman" w:eastAsia="黑体"/>
          <w:sz w:val="32"/>
          <w:szCs w:val="32"/>
          <w:lang w:eastAsia="zh-CN"/>
        </w:rPr>
        <w:t>无</w:t>
      </w:r>
    </w:p>
    <w:p>
      <w:pPr>
        <w:pStyle w:val="4"/>
        <w:widowControl/>
        <w:numPr>
          <w:ilvl w:val="0"/>
          <w:numId w:val="0"/>
        </w:numPr>
        <w:spacing w:line="600" w:lineRule="exact"/>
        <w:ind w:left="640" w:leftChars="0"/>
        <w:jc w:val="left"/>
        <w:rPr>
          <w:rFonts w:hint="eastAsia" w:ascii="Times New Roman" w:hAnsi="Times New Roman" w:eastAsia="黑体"/>
          <w:sz w:val="32"/>
          <w:szCs w:val="32"/>
          <w:lang w:eastAsia="zh-CN"/>
        </w:rPr>
      </w:pPr>
      <w:r>
        <w:rPr>
          <w:rFonts w:hint="eastAsia" w:ascii="Times New Roman" w:hAnsi="Times New Roman" w:eastAsia="黑体"/>
          <w:sz w:val="32"/>
          <w:szCs w:val="32"/>
          <w:lang w:eastAsia="zh-CN"/>
        </w:rPr>
        <w:t>四、部门整体绩效情况</w:t>
      </w:r>
    </w:p>
    <w:p>
      <w:pPr>
        <w:spacing w:beforeLines="50" w:afterLines="50" w:line="360" w:lineRule="auto"/>
        <w:ind w:firstLine="700" w:firstLineChars="250"/>
        <w:rPr>
          <w:rFonts w:hint="eastAsia" w:ascii="宋体" w:hAnsi="宋体" w:eastAsia="宋体" w:cs="宋体"/>
          <w:sz w:val="28"/>
          <w:szCs w:val="28"/>
          <w:lang w:val="en-US" w:eastAsia="zh-CN"/>
        </w:rPr>
      </w:pPr>
      <w:r>
        <w:rPr>
          <w:rFonts w:hint="eastAsia" w:ascii="宋体" w:hAnsi="宋体" w:eastAsia="宋体" w:cs="宋体"/>
          <w:sz w:val="28"/>
          <w:szCs w:val="28"/>
        </w:rPr>
        <w:t>202</w:t>
      </w:r>
      <w:r>
        <w:rPr>
          <w:rFonts w:hint="eastAsia" w:ascii="宋体" w:hAnsi="宋体" w:eastAsia="宋体" w:cs="宋体"/>
          <w:sz w:val="28"/>
          <w:szCs w:val="28"/>
          <w:lang w:val="en-US" w:eastAsia="zh-CN"/>
        </w:rPr>
        <w:t>1</w:t>
      </w:r>
      <w:r>
        <w:rPr>
          <w:rFonts w:hint="eastAsia" w:ascii="宋体" w:hAnsi="宋体" w:eastAsia="宋体" w:cs="宋体"/>
          <w:sz w:val="28"/>
          <w:szCs w:val="28"/>
        </w:rPr>
        <w:t>年我局征缴入库</w:t>
      </w:r>
      <w:r>
        <w:rPr>
          <w:rFonts w:hint="eastAsia" w:ascii="宋体" w:hAnsi="宋体" w:eastAsia="宋体" w:cs="宋体"/>
          <w:sz w:val="28"/>
          <w:szCs w:val="28"/>
          <w:lang w:eastAsia="zh-CN"/>
        </w:rPr>
        <w:t>医疗</w:t>
      </w:r>
      <w:r>
        <w:rPr>
          <w:rFonts w:hint="eastAsia" w:ascii="宋体" w:hAnsi="宋体" w:eastAsia="宋体" w:cs="宋体"/>
          <w:sz w:val="28"/>
          <w:szCs w:val="28"/>
        </w:rPr>
        <w:t>保险费</w:t>
      </w:r>
      <w:r>
        <w:rPr>
          <w:rFonts w:hint="eastAsia" w:ascii="宋体" w:hAnsi="宋体" w:cs="宋体"/>
          <w:sz w:val="28"/>
          <w:szCs w:val="28"/>
          <w:lang w:val="en-US" w:eastAsia="zh-CN"/>
        </w:rPr>
        <w:t>10744</w:t>
      </w:r>
      <w:r>
        <w:rPr>
          <w:rFonts w:hint="eastAsia" w:ascii="宋体" w:hAnsi="宋体" w:eastAsia="宋体" w:cs="宋体"/>
          <w:sz w:val="28"/>
          <w:szCs w:val="28"/>
        </w:rPr>
        <w:t>万元。其中：</w:t>
      </w:r>
      <w:r>
        <w:rPr>
          <w:rFonts w:hint="eastAsia" w:ascii="宋体" w:hAnsi="宋体" w:eastAsia="宋体" w:cs="宋体"/>
          <w:sz w:val="28"/>
          <w:szCs w:val="28"/>
          <w:lang w:eastAsia="zh-CN"/>
        </w:rPr>
        <w:t>城镇职工医疗保险</w:t>
      </w:r>
      <w:r>
        <w:rPr>
          <w:rFonts w:hint="eastAsia" w:ascii="宋体" w:hAnsi="宋体" w:cs="宋体"/>
          <w:sz w:val="28"/>
          <w:szCs w:val="28"/>
          <w:lang w:val="en-US" w:eastAsia="zh-CN"/>
        </w:rPr>
        <w:t>5534</w:t>
      </w:r>
      <w:r>
        <w:rPr>
          <w:rFonts w:hint="eastAsia" w:ascii="宋体" w:hAnsi="宋体" w:eastAsia="宋体" w:cs="宋体"/>
          <w:sz w:val="28"/>
          <w:szCs w:val="28"/>
        </w:rPr>
        <w:t>万元</w:t>
      </w:r>
      <w:r>
        <w:rPr>
          <w:rFonts w:hint="eastAsia" w:ascii="宋体" w:hAnsi="宋体" w:eastAsia="宋体" w:cs="宋体"/>
          <w:sz w:val="28"/>
          <w:szCs w:val="28"/>
          <w:lang w:eastAsia="zh-CN"/>
        </w:rPr>
        <w:t>，</w:t>
      </w:r>
      <w:r>
        <w:rPr>
          <w:rFonts w:hint="eastAsia" w:ascii="宋体" w:hAnsi="宋体" w:eastAsia="宋体" w:cs="宋体"/>
          <w:sz w:val="28"/>
          <w:szCs w:val="28"/>
        </w:rPr>
        <w:t>城乡居民</w:t>
      </w:r>
      <w:r>
        <w:rPr>
          <w:rFonts w:hint="eastAsia" w:ascii="宋体" w:hAnsi="宋体" w:eastAsia="宋体" w:cs="宋体"/>
          <w:sz w:val="28"/>
          <w:szCs w:val="28"/>
          <w:lang w:eastAsia="zh-CN"/>
        </w:rPr>
        <w:t>医疗</w:t>
      </w:r>
      <w:r>
        <w:rPr>
          <w:rFonts w:hint="eastAsia" w:ascii="宋体" w:hAnsi="宋体" w:eastAsia="宋体" w:cs="宋体"/>
          <w:sz w:val="28"/>
          <w:szCs w:val="28"/>
        </w:rPr>
        <w:t>保险</w:t>
      </w:r>
      <w:r>
        <w:rPr>
          <w:rFonts w:hint="eastAsia" w:ascii="宋体" w:hAnsi="宋体" w:cs="宋体"/>
          <w:sz w:val="28"/>
          <w:szCs w:val="28"/>
          <w:lang w:val="en-US" w:eastAsia="zh-CN"/>
        </w:rPr>
        <w:t>5210</w:t>
      </w:r>
      <w:r>
        <w:rPr>
          <w:rFonts w:hint="eastAsia" w:ascii="宋体" w:hAnsi="宋体" w:eastAsia="宋体" w:cs="宋体"/>
          <w:sz w:val="28"/>
          <w:szCs w:val="28"/>
        </w:rPr>
        <w:t>万元。争取上级专项补助资金为</w:t>
      </w:r>
      <w:r>
        <w:rPr>
          <w:rFonts w:hint="eastAsia" w:ascii="宋体" w:hAnsi="宋体" w:cs="宋体"/>
          <w:sz w:val="28"/>
          <w:szCs w:val="28"/>
          <w:lang w:val="en-US" w:eastAsia="zh-CN"/>
        </w:rPr>
        <w:t>9534.36</w:t>
      </w:r>
      <w:r>
        <w:rPr>
          <w:rFonts w:hint="eastAsia" w:ascii="宋体" w:hAnsi="宋体" w:eastAsia="宋体" w:cs="宋体"/>
          <w:sz w:val="28"/>
          <w:szCs w:val="28"/>
        </w:rPr>
        <w:t>万元，其中</w:t>
      </w:r>
      <w:r>
        <w:rPr>
          <w:rFonts w:hint="eastAsia" w:ascii="宋体" w:hAnsi="宋体" w:eastAsia="宋体" w:cs="宋体"/>
          <w:sz w:val="28"/>
          <w:szCs w:val="28"/>
          <w:lang w:eastAsia="zh-CN"/>
        </w:rPr>
        <w:t>城乡居民医疗</w:t>
      </w:r>
      <w:r>
        <w:rPr>
          <w:rFonts w:hint="eastAsia" w:ascii="宋体" w:hAnsi="宋体" w:eastAsia="宋体" w:cs="宋体"/>
          <w:sz w:val="28"/>
          <w:szCs w:val="28"/>
        </w:rPr>
        <w:t>保险</w:t>
      </w:r>
      <w:r>
        <w:rPr>
          <w:rFonts w:hint="eastAsia" w:ascii="宋体" w:hAnsi="宋体" w:cs="宋体"/>
          <w:sz w:val="28"/>
          <w:szCs w:val="28"/>
          <w:lang w:val="en-US" w:eastAsia="zh-CN"/>
        </w:rPr>
        <w:t>8941.8</w:t>
      </w:r>
      <w:r>
        <w:rPr>
          <w:rFonts w:hint="eastAsia" w:ascii="宋体" w:hAnsi="宋体" w:eastAsia="宋体" w:cs="宋体"/>
          <w:sz w:val="28"/>
          <w:szCs w:val="28"/>
        </w:rPr>
        <w:t>万元；</w:t>
      </w:r>
      <w:r>
        <w:rPr>
          <w:rFonts w:hint="eastAsia" w:ascii="宋体" w:hAnsi="宋体" w:eastAsia="宋体" w:cs="宋体"/>
          <w:sz w:val="28"/>
          <w:szCs w:val="28"/>
          <w:lang w:eastAsia="zh-CN"/>
        </w:rPr>
        <w:t>医疗救助</w:t>
      </w:r>
      <w:r>
        <w:rPr>
          <w:rFonts w:hint="eastAsia" w:ascii="宋体" w:hAnsi="宋体" w:cs="宋体"/>
          <w:sz w:val="28"/>
          <w:szCs w:val="28"/>
          <w:lang w:val="en-US" w:eastAsia="zh-CN"/>
        </w:rPr>
        <w:t>592.56</w:t>
      </w:r>
      <w:r>
        <w:rPr>
          <w:rFonts w:hint="eastAsia" w:ascii="宋体" w:hAnsi="宋体" w:eastAsia="宋体" w:cs="宋体"/>
          <w:sz w:val="28"/>
          <w:szCs w:val="28"/>
        </w:rPr>
        <w:t>万元。全面完成了年度目标任务。医疗保险基金是社会保险的生命线</w:t>
      </w:r>
      <w:r>
        <w:rPr>
          <w:rFonts w:hint="eastAsia" w:ascii="宋体" w:hAnsi="宋体" w:eastAsia="宋体" w:cs="宋体"/>
          <w:sz w:val="28"/>
          <w:szCs w:val="28"/>
          <w:lang w:eastAsia="zh-CN"/>
        </w:rPr>
        <w:t>。</w:t>
      </w:r>
      <w:r>
        <w:rPr>
          <w:rFonts w:hint="eastAsia" w:ascii="宋体" w:hAnsi="宋体" w:eastAsia="宋体" w:cs="宋体"/>
          <w:sz w:val="28"/>
          <w:szCs w:val="28"/>
        </w:rPr>
        <w:t>基金安全关乎广大参保人员的切身利益</w:t>
      </w:r>
      <w:r>
        <w:rPr>
          <w:rFonts w:hint="eastAsia" w:ascii="宋体" w:hAnsi="宋体" w:eastAsia="宋体" w:cs="宋体"/>
          <w:sz w:val="28"/>
          <w:szCs w:val="28"/>
          <w:lang w:eastAsia="zh-CN"/>
        </w:rPr>
        <w:t>、</w:t>
      </w:r>
      <w:r>
        <w:rPr>
          <w:rFonts w:hint="eastAsia" w:ascii="宋体" w:hAnsi="宋体" w:eastAsia="宋体" w:cs="宋体"/>
          <w:sz w:val="28"/>
          <w:szCs w:val="28"/>
        </w:rPr>
        <w:t>社会和谐稳定，也事关党和政府的执行力和公信力。为强化和确保基金</w:t>
      </w:r>
      <w:bookmarkStart w:id="0" w:name="_GoBack"/>
      <w:bookmarkEnd w:id="0"/>
      <w:r>
        <w:rPr>
          <w:rFonts w:hint="eastAsia" w:ascii="宋体" w:hAnsi="宋体" w:eastAsia="宋体" w:cs="宋体"/>
          <w:sz w:val="28"/>
          <w:szCs w:val="28"/>
        </w:rPr>
        <w:t>安全，通过绩效目标</w:t>
      </w:r>
      <w:r>
        <w:rPr>
          <w:rFonts w:hint="eastAsia" w:ascii="宋体" w:hAnsi="宋体" w:eastAsia="宋体" w:cs="宋体"/>
          <w:sz w:val="28"/>
          <w:szCs w:val="28"/>
          <w:lang w:eastAsia="zh-CN"/>
        </w:rPr>
        <w:t>自评</w:t>
      </w:r>
      <w:r>
        <w:rPr>
          <w:rFonts w:hint="eastAsia" w:ascii="宋体" w:hAnsi="宋体" w:eastAsia="宋体" w:cs="宋体"/>
          <w:sz w:val="28"/>
          <w:szCs w:val="28"/>
        </w:rPr>
        <w:t>的开展，找出了目标实现的一些缺陷和问题，并总结出了一些项目绩效管理的经验</w:t>
      </w:r>
      <w:r>
        <w:rPr>
          <w:rFonts w:hint="eastAsia" w:ascii="宋体" w:hAnsi="宋体" w:eastAsia="宋体" w:cs="宋体"/>
          <w:sz w:val="28"/>
          <w:szCs w:val="28"/>
          <w:lang w:val="en-US" w:eastAsia="zh-CN"/>
        </w:rPr>
        <w:t>,</w:t>
      </w:r>
      <w:r>
        <w:rPr>
          <w:rFonts w:hint="eastAsia" w:ascii="宋体" w:hAnsi="宋体" w:eastAsia="宋体" w:cs="宋体"/>
          <w:sz w:val="28"/>
          <w:szCs w:val="28"/>
        </w:rPr>
        <w:t>社会公众对全局的满意度达95%以上。对于管理工作起到一定的借鉴作用，有效地保证了绩效评价结果的客观性、准确性和可参考性。</w:t>
      </w:r>
    </w:p>
    <w:p>
      <w:pPr>
        <w:pStyle w:val="4"/>
        <w:widowControl/>
        <w:numPr>
          <w:ilvl w:val="0"/>
          <w:numId w:val="0"/>
        </w:numPr>
        <w:spacing w:line="600" w:lineRule="exact"/>
        <w:ind w:left="1050" w:leftChars="0"/>
        <w:jc w:val="left"/>
        <w:rPr>
          <w:rFonts w:ascii="Times New Roman" w:hAnsi="Times New Roman" w:eastAsia="黑体"/>
          <w:sz w:val="32"/>
          <w:szCs w:val="32"/>
        </w:rPr>
      </w:pPr>
      <w:r>
        <w:rPr>
          <w:rFonts w:hint="eastAsia" w:ascii="Times New Roman" w:hAnsi="Times New Roman" w:eastAsia="黑体"/>
          <w:sz w:val="32"/>
          <w:szCs w:val="32"/>
          <w:lang w:eastAsia="zh-CN"/>
        </w:rPr>
        <w:t>五、</w:t>
      </w:r>
      <w:r>
        <w:rPr>
          <w:rFonts w:ascii="Times New Roman" w:hAnsi="Times New Roman" w:eastAsia="黑体"/>
          <w:sz w:val="32"/>
          <w:szCs w:val="32"/>
        </w:rPr>
        <w:t>存在的问题及原因分析</w:t>
      </w:r>
    </w:p>
    <w:p>
      <w:pPr>
        <w:widowControl/>
        <w:spacing w:line="600" w:lineRule="exact"/>
        <w:ind w:firstLine="560" w:firstLineChars="200"/>
        <w:jc w:val="left"/>
        <w:rPr>
          <w:rFonts w:hint="eastAsia" w:ascii="仿宋" w:hAnsi="仿宋" w:eastAsia="仿宋" w:cs="仿宋_GB2312"/>
          <w:sz w:val="32"/>
          <w:szCs w:val="32"/>
          <w:lang w:eastAsia="zh-CN"/>
        </w:rPr>
      </w:pPr>
      <w:r>
        <w:rPr>
          <w:rFonts w:hint="eastAsia" w:ascii="宋体" w:hAnsi="宋体" w:eastAsia="宋体" w:cs="宋体"/>
          <w:sz w:val="28"/>
          <w:szCs w:val="28"/>
        </w:rPr>
        <w:t>绩效目标预算编制</w:t>
      </w:r>
      <w:r>
        <w:rPr>
          <w:rFonts w:hint="eastAsia" w:ascii="宋体" w:hAnsi="宋体" w:eastAsia="宋体" w:cs="宋体"/>
          <w:sz w:val="28"/>
          <w:szCs w:val="28"/>
          <w:lang w:eastAsia="zh-CN"/>
        </w:rPr>
        <w:t>有偏差</w:t>
      </w:r>
      <w:r>
        <w:rPr>
          <w:rFonts w:hint="eastAsia" w:ascii="宋体" w:hAnsi="宋体" w:eastAsia="宋体" w:cs="宋体"/>
          <w:sz w:val="28"/>
          <w:szCs w:val="28"/>
        </w:rPr>
        <w:t>,影响了绩效考评报告的质量。</w:t>
      </w:r>
      <w:r>
        <w:rPr>
          <w:rFonts w:hint="eastAsia" w:ascii="宋体" w:hAnsi="宋体" w:eastAsia="宋体" w:cs="宋体"/>
          <w:sz w:val="28"/>
          <w:szCs w:val="28"/>
          <w:lang w:eastAsia="zh-CN"/>
        </w:rPr>
        <w:t>分析</w:t>
      </w:r>
      <w:r>
        <w:rPr>
          <w:rFonts w:hint="eastAsia" w:ascii="宋体" w:hAnsi="宋体" w:eastAsia="宋体" w:cs="宋体"/>
          <w:sz w:val="28"/>
          <w:szCs w:val="28"/>
        </w:rPr>
        <w:t>原因是</w:t>
      </w:r>
      <w:r>
        <w:rPr>
          <w:rFonts w:hint="eastAsia" w:ascii="宋体" w:hAnsi="宋体" w:eastAsia="宋体" w:cs="宋体"/>
          <w:sz w:val="28"/>
          <w:szCs w:val="28"/>
          <w:lang w:eastAsia="zh-CN"/>
        </w:rPr>
        <w:t>年初预算和决算有差额，主要中途有结算方式和数据调整，信息系统没有及时进行相应调整。</w:t>
      </w:r>
    </w:p>
    <w:p>
      <w:pPr>
        <w:widowControl/>
        <w:numPr>
          <w:ilvl w:val="0"/>
          <w:numId w:val="0"/>
        </w:numPr>
        <w:spacing w:line="600" w:lineRule="exact"/>
        <w:ind w:left="1050" w:leftChars="0"/>
        <w:jc w:val="left"/>
        <w:rPr>
          <w:rFonts w:eastAsia="黑体"/>
          <w:sz w:val="32"/>
          <w:szCs w:val="32"/>
        </w:rPr>
      </w:pPr>
      <w:r>
        <w:rPr>
          <w:rFonts w:hint="eastAsia" w:eastAsia="黑体"/>
          <w:sz w:val="32"/>
          <w:szCs w:val="32"/>
          <w:lang w:eastAsia="zh-CN"/>
        </w:rPr>
        <w:t>六、</w:t>
      </w:r>
      <w:r>
        <w:rPr>
          <w:rFonts w:eastAsia="黑体"/>
          <w:sz w:val="32"/>
          <w:szCs w:val="32"/>
        </w:rPr>
        <w:t>下一步改进措施</w:t>
      </w:r>
    </w:p>
    <w:p>
      <w:pPr>
        <w:widowControl/>
        <w:spacing w:line="600" w:lineRule="exact"/>
        <w:ind w:firstLine="560" w:firstLineChars="200"/>
        <w:jc w:val="left"/>
        <w:rPr>
          <w:rFonts w:hint="eastAsia" w:ascii="宋体" w:hAnsi="宋体" w:eastAsia="宋体" w:cs="宋体"/>
          <w:sz w:val="28"/>
          <w:szCs w:val="28"/>
        </w:rPr>
      </w:pPr>
      <w:r>
        <w:rPr>
          <w:rFonts w:hint="eastAsia" w:ascii="宋体" w:hAnsi="宋体" w:eastAsia="宋体" w:cs="宋体"/>
          <w:bCs/>
          <w:sz w:val="28"/>
          <w:szCs w:val="28"/>
          <w:lang w:eastAsia="zh-CN"/>
        </w:rPr>
        <w:t>年初编制预算时，综合前三年收</w:t>
      </w:r>
      <w:r>
        <w:rPr>
          <w:rFonts w:hint="eastAsia" w:ascii="宋体" w:hAnsi="宋体" w:eastAsia="宋体" w:cs="宋体"/>
          <w:sz w:val="28"/>
          <w:szCs w:val="28"/>
        </w:rPr>
        <w:t>支情况</w:t>
      </w:r>
      <w:r>
        <w:rPr>
          <w:rFonts w:hint="eastAsia" w:ascii="宋体" w:hAnsi="宋体" w:eastAsia="宋体" w:cs="宋体"/>
          <w:sz w:val="28"/>
          <w:szCs w:val="28"/>
          <w:lang w:eastAsia="zh-CN"/>
        </w:rPr>
        <w:t>进行分析测算</w:t>
      </w:r>
      <w:r>
        <w:rPr>
          <w:rFonts w:hint="eastAsia" w:ascii="宋体" w:hAnsi="宋体" w:eastAsia="宋体" w:cs="宋体"/>
          <w:sz w:val="28"/>
          <w:szCs w:val="28"/>
        </w:rPr>
        <w:t>，</w:t>
      </w:r>
      <w:r>
        <w:rPr>
          <w:rFonts w:hint="eastAsia" w:ascii="宋体" w:hAnsi="宋体" w:eastAsia="宋体" w:cs="宋体"/>
          <w:sz w:val="28"/>
          <w:szCs w:val="28"/>
          <w:lang w:eastAsia="zh-CN"/>
        </w:rPr>
        <w:t>力争编制的预算更加合理能够高效管理和使用资金。</w:t>
      </w:r>
    </w:p>
    <w:p>
      <w:pPr>
        <w:widowControl/>
        <w:numPr>
          <w:ilvl w:val="0"/>
          <w:numId w:val="0"/>
        </w:numPr>
        <w:spacing w:line="600" w:lineRule="exact"/>
        <w:ind w:left="1050" w:leftChars="0"/>
        <w:jc w:val="left"/>
        <w:rPr>
          <w:rFonts w:eastAsia="黑体"/>
          <w:sz w:val="32"/>
          <w:szCs w:val="32"/>
        </w:rPr>
      </w:pPr>
      <w:r>
        <w:rPr>
          <w:rFonts w:hint="eastAsia" w:eastAsia="黑体"/>
          <w:sz w:val="32"/>
          <w:szCs w:val="32"/>
          <w:lang w:eastAsia="zh-CN"/>
        </w:rPr>
        <w:t>七、</w:t>
      </w:r>
      <w:r>
        <w:rPr>
          <w:rFonts w:eastAsia="黑体"/>
          <w:sz w:val="32"/>
          <w:szCs w:val="32"/>
        </w:rPr>
        <w:t>其他需要说明的情况</w:t>
      </w:r>
    </w:p>
    <w:p>
      <w:pPr>
        <w:widowControl/>
        <w:numPr>
          <w:ilvl w:val="0"/>
          <w:numId w:val="0"/>
        </w:numPr>
        <w:spacing w:line="600" w:lineRule="exact"/>
        <w:ind w:left="645" w:leftChars="0" w:firstLine="280" w:firstLineChars="100"/>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无</w:t>
      </w:r>
    </w:p>
    <w:p>
      <w:pPr>
        <w:widowControl/>
        <w:spacing w:line="600" w:lineRule="exact"/>
        <w:ind w:firstLine="645"/>
        <w:jc w:val="left"/>
        <w:rPr>
          <w:rFonts w:hint="eastAsia" w:ascii="宋体" w:hAnsi="宋体" w:eastAsia="宋体" w:cs="宋体"/>
          <w:sz w:val="28"/>
          <w:szCs w:val="28"/>
          <w:lang w:val="en-US" w:eastAsia="zh-CN"/>
        </w:rPr>
      </w:pPr>
      <w:r>
        <w:rPr>
          <w:rFonts w:hint="eastAsia"/>
          <w:lang w:val="en-US" w:eastAsia="zh-CN"/>
        </w:rPr>
        <w:t xml:space="preserve">                                                </w:t>
      </w:r>
      <w:r>
        <w:rPr>
          <w:rFonts w:hint="eastAsia" w:ascii="宋体" w:hAnsi="宋体" w:eastAsia="宋体" w:cs="宋体"/>
          <w:sz w:val="28"/>
          <w:szCs w:val="28"/>
          <w:lang w:val="en-US" w:eastAsia="zh-CN"/>
        </w:rPr>
        <w:t xml:space="preserve">  2022年3月24日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1D9767"/>
    <w:multiLevelType w:val="singleLevel"/>
    <w:tmpl w:val="451D9767"/>
    <w:lvl w:ilvl="0" w:tentative="0">
      <w:start w:val="1"/>
      <w:numFmt w:val="chineseCounting"/>
      <w:suff w:val="nothing"/>
      <w:lvlText w:val="%1、"/>
      <w:lvlJc w:val="left"/>
      <w:pPr>
        <w:ind w:left="-1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076E09"/>
    <w:rsid w:val="0252512A"/>
    <w:rsid w:val="23101BE1"/>
    <w:rsid w:val="2C1031B9"/>
    <w:rsid w:val="3A076E09"/>
    <w:rsid w:val="3B8F3226"/>
    <w:rsid w:val="5A9D5D9B"/>
    <w:rsid w:val="7FDD66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81</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2021-03-15T06:50:00Z</dcterms:created>
  <dc:creator>Administrator</dc:creator>
  <cp:lastModifiedBy>Administrator</cp:lastModifiedBy>
  <dcterms:modified xsi:type="dcterms:W3CDTF">2022-03-25T03:01:05Z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7D43B314F7C24157BF42E5D065D8A65F</vt:lpwstr>
  </property>
</Properties>
</file>