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津市市残疾人联合会残疾人就业保障金项目2021年度</w:t>
      </w:r>
      <w:r>
        <w:rPr>
          <w:rFonts w:hint="eastAsia" w:eastAsia="方正小标宋_GBK"/>
          <w:sz w:val="36"/>
          <w:szCs w:val="36"/>
          <w:lang w:eastAsia="zh-CN"/>
        </w:rPr>
        <w:t>项目</w:t>
      </w:r>
      <w:r>
        <w:rPr>
          <w:rFonts w:eastAsia="方正小标宋_GBK"/>
          <w:sz w:val="36"/>
          <w:szCs w:val="36"/>
        </w:rPr>
        <w:t>支出绩效报告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1、部门基本概况</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（一）职能职责。</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（1）密切联系残疾人，听取残疾人意见，反映残疾人需求，维护残疾人权益，为残疾人服务。</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（2）开展和促进残疾人康复、残疾人辅助器具供应、劳动就业培训、扶贫、文化体育、无障碍设施改造和残疾预防工作，创造良好的环境和条件，扶助残疾人平等参与社会生活。</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（3）会同有关部门指导和管理各类残疾人社团组织。</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（4）承担市人民政府残疾人工作委员会的日常工作。</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（二）机构设置。</w:t>
      </w:r>
    </w:p>
    <w:p>
      <w:pPr>
        <w:adjustRightInd w:val="0"/>
        <w:snapToGrid w:val="0"/>
        <w:spacing w:line="600" w:lineRule="exact"/>
        <w:ind w:firstLine="640" w:firstLineChars="200"/>
        <w:rPr>
          <w:rFonts w:eastAsia="仿宋_GB2312"/>
          <w:sz w:val="32"/>
          <w:szCs w:val="32"/>
        </w:rPr>
      </w:pPr>
      <w:r>
        <w:rPr>
          <w:rFonts w:hint="eastAsia" w:ascii="仿宋" w:hAnsi="仿宋" w:eastAsia="仿宋" w:cs="仿宋"/>
          <w:sz w:val="32"/>
          <w:szCs w:val="32"/>
        </w:rPr>
        <w:t>从预算单位构成看，我单位内设股室</w:t>
      </w:r>
      <w:r>
        <w:rPr>
          <w:rFonts w:hint="eastAsia" w:ascii="仿宋" w:hAnsi="仿宋" w:eastAsia="仿宋" w:cs="仿宋"/>
          <w:sz w:val="32"/>
          <w:szCs w:val="32"/>
          <w:lang w:val="en-US" w:eastAsia="zh-CN"/>
        </w:rPr>
        <w:t>5</w:t>
      </w:r>
      <w:r>
        <w:rPr>
          <w:rFonts w:hint="eastAsia" w:ascii="仿宋" w:hAnsi="仿宋" w:eastAsia="仿宋" w:cs="仿宋"/>
          <w:sz w:val="32"/>
          <w:szCs w:val="32"/>
        </w:rPr>
        <w:t>个，所属事业单位1个。单位内设股室分别是办公室、维权股、康复股、财务股</w:t>
      </w:r>
      <w:r>
        <w:rPr>
          <w:rFonts w:hint="eastAsia" w:ascii="仿宋" w:hAnsi="仿宋" w:eastAsia="仿宋" w:cs="仿宋"/>
          <w:sz w:val="32"/>
          <w:szCs w:val="32"/>
          <w:lang w:eastAsia="zh-CN"/>
        </w:rPr>
        <w:t>和</w:t>
      </w:r>
      <w:r>
        <w:rPr>
          <w:rFonts w:hint="eastAsia" w:ascii="仿宋" w:hAnsi="仿宋" w:eastAsia="仿宋" w:cs="仿宋"/>
          <w:sz w:val="32"/>
          <w:szCs w:val="32"/>
        </w:rPr>
        <w:t>群宣就业股，所属事业单位是津市市残疾人就业服务所。全部纳入202</w:t>
      </w:r>
      <w:r>
        <w:rPr>
          <w:rFonts w:hint="eastAsia" w:ascii="仿宋" w:hAnsi="仿宋" w:eastAsia="仿宋" w:cs="仿宋"/>
          <w:sz w:val="32"/>
          <w:szCs w:val="32"/>
          <w:lang w:val="en-US" w:eastAsia="zh-CN"/>
        </w:rPr>
        <w:t>1</w:t>
      </w:r>
      <w:r>
        <w:rPr>
          <w:rFonts w:hint="eastAsia" w:ascii="仿宋" w:hAnsi="仿宋" w:eastAsia="仿宋" w:cs="仿宋"/>
          <w:sz w:val="32"/>
          <w:szCs w:val="32"/>
        </w:rPr>
        <w:t>年部门预算编制范围。</w:t>
      </w:r>
    </w:p>
    <w:p>
      <w:pPr>
        <w:numPr>
          <w:ilvl w:val="0"/>
          <w:numId w:val="1"/>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基本情况包括</w:t>
      </w:r>
      <w:r>
        <w:rPr>
          <w:rFonts w:hint="eastAsia" w:eastAsia="仿宋_GB2312"/>
          <w:sz w:val="32"/>
          <w:szCs w:val="32"/>
          <w:lang w:eastAsia="zh-CN"/>
        </w:rPr>
        <w:t>项目</w:t>
      </w:r>
      <w:r>
        <w:rPr>
          <w:rFonts w:eastAsia="仿宋_GB2312"/>
          <w:sz w:val="32"/>
          <w:szCs w:val="32"/>
        </w:rPr>
        <w:t>基本性质、用途和主要内容、涉及范围等。</w:t>
      </w:r>
    </w:p>
    <w:p>
      <w:pPr>
        <w:adjustRightInd w:val="0"/>
        <w:snapToGrid w:val="0"/>
        <w:spacing w:line="600" w:lineRule="exact"/>
        <w:ind w:firstLine="640" w:firstLineChars="200"/>
        <w:rPr>
          <w:rFonts w:eastAsia="仿宋_GB2312"/>
          <w:sz w:val="32"/>
          <w:szCs w:val="32"/>
        </w:rPr>
      </w:pPr>
      <w:r>
        <w:rPr>
          <w:rFonts w:hint="eastAsia" w:ascii="仿宋" w:hAnsi="仿宋" w:eastAsia="仿宋" w:cs="仿宋"/>
          <w:sz w:val="32"/>
          <w:szCs w:val="32"/>
          <w:lang w:eastAsia="zh-CN"/>
        </w:rPr>
        <w:t>残疾人就业保障金是残联的一项延续专项，纳入地方一般公共预算统筹安排，其用途、主要内容及范围是：补贴残疾人参加培训、教育和扶残助学费用；扶持残疾人从事个体就业、自主创业及社区就业；扶持农村残疾人从事种养殖业、旅游及多种经营；补贴残疾人就业岗位和社会保险费用；安排残疾人就业单位为改善残疾人就业条件，用于无障碍设施改造项目费用补贴及奖励安排残疾人就业工作成绩突出单位的费用；适当补助残疾人就业服务机构经费支出及有关就业服务费用补贴；组织就业困难残疾人开展职业康复费用补贴；补贴困难残疾人生活和社会保障费用等。</w:t>
      </w:r>
    </w:p>
    <w:p>
      <w:pPr>
        <w:numPr>
          <w:ilvl w:val="0"/>
          <w:numId w:val="1"/>
        </w:numPr>
        <w:adjustRightInd w:val="0"/>
        <w:snapToGrid w:val="0"/>
        <w:spacing w:line="60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绩效目标，包括总体目标和年度目标。</w:t>
      </w:r>
    </w:p>
    <w:p>
      <w:pPr>
        <w:adjustRightInd w:val="0"/>
        <w:snapToGrid w:val="0"/>
        <w:spacing w:line="600" w:lineRule="exact"/>
        <w:ind w:firstLine="640" w:firstLineChars="200"/>
        <w:rPr>
          <w:rFonts w:eastAsia="仿宋_GB2312"/>
          <w:sz w:val="32"/>
          <w:szCs w:val="32"/>
        </w:rPr>
      </w:pPr>
      <w:r>
        <w:rPr>
          <w:rFonts w:hint="eastAsia" w:ascii="仿宋" w:hAnsi="仿宋" w:eastAsia="仿宋" w:cs="仿宋"/>
          <w:sz w:val="32"/>
          <w:szCs w:val="32"/>
          <w:lang w:eastAsia="zh-CN"/>
        </w:rPr>
        <w:t>专项长期总体绩效目标是：促进和扶持残疾人就业和创业，帮助残疾人融入社会，解除残疾人后顾之忧，保障残疾人权益，维护社会稳定，以利于全市社会经济可持续发展。专项年度绩效目标是：为残疾人免费提供辅助器具、白内障手术、假肢安装、0-6岁儿童康复训练和精神病住院和服药救助；为就业年龄段的残疾人免费提供就业培训、扶持残疾人创业、对残疾大学生和困难残疾人子女就学给予支持；为贫困残疾人家庭进行无障碍设施改造；为残疾人机动车辆给予燃油补贴。</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资金及自筹资金的安排落实、总投入等情况。</w:t>
      </w:r>
    </w:p>
    <w:p>
      <w:pPr>
        <w:adjustRightInd w:val="0"/>
        <w:snapToGrid w:val="0"/>
        <w:spacing w:line="600" w:lineRule="exact"/>
        <w:ind w:firstLine="640" w:firstLineChars="200"/>
        <w:rPr>
          <w:rFonts w:eastAsia="仿宋_GB2312"/>
          <w:sz w:val="32"/>
          <w:szCs w:val="32"/>
        </w:rPr>
      </w:pPr>
      <w:r>
        <w:rPr>
          <w:rFonts w:hint="eastAsia" w:ascii="仿宋" w:hAnsi="仿宋" w:eastAsia="仿宋" w:cs="仿宋"/>
          <w:sz w:val="32"/>
          <w:szCs w:val="32"/>
          <w:lang w:eastAsia="zh-CN"/>
        </w:rPr>
        <w:t>津市残联</w:t>
      </w:r>
      <w:r>
        <w:rPr>
          <w:rFonts w:hint="eastAsia" w:ascii="仿宋" w:hAnsi="仿宋" w:eastAsia="仿宋" w:cs="仿宋"/>
          <w:sz w:val="32"/>
          <w:szCs w:val="32"/>
          <w:lang w:val="en-US" w:eastAsia="zh-CN"/>
        </w:rPr>
        <w:t>2021年度残疾人保障金专项申报金额为200万，其中基本支出预算支出60万元，占比30%，主要用于适当补助残疾人就业服务机构经费及其他日常支出；项目支出140万元，占比70%，主要用于残疾人康复、残疾人就业和扶贫和其他残疾人事业支出等方面。</w:t>
      </w:r>
    </w:p>
    <w:p>
      <w:pPr>
        <w:numPr>
          <w:ilvl w:val="0"/>
          <w:numId w:val="2"/>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资金实际使用情况。</w:t>
      </w:r>
    </w:p>
    <w:p>
      <w:pPr>
        <w:adjustRightInd w:val="0"/>
        <w:snapToGrid w:val="0"/>
        <w:spacing w:line="600" w:lineRule="exact"/>
        <w:ind w:firstLine="640" w:firstLineChars="200"/>
        <w:rPr>
          <w:rFonts w:eastAsia="仿宋_GB2312"/>
          <w:sz w:val="32"/>
          <w:szCs w:val="32"/>
        </w:rPr>
      </w:pPr>
      <w:r>
        <w:rPr>
          <w:rFonts w:hint="eastAsia" w:ascii="仿宋" w:hAnsi="仿宋" w:eastAsia="仿宋" w:cs="仿宋"/>
          <w:sz w:val="32"/>
          <w:szCs w:val="32"/>
          <w:lang w:val="en-US" w:eastAsia="zh-CN"/>
        </w:rPr>
        <w:t>津市残联2021年度该项残疾人保障金专项资金项目支出140万元分别为残疾人康复支出60万元，用于</w:t>
      </w:r>
      <w:r>
        <w:rPr>
          <w:rFonts w:hint="eastAsia" w:ascii="仿宋" w:hAnsi="仿宋" w:eastAsia="仿宋" w:cs="仿宋"/>
          <w:sz w:val="32"/>
          <w:szCs w:val="32"/>
          <w:lang w:eastAsia="zh-CN"/>
        </w:rPr>
        <w:t>残疾人免费提供辅助器具、白内障手术、假肢安装、0-6岁儿童康复训练和精神病住院和服药救助等；</w:t>
      </w:r>
      <w:r>
        <w:rPr>
          <w:rFonts w:hint="eastAsia" w:ascii="仿宋" w:hAnsi="仿宋" w:eastAsia="仿宋" w:cs="仿宋"/>
          <w:sz w:val="32"/>
          <w:szCs w:val="32"/>
          <w:lang w:val="en-US" w:eastAsia="zh-CN"/>
        </w:rPr>
        <w:t>残疾人就业和扶贫支出10万元，</w:t>
      </w:r>
      <w:r>
        <w:rPr>
          <w:rFonts w:hint="eastAsia" w:ascii="仿宋" w:hAnsi="仿宋" w:eastAsia="仿宋" w:cs="仿宋"/>
          <w:sz w:val="32"/>
          <w:szCs w:val="32"/>
          <w:lang w:eastAsia="zh-CN"/>
        </w:rPr>
        <w:t>为就业年龄段的残疾人免费提供就业培训、扶持残疾人创业、对残疾大学生和困难残疾人子女就学给予支持；</w:t>
      </w:r>
      <w:r>
        <w:rPr>
          <w:rFonts w:hint="eastAsia" w:ascii="仿宋" w:hAnsi="仿宋" w:eastAsia="仿宋" w:cs="仿宋"/>
          <w:sz w:val="32"/>
          <w:szCs w:val="32"/>
          <w:lang w:val="en-US" w:eastAsia="zh-CN"/>
        </w:rPr>
        <w:t>其他</w:t>
      </w:r>
      <w:r>
        <w:rPr>
          <w:rFonts w:hint="eastAsia" w:ascii="仿宋" w:hAnsi="仿宋" w:eastAsia="仿宋" w:cs="仿宋"/>
          <w:b w:val="0"/>
          <w:bCs w:val="0"/>
          <w:sz w:val="32"/>
          <w:szCs w:val="32"/>
          <w:lang w:val="en-US" w:eastAsia="zh-CN"/>
        </w:rPr>
        <w:t>残疾人事业支出70万元，用于为贫困残疾人家庭进行无障碍设施改造；为残疾人机动车辆给予燃油补贴。</w:t>
      </w:r>
    </w:p>
    <w:p>
      <w:pPr>
        <w:numPr>
          <w:ilvl w:val="0"/>
          <w:numId w:val="2"/>
        </w:numPr>
        <w:adjustRightInd w:val="0"/>
        <w:snapToGrid w:val="0"/>
        <w:spacing w:line="600" w:lineRule="exact"/>
        <w:ind w:left="0" w:leftChars="0" w:firstLine="640" w:firstLineChars="200"/>
        <w:rPr>
          <w:rFonts w:hint="eastAsia" w:eastAsia="仿宋_GB2312"/>
          <w:sz w:val="32"/>
          <w:szCs w:val="32"/>
          <w:lang w:eastAsia="zh-CN"/>
        </w:rPr>
      </w:pPr>
      <w:r>
        <w:rPr>
          <w:rFonts w:hint="eastAsia" w:eastAsia="仿宋_GB2312"/>
          <w:sz w:val="32"/>
          <w:szCs w:val="32"/>
          <w:lang w:eastAsia="zh-CN"/>
        </w:rPr>
        <w:t>项目</w:t>
      </w:r>
      <w:r>
        <w:rPr>
          <w:rFonts w:eastAsia="仿宋_GB2312"/>
          <w:sz w:val="32"/>
          <w:szCs w:val="32"/>
        </w:rPr>
        <w:t>资金管理情况分析，主要包括管理制度、办法的制订及执行情况</w:t>
      </w:r>
      <w:r>
        <w:rPr>
          <w:rFonts w:hint="eastAsia" w:eastAsia="仿宋_GB2312"/>
          <w:sz w:val="32"/>
          <w:szCs w:val="32"/>
          <w:lang w:eastAsia="zh-CN"/>
        </w:rPr>
        <w:t>。</w:t>
      </w:r>
    </w:p>
    <w:p>
      <w:pPr>
        <w:adjustRightInd w:val="0"/>
        <w:snapToGrid w:val="0"/>
        <w:spacing w:line="600" w:lineRule="exact"/>
        <w:ind w:firstLine="640" w:firstLineChars="200"/>
        <w:rPr>
          <w:rFonts w:hint="eastAsia" w:eastAsia="仿宋_GB2312"/>
          <w:sz w:val="32"/>
          <w:szCs w:val="32"/>
          <w:lang w:eastAsia="zh-CN"/>
        </w:rPr>
      </w:pPr>
      <w:r>
        <w:rPr>
          <w:rFonts w:hint="eastAsia" w:ascii="仿宋" w:hAnsi="仿宋" w:eastAsia="仿宋" w:cs="仿宋"/>
          <w:sz w:val="32"/>
          <w:szCs w:val="32"/>
          <w:lang w:val="en-US" w:eastAsia="zh-CN"/>
        </w:rPr>
        <w:t>残疾人就业保障金的立项依据是《中华人民共和国残疾人保障法》，《残疾人就业条例》，《残疾人就业保障金征收使用管理办法》及《湖南省财政厅、湖南省地方税务局、湖南省残疾人联合会关于转发〈残疾人就业保障金征收使用管理办法〉的通知》（湘财综[2016]46号），本单位将严格按照残疾人就业保障金征收使用管理办法执行，听从财政的统筹安排。</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adjustRightInd w:val="0"/>
        <w:snapToGrid w:val="0"/>
        <w:spacing w:line="600" w:lineRule="exact"/>
        <w:ind w:firstLine="640" w:firstLineChars="200"/>
        <w:rPr>
          <w:rFonts w:eastAsia="仿宋_GB2312"/>
          <w:sz w:val="32"/>
          <w:szCs w:val="32"/>
        </w:rPr>
      </w:pPr>
      <w:r>
        <w:rPr>
          <w:rFonts w:eastAsia="仿宋_GB2312"/>
          <w:sz w:val="32"/>
          <w:szCs w:val="32"/>
        </w:rPr>
        <w:t>项目组织实施情况，主要包括项目招投标、调整、竣工验收等情况。</w:t>
      </w:r>
    </w:p>
    <w:p>
      <w:p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津市残联</w:t>
      </w:r>
      <w:r>
        <w:rPr>
          <w:rFonts w:hint="eastAsia" w:eastAsia="仿宋_GB2312"/>
          <w:sz w:val="32"/>
          <w:szCs w:val="32"/>
          <w:lang w:val="en-US" w:eastAsia="zh-CN"/>
        </w:rPr>
        <w:t>2021年度</w:t>
      </w:r>
      <w:r>
        <w:rPr>
          <w:rFonts w:hint="eastAsia" w:eastAsia="仿宋_GB2312"/>
          <w:sz w:val="32"/>
          <w:szCs w:val="32"/>
          <w:lang w:eastAsia="zh-CN"/>
        </w:rPr>
        <w:t>此项专项资金无</w:t>
      </w:r>
      <w:r>
        <w:rPr>
          <w:rFonts w:eastAsia="仿宋_GB2312"/>
          <w:sz w:val="32"/>
          <w:szCs w:val="32"/>
        </w:rPr>
        <w:t>项目招投标、调整、竣工验收等情况。</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lang w:eastAsia="zh-CN"/>
        </w:rPr>
        <w:t>项目</w:t>
      </w:r>
      <w:r>
        <w:rPr>
          <w:rFonts w:eastAsia="黑体"/>
          <w:sz w:val="32"/>
          <w:szCs w:val="32"/>
        </w:rPr>
        <w:t>绩效情况</w:t>
      </w:r>
    </w:p>
    <w:p>
      <w:pPr>
        <w:adjustRightInd w:val="0"/>
        <w:snapToGrid w:val="0"/>
        <w:spacing w:line="600" w:lineRule="exact"/>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市残联</w:t>
      </w:r>
      <w:r>
        <w:rPr>
          <w:rFonts w:hint="eastAsia" w:ascii="仿宋" w:hAnsi="仿宋" w:eastAsia="仿宋" w:cs="仿宋"/>
          <w:color w:val="auto"/>
          <w:sz w:val="32"/>
          <w:szCs w:val="32"/>
          <w:lang w:val="en-US" w:eastAsia="zh-CN"/>
        </w:rPr>
        <w:t>2021年度残疾人保障金专项资金申报金额为200万元，成本目标控制不超过200万元；在项目实施中，在年底时全部按质量按目标任务完成，且残疾人满意度达85%以上。残疾人就业保障金是残联的一项延续专项资金，每年都存在，在今后的工作中，将积极学习最新的管理条例和征收使用管理办法，更加规范的支出此项资金，致力于更好地促进残疾人就业和创业，让残疾人事业发展的更好。</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（一）后续工作计划。</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eastAsia="仿宋_GB2312"/>
          <w:sz w:val="32"/>
          <w:szCs w:val="32"/>
          <w:lang w:val="en-US" w:eastAsia="zh-CN"/>
        </w:rPr>
        <w:t>津市残联在今后的工作中一是在不冲突的情况下联合相关部门想办法加大残疾人保障金征收的力度，二是将更加规范地使用残疾人保障金，在财政局的统筹安排下，更加充分利用此项专项资金，更好地为残疾人服务，提高残疾人服务满意度。</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（二）主要经验做法、存在的问题和建议。主要包括资金安排、使用过程中的经验、做法、存在的问题、改进措施和有关建议等。</w:t>
      </w:r>
    </w:p>
    <w:p>
      <w:pPr>
        <w:adjustRightInd w:val="0"/>
        <w:snapToGrid w:val="0"/>
        <w:spacing w:line="600" w:lineRule="exact"/>
        <w:ind w:firstLine="640" w:firstLineChars="200"/>
        <w:rPr>
          <w:rFonts w:eastAsia="黑体"/>
          <w:sz w:val="32"/>
          <w:szCs w:val="32"/>
        </w:rPr>
      </w:pPr>
      <w:r>
        <w:rPr>
          <w:rFonts w:hint="eastAsia" w:eastAsia="仿宋_GB2312"/>
          <w:sz w:val="32"/>
          <w:szCs w:val="32"/>
          <w:lang w:val="en-US" w:eastAsia="zh-CN"/>
        </w:rPr>
        <w:t>主要存在的问题是贫困残疾人基数大，面临的就业创业等问题多，需要扶持的家庭贫困家庭多，但扶持资金有限。残疾人就业保障金多年来一直都只征缴一半，没有足额征收。希望财政、税务部门能够逐年提高征收比例．另一方面，更加规范的使用残保金资金，例如利用惠民惠农一卡通平台打卡发放，让残疾人真切收到来自残联的资金补助，提高服务率和满意度。</w:t>
      </w:r>
      <w:bookmarkStart w:id="0" w:name="_GoBack"/>
      <w:bookmarkEnd w:id="0"/>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2"/>
        <w:tblW w:w="9999" w:type="dxa"/>
        <w:jc w:val="center"/>
        <w:tblLayout w:type="autofit"/>
        <w:tblCellMar>
          <w:top w:w="0" w:type="dxa"/>
          <w:left w:w="108" w:type="dxa"/>
          <w:bottom w:w="0" w:type="dxa"/>
          <w:right w:w="108" w:type="dxa"/>
        </w:tblCellMar>
      </w:tblPr>
      <w:tblGrid>
        <w:gridCol w:w="1135"/>
        <w:gridCol w:w="992"/>
        <w:gridCol w:w="1261"/>
        <w:gridCol w:w="1224"/>
        <w:gridCol w:w="1134"/>
        <w:gridCol w:w="1134"/>
        <w:gridCol w:w="828"/>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92"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pPr>
      <w:r>
        <w:rPr>
          <w:rFonts w:eastAsia="仿宋_GB2312"/>
          <w:sz w:val="24"/>
        </w:rPr>
        <w:t>填表人：         填报日期：           联系电话：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5EEBD0"/>
    <w:multiLevelType w:val="singleLevel"/>
    <w:tmpl w:val="C85EEBD0"/>
    <w:lvl w:ilvl="0" w:tentative="0">
      <w:start w:val="2"/>
      <w:numFmt w:val="chineseCounting"/>
      <w:suff w:val="nothing"/>
      <w:lvlText w:val="（%1）"/>
      <w:lvlJc w:val="left"/>
      <w:rPr>
        <w:rFonts w:hint="eastAsia"/>
      </w:rPr>
    </w:lvl>
  </w:abstractNum>
  <w:abstractNum w:abstractNumId="1">
    <w:nsid w:val="4697C00C"/>
    <w:multiLevelType w:val="singleLevel"/>
    <w:tmpl w:val="4697C00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CFE4450"/>
    <w:rsid w:val="305B5409"/>
    <w:rsid w:val="36E06405"/>
    <w:rsid w:val="3C343492"/>
    <w:rsid w:val="4522659A"/>
    <w:rsid w:val="487D713D"/>
    <w:rsid w:val="49E64BF9"/>
    <w:rsid w:val="503708EA"/>
    <w:rsid w:val="60570B09"/>
    <w:rsid w:val="63EE0F9A"/>
    <w:rsid w:val="6EFF5473"/>
    <w:rsid w:val="70005FFB"/>
    <w:rsid w:val="7A0450D2"/>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Administrator</cp:lastModifiedBy>
  <dcterms:modified xsi:type="dcterms:W3CDTF">2022-03-24T03:24:40Z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