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eastAsia="方正小标宋_GBK"/>
          <w:sz w:val="36"/>
          <w:szCs w:val="36"/>
          <w:lang w:val="en-US" w:eastAsia="zh-CN"/>
        </w:rPr>
      </w:pPr>
      <w:r>
        <w:rPr>
          <w:rFonts w:hint="eastAsia" w:eastAsia="方正小标宋_GBK"/>
          <w:sz w:val="36"/>
          <w:szCs w:val="36"/>
          <w:lang w:val="en-US" w:eastAsia="zh-CN"/>
        </w:rPr>
        <w:t>津市市疾病预防控制中心</w:t>
      </w:r>
    </w:p>
    <w:p>
      <w:pPr>
        <w:spacing w:line="600" w:lineRule="exact"/>
        <w:jc w:val="center"/>
        <w:rPr>
          <w:rFonts w:eastAsia="方正小标宋_GBK"/>
          <w:sz w:val="32"/>
          <w:szCs w:val="32"/>
        </w:rPr>
      </w:pPr>
      <w:r>
        <w:rPr>
          <w:rFonts w:hint="eastAsia" w:eastAsia="方正小标宋_GBK"/>
          <w:sz w:val="36"/>
          <w:szCs w:val="36"/>
          <w:lang w:val="en-US" w:eastAsia="zh-CN"/>
        </w:rPr>
        <w:t>2021年度</w:t>
      </w:r>
      <w:r>
        <w:rPr>
          <w:rFonts w:eastAsia="方正小标宋_GBK"/>
          <w:sz w:val="36"/>
          <w:szCs w:val="36"/>
        </w:rPr>
        <w:t>部门整体支出绩效报告</w:t>
      </w:r>
    </w:p>
    <w:p>
      <w:pPr>
        <w:spacing w:line="600" w:lineRule="exact"/>
        <w:jc w:val="center"/>
        <w:rPr>
          <w:rFonts w:eastAsia="方正小标宋_GBK"/>
          <w:sz w:val="32"/>
          <w:szCs w:val="32"/>
        </w:rPr>
      </w:pPr>
    </w:p>
    <w:p>
      <w:pPr>
        <w:pStyle w:val="5"/>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keepNext w:val="0"/>
        <w:keepLines w:val="0"/>
        <w:pageBreakBefore w:val="0"/>
        <w:kinsoku/>
        <w:wordWrap/>
        <w:overflowPunct/>
        <w:topLinePunct w:val="0"/>
        <w:bidi w:val="0"/>
        <w:snapToGrid/>
        <w:spacing w:beforeLines="0" w:afterLines="0" w:line="560" w:lineRule="atLeast"/>
        <w:ind w:firstLine="628"/>
        <w:textAlignment w:val="auto"/>
        <w:rPr>
          <w:rFonts w:hint="eastAsia" w:ascii="FangSong_GB2312" w:hAnsi="FangSong_GB2312" w:eastAsia="FangSong_GB2312"/>
          <w:color w:val="auto"/>
          <w:sz w:val="32"/>
          <w:szCs w:val="22"/>
        </w:rPr>
      </w:pPr>
      <w:r>
        <w:rPr>
          <w:rFonts w:hint="eastAsia" w:ascii="FangSong_GB2312" w:hAnsi="FangSong_GB2312" w:eastAsia="FangSong_GB2312"/>
          <w:color w:val="auto"/>
          <w:sz w:val="32"/>
          <w:szCs w:val="22"/>
        </w:rPr>
        <w:t>单位主要完成上级下达的疾病预防控制任务，负责疾病预防控制具体工作的管理和落实；负责疫苗使用管理，组织实施免疫、消毒、控制病媒生物和危害。负责突发公共卫生事件的监测调查与信息收集、报告，落实具体控制措施。收集、分析、上报传染病发病、流行情况。做好疫情监测预报和疫情检索、病 菌（毒）检验，负责疫区调查处理。开展病原微生物常规检验和常见污染物的检验。承担卫生行政部门委托的与卫生监督执法相关的检验检测任务。负责医疗卫生事件的监测调查，落实具体控制措施。指导医疗卫生机构和社区卫生组织开展卫生防病工作，负责考核和评价，对从事疾病预防控制相关工作的人员进行培训。监测干预危害健康因素，开展流行病学调查、卫生学评价和采取现场干预控制措施。参与制定突发公共卫生事件应急预案，对突发传染病、不明原因疾病、免疫接种反应、食物中毒、职业中毒等公共卫生事件的信息收集和协调处理。负责疫情和公共卫生健康危害因素监测、报告，指导乡、村和有关部门收集、报告疫情。</w:t>
      </w:r>
    </w:p>
    <w:p>
      <w:pPr>
        <w:widowControl/>
        <w:spacing w:line="600" w:lineRule="exact"/>
        <w:ind w:firstLine="627" w:firstLineChars="196"/>
        <w:jc w:val="left"/>
        <w:rPr>
          <w:rFonts w:ascii="Times New Roman" w:hAnsi="Times New Roman" w:eastAsia="黑体"/>
          <w:sz w:val="32"/>
          <w:szCs w:val="32"/>
        </w:rPr>
      </w:pPr>
      <w:r>
        <w:rPr>
          <w:rFonts w:hint="eastAsia" w:ascii="FangSong_GB2312" w:hAnsi="FangSong_GB2312" w:eastAsia="FangSong_GB2312"/>
          <w:color w:val="000000"/>
          <w:sz w:val="32"/>
        </w:rPr>
        <w:t>机构设置</w:t>
      </w:r>
      <w:r>
        <w:rPr>
          <w:rFonts w:hint="eastAsia" w:ascii="FangSong_GB2312" w:hAnsi="FangSong_GB2312" w:eastAsia="FangSong_GB2312"/>
          <w:color w:val="000000"/>
          <w:sz w:val="32"/>
          <w:lang w:eastAsia="zh-CN"/>
        </w:rPr>
        <w:t>：</w:t>
      </w:r>
      <w:r>
        <w:rPr>
          <w:rFonts w:hint="eastAsia" w:ascii="FangSong_GB2312" w:hAnsi="FangSong_GB2312" w:eastAsia="FangSong_GB2312"/>
          <w:color w:val="000000"/>
          <w:sz w:val="32"/>
          <w:lang w:val="en-US" w:eastAsia="zh-CN"/>
        </w:rPr>
        <w:t>我</w:t>
      </w:r>
      <w:r>
        <w:rPr>
          <w:rFonts w:hint="eastAsia" w:ascii="Times New Roman" w:hAnsi="Times New Roman" w:eastAsia="仿宋_GB2312" w:cs="Times New Roman"/>
          <w:sz w:val="32"/>
          <w:szCs w:val="32"/>
          <w:lang w:val="en-US" w:eastAsia="zh-CN"/>
        </w:rPr>
        <w:t>中心是一家</w:t>
      </w:r>
      <w:r>
        <w:rPr>
          <w:rFonts w:hint="eastAsia" w:ascii="Times New Roman" w:hAnsi="Times New Roman" w:eastAsia="仿宋_GB2312" w:cs="Times New Roman"/>
          <w:sz w:val="32"/>
          <w:szCs w:val="32"/>
        </w:rPr>
        <w:t>全额拨款事业单位。事业编制</w:t>
      </w:r>
      <w:r>
        <w:rPr>
          <w:rFonts w:hint="eastAsia" w:ascii="Times New Roman" w:hAnsi="Times New Roman" w:eastAsia="仿宋_GB2312" w:cs="Times New Roman"/>
          <w:sz w:val="32"/>
          <w:szCs w:val="32"/>
          <w:lang w:val="en-US" w:eastAsia="zh-CN"/>
        </w:rPr>
        <w:t>36人</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现</w:t>
      </w:r>
      <w:r>
        <w:rPr>
          <w:rFonts w:hint="eastAsia" w:ascii="Times New Roman" w:hAnsi="Times New Roman" w:eastAsia="仿宋_GB2312" w:cs="Times New Roman"/>
          <w:sz w:val="32"/>
          <w:szCs w:val="32"/>
        </w:rPr>
        <w:t>实有人数</w:t>
      </w:r>
      <w:r>
        <w:rPr>
          <w:rFonts w:hint="eastAsia" w:ascii="Times New Roman" w:hAnsi="Times New Roman" w:eastAsia="仿宋_GB2312" w:cs="Times New Roman"/>
          <w:sz w:val="32"/>
          <w:szCs w:val="32"/>
          <w:lang w:val="en-US" w:eastAsia="zh-CN"/>
        </w:rPr>
        <w:t>44</w:t>
      </w:r>
      <w:r>
        <w:rPr>
          <w:rFonts w:hint="eastAsia" w:ascii="Times New Roman" w:hAnsi="Times New Roman" w:eastAsia="仿宋_GB2312" w:cs="Times New Roman"/>
          <w:sz w:val="32"/>
          <w:szCs w:val="32"/>
        </w:rPr>
        <w:t>人。其中在职在编人员</w:t>
      </w:r>
      <w:r>
        <w:rPr>
          <w:rFonts w:hint="eastAsia" w:ascii="Times New Roman" w:hAnsi="Times New Roman" w:eastAsia="仿宋_GB2312" w:cs="Times New Roman"/>
          <w:sz w:val="32"/>
          <w:szCs w:val="32"/>
          <w:lang w:val="en-US" w:eastAsia="zh-CN"/>
        </w:rPr>
        <w:t>27</w:t>
      </w:r>
      <w:r>
        <w:rPr>
          <w:rFonts w:hint="eastAsia" w:ascii="Times New Roman" w:hAnsi="Times New Roman" w:eastAsia="仿宋_GB2312" w:cs="Times New Roman"/>
          <w:sz w:val="32"/>
          <w:szCs w:val="32"/>
        </w:rPr>
        <w:t>人，</w:t>
      </w:r>
      <w:r>
        <w:rPr>
          <w:rFonts w:hint="eastAsia" w:ascii="Times New Roman" w:hAnsi="Times New Roman" w:eastAsia="仿宋_GB2312" w:cs="Times New Roman"/>
          <w:sz w:val="32"/>
          <w:szCs w:val="32"/>
          <w:lang w:val="en-US" w:eastAsia="zh-CN"/>
        </w:rPr>
        <w:t>临时工17</w:t>
      </w:r>
      <w:r>
        <w:rPr>
          <w:rFonts w:hint="eastAsia" w:ascii="Times New Roman" w:hAnsi="Times New Roman" w:eastAsia="仿宋_GB2312" w:cs="Times New Roman"/>
          <w:sz w:val="32"/>
          <w:szCs w:val="32"/>
        </w:rPr>
        <w:t>人。</w:t>
      </w:r>
      <w:r>
        <w:rPr>
          <w:rFonts w:hint="eastAsia" w:ascii="FangSong_GB2312" w:hAnsi="FangSong_GB2312" w:eastAsia="FangSong_GB2312" w:cs="Times New Roman"/>
          <w:color w:val="auto"/>
          <w:kern w:val="0"/>
          <w:sz w:val="32"/>
          <w:szCs w:val="22"/>
        </w:rPr>
        <w:t>单位内设科室</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个，分别是</w:t>
      </w:r>
      <w:r>
        <w:rPr>
          <w:rFonts w:hint="eastAsia" w:ascii="仿宋_GB2312" w:hAnsi="方正仿宋_GBK" w:eastAsia="仿宋_GB2312" w:cs="方正仿宋_GBK"/>
          <w:color w:val="auto"/>
          <w:sz w:val="32"/>
          <w:szCs w:val="32"/>
        </w:rPr>
        <w:t>办公室、</w:t>
      </w:r>
      <w:r>
        <w:rPr>
          <w:rFonts w:hint="eastAsia" w:ascii="仿宋_GB2312" w:hAnsi="方正仿宋_GBK" w:eastAsia="仿宋_GB2312" w:cs="方正仿宋_GBK"/>
          <w:color w:val="auto"/>
          <w:sz w:val="32"/>
          <w:szCs w:val="32"/>
          <w:lang w:val="en-US" w:eastAsia="zh-CN"/>
        </w:rPr>
        <w:t>质量控制科、财务科、检验科、疾病监测科、慢性病防治科、学校卫生科、免疫规划生物制品科、结防性艾科、职业卫生监测病媒生物科、健康教育科、工会，</w:t>
      </w: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rPr>
        <w:t>二级机构</w:t>
      </w:r>
      <w:r>
        <w:rPr>
          <w:rFonts w:hint="eastAsia" w:ascii="仿宋_GB2312" w:hAnsi="方正仿宋_GBK" w:eastAsia="仿宋_GB2312" w:cs="方正仿宋_GBK"/>
          <w:color w:val="auto"/>
          <w:sz w:val="32"/>
          <w:szCs w:val="32"/>
          <w:lang w:eastAsia="zh-CN"/>
        </w:rPr>
        <w:t>。</w:t>
      </w:r>
    </w:p>
    <w:p>
      <w:pPr>
        <w:pStyle w:val="5"/>
        <w:widowControl/>
        <w:numPr>
          <w:ilvl w:val="0"/>
          <w:numId w:val="1"/>
        </w:numPr>
        <w:spacing w:line="600" w:lineRule="exact"/>
        <w:ind w:left="640" w:leftChars="0" w:firstLine="0" w:firstLineChars="0"/>
        <w:rPr>
          <w:rFonts w:ascii="Times New Roman" w:hAnsi="Times New Roman" w:eastAsia="黑体"/>
          <w:sz w:val="32"/>
          <w:szCs w:val="32"/>
        </w:rPr>
      </w:pPr>
      <w:r>
        <w:rPr>
          <w:rFonts w:ascii="Times New Roman" w:hAnsi="Times New Roman" w:eastAsia="黑体"/>
          <w:sz w:val="32"/>
          <w:szCs w:val="32"/>
        </w:rPr>
        <w:t>一般公共预算支出情况</w:t>
      </w:r>
    </w:p>
    <w:p>
      <w:pPr>
        <w:pStyle w:val="5"/>
        <w:widowControl/>
        <w:spacing w:line="600" w:lineRule="exact"/>
        <w:ind w:left="0" w:leftChars="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2021年全年总收入1912.76万元，一般公共预算财政拨款收入1126.01万元，其中基本支出416.89万元、项目支出709.12万元。</w:t>
      </w:r>
    </w:p>
    <w:p>
      <w:pPr>
        <w:pStyle w:val="5"/>
        <w:widowControl/>
        <w:numPr>
          <w:ilvl w:val="0"/>
          <w:numId w:val="2"/>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基本支出情况</w:t>
      </w:r>
    </w:p>
    <w:p>
      <w:pPr>
        <w:pStyle w:val="5"/>
        <w:widowControl/>
        <w:spacing w:line="600" w:lineRule="exact"/>
        <w:ind w:left="0" w:leftChars="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2021年基本支出预算416.89万元，其中人员经费315.63万元，一般商品和服务支出99.31万元，我单位严格按照财政规定的财务管理制度和预算支出范围开支，对“三公”经费的开支严格控制，2021年“三公”经费支出7.77万元，其中：公务接待费2.1万元；公务用车运行费5.67万元；无因公出国（境）费用。</w:t>
      </w:r>
    </w:p>
    <w:p>
      <w:pPr>
        <w:pStyle w:val="5"/>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widowControl/>
        <w:spacing w:line="600" w:lineRule="exact"/>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截止2021年12月31日止，财政将全部资金下拨到我单位，共拨资金709.12万元，上级专项627.12万元，本级专项82万元，主要是本级从业人员健康体检、免疫规划和中小学生结核病筛查及学生健康体检，上级主要是新冠肺炎的检测和防疫、农村饮用水安全监测、急性传染病管理、慢性病与精神病防治、免疫规划、结核病防治、艾滋病防治等疾病预防控制专项工作。按照专项资金的使用要求本单位制定了专项资金管理制度，专款专用，全部用于相关项目的开支。</w:t>
      </w:r>
    </w:p>
    <w:p>
      <w:pPr>
        <w:pStyle w:val="5"/>
        <w:widowControl/>
        <w:numPr>
          <w:ilvl w:val="0"/>
          <w:numId w:val="1"/>
        </w:numPr>
        <w:spacing w:line="600" w:lineRule="exact"/>
        <w:ind w:left="640" w:leftChars="0" w:firstLine="0" w:firstLineChars="0"/>
        <w:jc w:val="left"/>
        <w:rPr>
          <w:rFonts w:ascii="Times New Roman" w:hAnsi="Times New Roman" w:eastAsia="黑体"/>
          <w:sz w:val="32"/>
          <w:szCs w:val="32"/>
        </w:rPr>
      </w:pPr>
      <w:r>
        <w:rPr>
          <w:rFonts w:ascii="Times New Roman" w:hAnsi="Times New Roman" w:eastAsia="黑体"/>
          <w:sz w:val="32"/>
          <w:szCs w:val="32"/>
        </w:rPr>
        <w:t>政府性基金预算支出情况</w:t>
      </w:r>
    </w:p>
    <w:p>
      <w:pPr>
        <w:pStyle w:val="5"/>
        <w:widowControl/>
        <w:numPr>
          <w:ilvl w:val="0"/>
          <w:numId w:val="0"/>
        </w:numPr>
        <w:spacing w:line="600" w:lineRule="exact"/>
        <w:ind w:left="640" w:leftChars="0" w:firstLine="320" w:firstLineChars="1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2021年度无政府性基金预算支出</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default" w:ascii="仿宋_GB2312" w:hAnsi="Times New Roman" w:eastAsia="仿宋_GB2312" w:cs="Times New Roman"/>
          <w:sz w:val="32"/>
          <w:szCs w:val="32"/>
          <w:lang w:val="en-US" w:eastAsia="zh-CN"/>
        </w:rPr>
      </w:pPr>
      <w:r>
        <w:rPr>
          <w:rFonts w:hint="eastAsia" w:ascii="仿宋_GB2312" w:hAnsi="仿宋_GB2312" w:eastAsia="仿宋_GB2312" w:cs="仿宋_GB2312"/>
          <w:kern w:val="2"/>
          <w:sz w:val="32"/>
          <w:szCs w:val="32"/>
          <w:lang w:val="en-US" w:eastAsia="zh-CN" w:bidi="ar-SA"/>
        </w:rPr>
        <w:t>总结归纳本部门“四本预算”支出的绩效目标完成情况，单位制定了相关组织管理制度、监管制度、工作职责，落实专人负责具体工作，制定了详细的工作目标、工作计划、具体实施方案，定期进行工作考核，保证项目的实施，现将项目工作实施情况汇报如下：</w:t>
      </w:r>
    </w:p>
    <w:p>
      <w:pPr>
        <w:keepNext w:val="0"/>
        <w:keepLines w:val="0"/>
        <w:pageBreakBefore w:val="0"/>
        <w:widowControl/>
        <w:kinsoku/>
        <w:wordWrap/>
        <w:overflowPunct/>
        <w:topLinePunct w:val="0"/>
        <w:autoSpaceDE/>
        <w:autoSpaceDN/>
        <w:bidi w:val="0"/>
        <w:adjustRightInd/>
        <w:snapToGrid/>
        <w:spacing w:line="540" w:lineRule="exact"/>
        <w:ind w:firstLine="643" w:firstLineChars="200"/>
        <w:jc w:val="left"/>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b/>
          <w:bCs/>
          <w:sz w:val="32"/>
          <w:szCs w:val="32"/>
        </w:rPr>
        <w:t>（一）坚决落实新冠肺炎疫情防控工作</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自常德市发现第一例新冠肺炎无症状感染者，我中心高度重视，迅速行动，第一时间进入应急状态。</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流调溯源，抽丝剥茧。为及时快速追踪密切接触者，流调工作小组接到流调任务后，迅速响应，落实疫情处置的“早、小、严、实”。截止目前，共收到协查函75份，流调37人，通过电话问询、实地摸排累计发现和管理密切接触者24人、次密接者270例， 38例转外地协管，有效阻断了疫情的扩散蔓延。</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2、采样检测，严格规范。截至12月23日，我中心累计检测新冠病毒核酸样本102960人次，环境样本5548份，食品抽检1207份。同时，还协助安乡县完成核酸检测6224份。</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监测消杀，阻断传播。为阻断疫情传播，根据国家消毒技术指南和技术规范，我们每天对汤家湖集中隔离点做好随时消毒和终末消毒工作。对外环境、全市冷链及冷链从业人员和其他重点人群开展了新冠病毒核酸检测工作。</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疫苗接种，确保安全。按照新冠疫苗配送方案要求执行，疫苗入库当天立即配送到各接种点。免疫规划科工作人员对接到的疫苗进行信息核对、登记、扫码入库、扫码出库，然后分装配送至全市12个接种点。截至12月23日，我市累计配送至定点接种单位新冠病毒疫苗为34.63万支；全市累计接种新冠病毒疫苗33.93万剂，累计接种新冠病毒疫苗人数为14.92万人,3岁以上人群接种率为64.52%。</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健康宣教，答疑解惑。面对德尔塔变异病毒，如何解除大众恐慌，提升大众防病能力成了健康宣传组的重点工作。为回应群众关切，宣教组人员及时梳理热点问题，编写针对性强通俗易懂的咨询要点，耐心细致为群众答疑解惑。特别是针对健康码、行程码、疫苗接种等热点问题，宣教组编写了相关提示推送到融媒体中心和各镇街，科学指导公众做好个人防护，强化宣传教育力度。</w:t>
      </w:r>
    </w:p>
    <w:p>
      <w:pPr>
        <w:keepNext w:val="0"/>
        <w:keepLines w:val="0"/>
        <w:pageBreakBefore w:val="0"/>
        <w:widowControl/>
        <w:kinsoku/>
        <w:wordWrap/>
        <w:overflowPunct/>
        <w:topLinePunct w:val="0"/>
        <w:autoSpaceDE/>
        <w:autoSpaceDN/>
        <w:bidi w:val="0"/>
        <w:adjustRightInd/>
        <w:snapToGrid/>
        <w:spacing w:line="540" w:lineRule="exact"/>
        <w:ind w:firstLine="643" w:firstLineChars="200"/>
        <w:jc w:val="left"/>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（二）做好常规传染病防治与管理工作</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为了贯彻执行《突发公共卫生事件与传染病疫情信息报告管理办法》，进一步提高我市传染病疫情信息报告管理规范，我们每月通过中国疾病预防信息系统对市直医疗单位、乡镇卫生院（社区医疗服务中心）网络直报情况进行巡查，并对存在的问题及时电话告知，保障了传染病报告的规范性。坚持24小时疫情值班制，强化疫情报告的时效性。截止11月，按现住址通过“疾病监测信息系统”共报告法定甲乙类传染病7种372例（无甲类传染病报告），报告发病率  145/10万。报告丙类传染病5种70例，报告发病率27/10万。传染病死亡9例。</w:t>
      </w:r>
    </w:p>
    <w:p>
      <w:pPr>
        <w:keepNext w:val="0"/>
        <w:keepLines w:val="0"/>
        <w:pageBreakBefore w:val="0"/>
        <w:widowControl/>
        <w:kinsoku/>
        <w:wordWrap/>
        <w:overflowPunct/>
        <w:topLinePunct w:val="0"/>
        <w:autoSpaceDE/>
        <w:autoSpaceDN/>
        <w:bidi w:val="0"/>
        <w:adjustRightInd/>
        <w:snapToGrid/>
        <w:spacing w:line="540" w:lineRule="exact"/>
        <w:ind w:firstLine="643" w:firstLineChars="200"/>
        <w:jc w:val="left"/>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（三）慢性病监测工作扎实推进</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全市累计建立居民电子健康档案235570份，居民电子健康档案的建档率为92.1%，老年人的健康管理率为75.4%。累计在管高血压患者15475人，规范管理高血压患者11540人，规范管理率为74.6%。全市在管糖尿病患者5324人，规范管理糖尿病患者4084人.规范管理率为76.7%。</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w:t>
      </w:r>
      <w:r>
        <w:rPr>
          <w:rFonts w:hint="eastAsia" w:ascii="仿宋_GB2312" w:hAnsi="仿宋_GB2312" w:eastAsia="仿宋_GB2312" w:cs="仿宋_GB2312"/>
          <w:b/>
          <w:bCs/>
          <w:kern w:val="2"/>
          <w:sz w:val="32"/>
          <w:szCs w:val="32"/>
          <w:lang w:val="en-US" w:eastAsia="zh-CN" w:bidi="ar-SA"/>
        </w:rPr>
        <w:t>（四）强力推进计划免疫规划工作</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2021年1－11月份共接种免疫规划疫苗22833剂次，常规免疫报告接种率均保持在98%以上，超过国家90%的接种指标。全市报告预防接种后不良反应（AEFI）17例，均为一般反应。</w:t>
      </w:r>
    </w:p>
    <w:p>
      <w:pPr>
        <w:keepNext w:val="0"/>
        <w:keepLines w:val="0"/>
        <w:pageBreakBefore w:val="0"/>
        <w:widowControl/>
        <w:kinsoku/>
        <w:wordWrap/>
        <w:overflowPunct/>
        <w:topLinePunct w:val="0"/>
        <w:autoSpaceDE/>
        <w:autoSpaceDN/>
        <w:bidi w:val="0"/>
        <w:adjustRightInd/>
        <w:snapToGrid/>
        <w:spacing w:line="540" w:lineRule="exact"/>
        <w:ind w:firstLine="643" w:firstLineChars="200"/>
        <w:jc w:val="left"/>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（五）卫生监测工作稳步推进</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按照要求开展生活饮用水、食品安全风险监测和职业病防治工作。</w:t>
      </w:r>
    </w:p>
    <w:p>
      <w:pPr>
        <w:keepNext w:val="0"/>
        <w:keepLines w:val="0"/>
        <w:pageBreakBefore w:val="0"/>
        <w:widowControl/>
        <w:kinsoku/>
        <w:wordWrap/>
        <w:overflowPunct/>
        <w:topLinePunct w:val="0"/>
        <w:autoSpaceDE/>
        <w:autoSpaceDN/>
        <w:bidi w:val="0"/>
        <w:adjustRightInd/>
        <w:snapToGrid/>
        <w:spacing w:line="540" w:lineRule="exact"/>
        <w:ind w:firstLine="643" w:firstLineChars="200"/>
        <w:jc w:val="left"/>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（六）进一步加强了学校卫生工作</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开展学生常见病和传染病防控督导，对全市范围内25所中小学校和36所幼儿园进行传染病防控工作和学生常见病防治督导检查。加强学校卫生健康教育，每年组织开展学校传染病防控技术培训和学校卫生监测工作，组织学生常见病监测，不断提升我市学校卫生保健的整体水平。</w:t>
      </w:r>
    </w:p>
    <w:p>
      <w:pPr>
        <w:keepNext w:val="0"/>
        <w:keepLines w:val="0"/>
        <w:pageBreakBefore w:val="0"/>
        <w:widowControl/>
        <w:kinsoku/>
        <w:wordWrap/>
        <w:overflowPunct/>
        <w:topLinePunct w:val="0"/>
        <w:autoSpaceDE/>
        <w:autoSpaceDN/>
        <w:bidi w:val="0"/>
        <w:adjustRightInd/>
        <w:snapToGrid/>
        <w:spacing w:line="540" w:lineRule="exact"/>
        <w:ind w:firstLine="643" w:firstLineChars="200"/>
        <w:jc w:val="left"/>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（七）结核病、艾滋病防治工作取得新进展</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2021年1-11月我市共管理肺结核患者122例，其中涂阳69例，病原学阳性率56.56%，涂阴49例，结核性胸膜炎4例，其中规则服药112例，规则服药率为91.80%。</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开展了入学新生结核筛查5730人，开展结核菌素实验2316人，发现强阳性13人，进行了预防性服药，确诊1人，进行了抗结核治疗。</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目前我市管理艾滋病人115例，在治104例，治疗率90%。</w:t>
      </w:r>
    </w:p>
    <w:p>
      <w:pPr>
        <w:keepNext w:val="0"/>
        <w:keepLines w:val="0"/>
        <w:pageBreakBefore w:val="0"/>
        <w:widowControl/>
        <w:kinsoku/>
        <w:wordWrap/>
        <w:overflowPunct/>
        <w:topLinePunct w:val="0"/>
        <w:autoSpaceDE/>
        <w:autoSpaceDN/>
        <w:bidi w:val="0"/>
        <w:adjustRightInd/>
        <w:snapToGrid/>
        <w:spacing w:line="540" w:lineRule="exact"/>
        <w:ind w:firstLine="643" w:firstLineChars="200"/>
        <w:jc w:val="left"/>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（八）健康宣教工作深入民心</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们开展了3.24结核病防治日、4.15-4.21肿瘤宣传周、4.25-4.30日职业病防治宣传周、4.26全国疟疾日、5.15碘缺乏病防治日、5.31无烟日，12.1世界艾滋病日等宣传活动。协助全市有关单位和各社区举办健康教育知识专栏，下发了健康素养66条和三减三健折页4万余份</w:t>
      </w:r>
    </w:p>
    <w:p>
      <w:pPr>
        <w:pStyle w:val="5"/>
        <w:widowControl/>
        <w:numPr>
          <w:numId w:val="0"/>
        </w:numPr>
        <w:spacing w:line="600" w:lineRule="exact"/>
        <w:ind w:left="640" w:leftChars="0"/>
        <w:jc w:val="left"/>
        <w:rPr>
          <w:rFonts w:ascii="Times New Roman" w:hAnsi="Times New Roman" w:eastAsia="黑体"/>
          <w:sz w:val="32"/>
          <w:szCs w:val="32"/>
        </w:rPr>
      </w:pPr>
      <w:r>
        <w:rPr>
          <w:rFonts w:hint="eastAsia" w:ascii="Times New Roman" w:hAnsi="Times New Roman" w:eastAsia="黑体"/>
          <w:sz w:val="32"/>
          <w:szCs w:val="32"/>
          <w:lang w:val="en-US" w:eastAsia="zh-CN"/>
        </w:rPr>
        <w:t>五、</w:t>
      </w:r>
      <w:bookmarkStart w:id="0" w:name="_GoBack"/>
      <w:bookmarkEnd w:id="0"/>
      <w:r>
        <w:rPr>
          <w:rFonts w:ascii="Times New Roman" w:hAnsi="Times New Roman" w:eastAsia="黑体"/>
          <w:sz w:val="32"/>
          <w:szCs w:val="32"/>
        </w:rPr>
        <w:t>存在的问题及原因分析</w:t>
      </w:r>
    </w:p>
    <w:p>
      <w:pPr>
        <w:pStyle w:val="5"/>
        <w:widowControl/>
        <w:numPr>
          <w:numId w:val="0"/>
        </w:numPr>
        <w:spacing w:line="600" w:lineRule="exact"/>
        <w:ind w:left="640" w:leftChars="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1、同一项目，不同岗位的考核内容、标准并不相挂钩、做不到很好的联动统一，从而导致目标不一致。</w:t>
      </w:r>
    </w:p>
    <w:p>
      <w:pPr>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2、进一步完善管理机制、落实管理制度及项目实施方案</w:t>
      </w:r>
    </w:p>
    <w:p>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3、注重项目要求和质量，使项目持续有效</w:t>
      </w:r>
    </w:p>
    <w:p>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4、加大宣传力度，提高群众满意度和自主意识。</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5、专项资金严格按照文件规定使用，专款专用。</w:t>
      </w:r>
    </w:p>
    <w:p>
      <w:pPr>
        <w:widowControl/>
        <w:spacing w:line="600" w:lineRule="exact"/>
        <w:ind w:firstLine="640" w:firstLineChars="200"/>
        <w:jc w:val="left"/>
        <w:rPr>
          <w:rFonts w:eastAsia="黑体"/>
          <w:sz w:val="32"/>
          <w:szCs w:val="32"/>
        </w:rPr>
      </w:pPr>
      <w:r>
        <w:rPr>
          <w:rFonts w:hint="eastAsia" w:eastAsia="黑体"/>
          <w:sz w:val="32"/>
          <w:szCs w:val="32"/>
          <w:lang w:eastAsia="zh-CN"/>
        </w:rPr>
        <w:t>六</w:t>
      </w:r>
      <w:r>
        <w:rPr>
          <w:rFonts w:eastAsia="黑体"/>
          <w:sz w:val="32"/>
          <w:szCs w:val="32"/>
        </w:rPr>
        <w:t>、下一步改进措施</w:t>
      </w:r>
    </w:p>
    <w:p>
      <w:pPr>
        <w:keepNext w:val="0"/>
        <w:keepLines w:val="0"/>
        <w:pageBreakBefore w:val="0"/>
        <w:kinsoku/>
        <w:wordWrap/>
        <w:overflowPunct/>
        <w:topLinePunct w:val="0"/>
        <w:autoSpaceDE/>
        <w:autoSpaceDN/>
        <w:bidi w:val="0"/>
        <w:adjustRightInd/>
        <w:snapToGrid/>
        <w:spacing w:line="540" w:lineRule="exact"/>
        <w:ind w:firstLine="645"/>
        <w:textAlignment w:val="auto"/>
        <w:rPr>
          <w:rFonts w:hint="eastAsia" w:ascii="仿宋_GB2312" w:eastAsia="仿宋_GB2312"/>
          <w:color w:val="222222"/>
          <w:sz w:val="32"/>
          <w:szCs w:val="32"/>
          <w:shd w:val="clear" w:color="auto" w:fill="FFFFFF"/>
        </w:rPr>
      </w:pPr>
      <w:r>
        <w:rPr>
          <w:rFonts w:hint="eastAsia" w:ascii="仿宋_GB2312" w:eastAsia="仿宋_GB2312"/>
          <w:color w:val="222222"/>
          <w:sz w:val="32"/>
          <w:szCs w:val="32"/>
          <w:shd w:val="clear" w:color="auto" w:fill="FFFFFF"/>
          <w:lang w:val="en-US" w:eastAsia="zh-CN"/>
        </w:rPr>
        <w:t>1、</w:t>
      </w:r>
      <w:r>
        <w:rPr>
          <w:rFonts w:hint="eastAsia" w:ascii="仿宋_GB2312" w:eastAsia="仿宋_GB2312"/>
          <w:color w:val="222222"/>
          <w:sz w:val="32"/>
          <w:szCs w:val="32"/>
          <w:shd w:val="clear" w:color="auto" w:fill="FFFFFF"/>
        </w:rPr>
        <w:t>继续巩固慢性病综合防控成果</w:t>
      </w:r>
      <w:r>
        <w:rPr>
          <w:rFonts w:hint="eastAsia" w:ascii="仿宋_GB2312" w:eastAsia="仿宋_GB2312"/>
          <w:color w:val="222222"/>
          <w:sz w:val="32"/>
          <w:szCs w:val="32"/>
          <w:shd w:val="clear" w:color="auto" w:fill="FFFFFF"/>
          <w:lang w:eastAsia="zh-CN"/>
        </w:rPr>
        <w:t>，</w:t>
      </w:r>
      <w:r>
        <w:rPr>
          <w:rFonts w:hint="eastAsia" w:ascii="仿宋_GB2312" w:eastAsia="仿宋_GB2312"/>
          <w:color w:val="222222"/>
          <w:sz w:val="32"/>
          <w:szCs w:val="32"/>
          <w:shd w:val="clear" w:color="auto" w:fill="FFFFFF"/>
        </w:rPr>
        <w:t>提升慢</w:t>
      </w:r>
      <w:r>
        <w:rPr>
          <w:rFonts w:hint="eastAsia" w:ascii="仿宋_GB2312" w:eastAsia="仿宋_GB2312"/>
          <w:color w:val="222222"/>
          <w:sz w:val="32"/>
          <w:szCs w:val="32"/>
          <w:shd w:val="clear" w:color="auto" w:fill="FFFFFF"/>
          <w:lang w:val="en-US" w:eastAsia="zh-CN"/>
        </w:rPr>
        <w:t>性</w:t>
      </w:r>
      <w:r>
        <w:rPr>
          <w:rFonts w:hint="eastAsia" w:ascii="仿宋_GB2312" w:eastAsia="仿宋_GB2312"/>
          <w:color w:val="222222"/>
          <w:sz w:val="32"/>
          <w:szCs w:val="32"/>
          <w:shd w:val="clear" w:color="auto" w:fill="FFFFFF"/>
        </w:rPr>
        <w:t>病监测工作水平，深入开展重大疾病防治健康教育工作，培养居民健康技能和健康生活方式。</w:t>
      </w:r>
    </w:p>
    <w:p>
      <w:pPr>
        <w:keepNext w:val="0"/>
        <w:keepLines w:val="0"/>
        <w:pageBreakBefore w:val="0"/>
        <w:kinsoku/>
        <w:wordWrap/>
        <w:overflowPunct/>
        <w:topLinePunct w:val="0"/>
        <w:autoSpaceDE/>
        <w:autoSpaceDN/>
        <w:bidi w:val="0"/>
        <w:adjustRightInd/>
        <w:snapToGrid/>
        <w:spacing w:line="540" w:lineRule="exact"/>
        <w:ind w:firstLine="645"/>
        <w:textAlignment w:val="auto"/>
        <w:rPr>
          <w:rFonts w:hint="eastAsia" w:ascii="仿宋_GB2312" w:eastAsia="仿宋_GB2312"/>
          <w:color w:val="222222"/>
          <w:sz w:val="32"/>
          <w:szCs w:val="32"/>
          <w:shd w:val="clear" w:color="auto" w:fill="FFFFFF"/>
        </w:rPr>
      </w:pPr>
      <w:r>
        <w:rPr>
          <w:rFonts w:hint="eastAsia" w:ascii="仿宋_GB2312" w:eastAsia="仿宋_GB2312"/>
          <w:color w:val="222222"/>
          <w:sz w:val="32"/>
          <w:szCs w:val="32"/>
          <w:shd w:val="clear" w:color="auto" w:fill="FFFFFF"/>
          <w:lang w:val="en-US" w:eastAsia="zh-CN"/>
        </w:rPr>
        <w:t>2、</w:t>
      </w:r>
      <w:r>
        <w:rPr>
          <w:rFonts w:hint="eastAsia" w:ascii="仿宋_GB2312" w:eastAsia="仿宋_GB2312"/>
          <w:color w:val="222222"/>
          <w:sz w:val="32"/>
          <w:szCs w:val="32"/>
          <w:shd w:val="clear" w:color="auto" w:fill="FFFFFF"/>
        </w:rPr>
        <w:t>提高预防接种规范化</w:t>
      </w:r>
      <w:r>
        <w:rPr>
          <w:rFonts w:hint="eastAsia" w:ascii="仿宋_GB2312" w:eastAsia="仿宋_GB2312"/>
          <w:color w:val="222222"/>
          <w:sz w:val="32"/>
          <w:szCs w:val="32"/>
          <w:shd w:val="clear" w:color="auto" w:fill="FFFFFF"/>
          <w:lang w:eastAsia="zh-CN"/>
        </w:rPr>
        <w:t>、</w:t>
      </w:r>
      <w:r>
        <w:rPr>
          <w:rFonts w:hint="eastAsia" w:ascii="仿宋_GB2312" w:eastAsia="仿宋_GB2312"/>
          <w:color w:val="222222"/>
          <w:sz w:val="32"/>
          <w:szCs w:val="32"/>
          <w:shd w:val="clear" w:color="auto" w:fill="FFFFFF"/>
        </w:rPr>
        <w:t>精细化管理水平</w:t>
      </w:r>
      <w:r>
        <w:rPr>
          <w:rFonts w:hint="eastAsia" w:ascii="仿宋_GB2312" w:eastAsia="仿宋_GB2312"/>
          <w:color w:val="222222"/>
          <w:sz w:val="32"/>
          <w:szCs w:val="32"/>
          <w:shd w:val="clear" w:color="auto" w:fill="FFFFFF"/>
          <w:lang w:eastAsia="zh-CN"/>
        </w:rPr>
        <w:t>，</w:t>
      </w:r>
      <w:r>
        <w:rPr>
          <w:rFonts w:hint="eastAsia" w:ascii="仿宋_GB2312" w:eastAsia="仿宋_GB2312"/>
          <w:color w:val="222222"/>
          <w:sz w:val="32"/>
          <w:szCs w:val="32"/>
          <w:shd w:val="clear" w:color="auto" w:fill="FFFFFF"/>
        </w:rPr>
        <w:t>进一步落实儿童免疫规划，确保以乡镇为单位儿童免疫规划疫苗接种率达9</w:t>
      </w:r>
      <w:r>
        <w:rPr>
          <w:rFonts w:hint="eastAsia" w:ascii="仿宋_GB2312" w:eastAsia="仿宋_GB2312"/>
          <w:color w:val="222222"/>
          <w:sz w:val="32"/>
          <w:szCs w:val="32"/>
          <w:shd w:val="clear" w:color="auto" w:fill="FFFFFF"/>
          <w:lang w:val="en-US" w:eastAsia="zh-CN"/>
        </w:rPr>
        <w:t>8</w:t>
      </w:r>
      <w:r>
        <w:rPr>
          <w:rFonts w:hint="eastAsia" w:ascii="仿宋_GB2312" w:eastAsia="仿宋_GB2312"/>
          <w:color w:val="222222"/>
          <w:sz w:val="32"/>
          <w:szCs w:val="32"/>
          <w:shd w:val="clear" w:color="auto" w:fill="FFFFFF"/>
        </w:rPr>
        <w:t>%以上。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color w:val="222222"/>
          <w:sz w:val="32"/>
          <w:szCs w:val="32"/>
          <w:shd w:val="clear" w:color="auto" w:fill="FFFFFF"/>
        </w:rPr>
      </w:pPr>
      <w:r>
        <w:rPr>
          <w:rFonts w:hint="eastAsia" w:ascii="仿宋_GB2312" w:eastAsia="仿宋_GB2312"/>
          <w:color w:val="222222"/>
          <w:sz w:val="32"/>
          <w:szCs w:val="32"/>
          <w:shd w:val="clear" w:color="auto" w:fill="FFFFFF"/>
          <w:lang w:val="en-US" w:eastAsia="zh-CN"/>
        </w:rPr>
        <w:t>3、对学生常见病和健康影响因素进行监测和干预，</w:t>
      </w:r>
      <w:r>
        <w:rPr>
          <w:rFonts w:hint="eastAsia" w:ascii="仿宋_GB2312" w:eastAsia="仿宋_GB2312"/>
          <w:color w:val="222222"/>
          <w:sz w:val="32"/>
          <w:szCs w:val="32"/>
          <w:shd w:val="clear" w:color="auto" w:fill="FFFFFF"/>
        </w:rPr>
        <w:t>加强部门间的协作，明确职责，联防联控，防止学校疫病的暴发流行。</w:t>
      </w:r>
    </w:p>
    <w:p>
      <w:pPr>
        <w:spacing w:line="540" w:lineRule="exact"/>
        <w:ind w:firstLine="640" w:firstLineChars="200"/>
        <w:rPr>
          <w:rFonts w:eastAsia="黑体"/>
          <w:sz w:val="32"/>
          <w:szCs w:val="32"/>
        </w:rPr>
      </w:pPr>
      <w:r>
        <w:rPr>
          <w:rFonts w:hint="eastAsia" w:ascii="仿宋_GB2312" w:eastAsia="仿宋_GB2312"/>
          <w:color w:val="222222"/>
          <w:sz w:val="32"/>
          <w:szCs w:val="32"/>
          <w:shd w:val="clear" w:color="auto" w:fill="FFFFFF"/>
          <w:lang w:val="en-US" w:eastAsia="zh-CN"/>
        </w:rPr>
        <w:t>4、</w:t>
      </w:r>
      <w:r>
        <w:rPr>
          <w:rFonts w:hint="eastAsia" w:ascii="仿宋_GB2312" w:hAnsi="Times New Roman" w:eastAsia="仿宋_GB2312" w:cs="Times New Roman"/>
          <w:color w:val="222222"/>
          <w:sz w:val="32"/>
          <w:szCs w:val="32"/>
          <w:shd w:val="clear" w:color="auto" w:fill="FFFFFF"/>
          <w:lang w:val="en-US" w:eastAsia="zh-CN"/>
        </w:rPr>
        <w:t>提升突发公共卫生事件应急处置能力，加强实验室能力建设和核酸检测实验室建设，进一步提提升检测能力和水平。</w:t>
      </w:r>
    </w:p>
    <w:p>
      <w:pPr>
        <w:widowControl/>
        <w:spacing w:line="600" w:lineRule="exact"/>
        <w:ind w:firstLine="645"/>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widowControl/>
        <w:spacing w:line="600" w:lineRule="exact"/>
        <w:ind w:firstLine="640" w:firstLineChars="200"/>
        <w:jc w:val="left"/>
        <w:rPr>
          <w:rFonts w:hint="eastAsia" w:ascii="仿宋_GB2312" w:hAnsi="Times New Roman" w:eastAsia="仿宋_GB2312" w:cs="Times New Roman"/>
          <w:color w:val="222222"/>
          <w:sz w:val="32"/>
          <w:szCs w:val="32"/>
          <w:shd w:val="clear" w:color="auto" w:fill="FFFFFF"/>
          <w:lang w:val="en-US" w:eastAsia="zh-CN"/>
        </w:rPr>
      </w:pPr>
      <w:r>
        <w:rPr>
          <w:rFonts w:hint="eastAsia" w:ascii="仿宋_GB2312" w:hAnsi="Times New Roman" w:eastAsia="仿宋_GB2312" w:cs="Times New Roman"/>
          <w:color w:val="222222"/>
          <w:sz w:val="32"/>
          <w:szCs w:val="32"/>
          <w:shd w:val="clear" w:color="auto" w:fill="FFFFFF"/>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FangSong_GB2312">
    <w:altName w:val="仿宋"/>
    <w:panose1 w:val="00000000000000000000"/>
    <w:charset w:val="86"/>
    <w:family w:val="swiss"/>
    <w:pitch w:val="default"/>
    <w:sig w:usb0="00000000" w:usb1="00000000" w:usb2="00000000" w:usb3="00000000" w:csb0="00040000" w:csb1="00000000"/>
  </w:font>
  <w:font w:name="FangSong_GB2312">
    <w:altName w:val="仿宋"/>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方正仿宋_GBK">
    <w:altName w:val="微软雅黑"/>
    <w:panose1 w:val="02000000000000000000"/>
    <w:charset w:val="86"/>
    <w:family w:val="script"/>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274831"/>
    <w:multiLevelType w:val="singleLevel"/>
    <w:tmpl w:val="DD274831"/>
    <w:lvl w:ilvl="0" w:tentative="0">
      <w:start w:val="1"/>
      <w:numFmt w:val="chineseCounting"/>
      <w:suff w:val="nothing"/>
      <w:lvlText w:val="（%1）"/>
      <w:lvlJc w:val="left"/>
      <w:rPr>
        <w:rFonts w:hint="eastAsia"/>
      </w:rPr>
    </w:lvl>
  </w:abstractNum>
  <w:abstractNum w:abstractNumId="1">
    <w:nsid w:val="F29AD080"/>
    <w:multiLevelType w:val="singleLevel"/>
    <w:tmpl w:val="F29AD08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3A076E09"/>
    <w:rsid w:val="3B8F3226"/>
    <w:rsid w:val="57F77199"/>
    <w:rsid w:val="5A9D5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spacing w:beforeAutospacing="1" w:afterAutospacing="1"/>
      <w:jc w:val="left"/>
    </w:pPr>
    <w:rPr>
      <w:kern w:val="0"/>
      <w:sz w:val="24"/>
    </w:rPr>
  </w:style>
  <w:style w:type="paragraph"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hi1411949803</cp:lastModifiedBy>
  <dcterms:modified xsi:type="dcterms:W3CDTF">2022-03-24T01:33:45Z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