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津市市交通运输局单位2021年度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numPr>
          <w:ilvl w:val="0"/>
          <w:numId w:val="1"/>
        </w:numPr>
        <w:adjustRightInd w:val="0"/>
        <w:snapToGrid w:val="0"/>
        <w:spacing w:line="600" w:lineRule="exact"/>
        <w:ind w:firstLine="640" w:firstLineChars="200"/>
        <w:rPr>
          <w:rFonts w:hint="eastAsia" w:eastAsia="黑体"/>
          <w:sz w:val="32"/>
          <w:szCs w:val="32"/>
          <w:lang w:val="en-US" w:eastAsia="zh-CN"/>
        </w:rPr>
      </w:pPr>
      <w:r>
        <w:rPr>
          <w:rFonts w:ascii="Times New Roman" w:hAnsi="Times New Roman" w:eastAsia="黑体"/>
          <w:sz w:val="32"/>
          <w:szCs w:val="32"/>
        </w:rPr>
        <w:t>部门、单位基本情况</w:t>
      </w:r>
      <w:r>
        <w:rPr>
          <w:rFonts w:hint="eastAsia" w:eastAsia="黑体"/>
          <w:sz w:val="32"/>
          <w:szCs w:val="32"/>
          <w:lang w:val="en-US" w:eastAsia="zh-CN"/>
        </w:rPr>
        <w:t>:</w:t>
      </w:r>
    </w:p>
    <w:p>
      <w:pPr>
        <w:numPr>
          <w:ilvl w:val="0"/>
          <w:numId w:val="0"/>
        </w:numPr>
        <w:adjustRightInd w:val="0"/>
        <w:snapToGrid w:val="0"/>
        <w:spacing w:line="600" w:lineRule="exact"/>
        <w:ind w:firstLine="640" w:firstLineChars="200"/>
        <w:rPr>
          <w:rFonts w:hint="eastAsia" w:ascii="Times New Roman" w:hAnsi="Times New Roman" w:eastAsia="仿宋_GB2312" w:cs="Times New Roman"/>
          <w:sz w:val="32"/>
          <w:szCs w:val="32"/>
        </w:rPr>
      </w:pPr>
      <w:r>
        <w:rPr>
          <w:rFonts w:hint="eastAsia" w:ascii="仿宋_GB2312" w:hAnsi="仿宋_GB2312" w:eastAsia="仿宋_GB2312" w:cs="仿宋_GB2312"/>
          <w:sz w:val="32"/>
          <w:szCs w:val="32"/>
          <w:lang w:eastAsia="zh-CN"/>
        </w:rPr>
        <w:t>津市市交通运输</w:t>
      </w:r>
      <w:r>
        <w:rPr>
          <w:rFonts w:hint="eastAsia" w:ascii="仿宋_GB2312" w:hAnsi="仿宋_GB2312" w:eastAsia="仿宋_GB2312" w:cs="仿宋_GB2312"/>
          <w:sz w:val="32"/>
          <w:szCs w:val="32"/>
        </w:rPr>
        <w:t>局设</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个股室，分别是</w:t>
      </w:r>
      <w:r>
        <w:rPr>
          <w:rFonts w:hint="eastAsia" w:ascii="仿宋_GB2312" w:hAnsi="仿宋_GB2312" w:eastAsia="仿宋_GB2312" w:cs="仿宋_GB2312"/>
          <w:sz w:val="32"/>
          <w:szCs w:val="32"/>
          <w:lang w:eastAsia="zh-CN"/>
        </w:rPr>
        <w:t>综合办公室（法制办）、财务股、计划基建股、运输与安全科技股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个二级机构分别是</w:t>
      </w:r>
      <w:r>
        <w:rPr>
          <w:rFonts w:hint="eastAsia" w:ascii="仿宋_GB2312" w:hAnsi="仿宋_GB2312" w:eastAsia="仿宋_GB2312" w:cs="仿宋_GB2312"/>
          <w:sz w:val="32"/>
          <w:szCs w:val="32"/>
          <w:lang w:eastAsia="zh-CN"/>
        </w:rPr>
        <w:t>道路运输服务中心、水运中心、交通建设质量安全监督站、公路养护中心、新洲超限检测站，</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eastAsia="zh-CN"/>
        </w:rPr>
        <w:t>新洲超限检测站</w:t>
      </w:r>
      <w:r>
        <w:rPr>
          <w:rFonts w:hint="eastAsia" w:ascii="仿宋_GB2312" w:hAnsi="仿宋_GB2312" w:eastAsia="仿宋_GB2312" w:cs="仿宋_GB2312"/>
          <w:sz w:val="32"/>
          <w:szCs w:val="32"/>
        </w:rPr>
        <w:t>未独立核算。</w:t>
      </w:r>
      <w:r>
        <w:rPr>
          <w:rFonts w:hint="eastAsia" w:ascii="仿宋_GB2312" w:hAnsi="仿宋_GB2312" w:eastAsia="仿宋_GB2312" w:cs="仿宋_GB2312"/>
          <w:sz w:val="32"/>
          <w:szCs w:val="32"/>
          <w:lang w:eastAsia="zh-CN"/>
        </w:rPr>
        <w:t>其职责职能：</w:t>
      </w:r>
      <w:r>
        <w:rPr>
          <w:rFonts w:hint="eastAsia" w:eastAsia="仿宋_GB2312"/>
          <w:sz w:val="32"/>
          <w:szCs w:val="32"/>
        </w:rPr>
        <w:t>（1）贯彻执行国家和省有关交通运输工作的法律、法规、规章和方针、政策。（2）组织拟订全市公路、水路等行业规划、政策和标准并监督实施。（3）承担全市道路、水路运输市场监管责任。（4）承担全市水上交通安全监管责任。（5）负责提出全市公路、水路固定资产投资规模和方向、市财政性资金和省交通运输厅下拨资金的安排意见，按市政府规定权限审批、核准国家</w:t>
      </w:r>
      <w:r>
        <w:rPr>
          <w:rFonts w:hint="eastAsia" w:ascii="Times New Roman" w:hAnsi="Times New Roman" w:eastAsia="仿宋_GB2312" w:cs="Times New Roman"/>
          <w:sz w:val="32"/>
          <w:szCs w:val="32"/>
        </w:rPr>
        <w:t>和省市规划内及年度计划规模内固定资产投资项目。</w:t>
      </w:r>
    </w:p>
    <w:p>
      <w:pPr>
        <w:pStyle w:val="5"/>
        <w:widowControl/>
        <w:spacing w:line="600" w:lineRule="exact"/>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640" w:firstLineChars="200"/>
        <w:jc w:val="both"/>
        <w:textAlignment w:val="auto"/>
        <w:rPr>
          <w:rFonts w:hint="eastAsia" w:ascii="Times New Roman" w:hAnsi="Times New Roman" w:eastAsia="黑体"/>
          <w:sz w:val="32"/>
          <w:szCs w:val="32"/>
          <w:lang w:val="en-US" w:eastAsia="zh-CN"/>
        </w:rPr>
      </w:pPr>
      <w:r>
        <w:rPr>
          <w:rFonts w:hint="eastAsia" w:ascii="Times New Roman" w:hAnsi="Times New Roman" w:eastAsia="黑体"/>
          <w:sz w:val="32"/>
          <w:szCs w:val="32"/>
        </w:rPr>
        <w:t>（一）</w:t>
      </w:r>
      <w:r>
        <w:rPr>
          <w:rFonts w:ascii="Times New Roman" w:hAnsi="Times New Roman" w:eastAsia="黑体"/>
          <w:sz w:val="32"/>
          <w:szCs w:val="32"/>
        </w:rPr>
        <w:t>基本支出情况</w:t>
      </w:r>
      <w:r>
        <w:rPr>
          <w:rFonts w:hint="eastAsia" w:ascii="Times New Roman" w:hAnsi="Times New Roman" w:eastAsia="黑体"/>
          <w:sz w:val="32"/>
          <w:szCs w:val="32"/>
          <w:lang w:val="en-US" w:eastAsia="zh-CN"/>
        </w:rPr>
        <w:t>:</w:t>
      </w:r>
    </w:p>
    <w:p>
      <w:pPr>
        <w:numPr>
          <w:ilvl w:val="0"/>
          <w:numId w:val="0"/>
        </w:numPr>
        <w:adjustRightInd w:val="0"/>
        <w:snapToGrid w:val="0"/>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年本部门基本支出</w:t>
      </w:r>
      <w:r>
        <w:rPr>
          <w:rFonts w:hint="eastAsia" w:ascii="Times New Roman" w:hAnsi="Times New Roman" w:eastAsia="仿宋_GB2312" w:cs="Times New Roman"/>
          <w:sz w:val="32"/>
          <w:szCs w:val="32"/>
          <w:lang w:val="en-US" w:eastAsia="zh-CN"/>
        </w:rPr>
        <w:t>1256.8</w:t>
      </w:r>
      <w:r>
        <w:rPr>
          <w:rFonts w:hint="eastAsia" w:ascii="Times New Roman" w:hAnsi="Times New Roman" w:eastAsia="仿宋_GB2312" w:cs="Times New Roman"/>
          <w:sz w:val="32"/>
          <w:szCs w:val="32"/>
        </w:rPr>
        <w:t>万元，主要是为保障部门正常运转、完成日常工作任务而发生的各项支出，包括用于基本工资、津贴补贴等人员经费</w:t>
      </w:r>
      <w:r>
        <w:rPr>
          <w:rFonts w:hint="eastAsia" w:ascii="Times New Roman" w:hAnsi="Times New Roman" w:eastAsia="仿宋_GB2312" w:cs="Times New Roman"/>
          <w:sz w:val="32"/>
          <w:szCs w:val="32"/>
          <w:lang w:val="en-US" w:eastAsia="zh-CN"/>
        </w:rPr>
        <w:t>654.18万元，</w:t>
      </w:r>
      <w:r>
        <w:rPr>
          <w:rFonts w:hint="eastAsia" w:ascii="Times New Roman" w:hAnsi="Times New Roman" w:eastAsia="仿宋_GB2312" w:cs="Times New Roman"/>
          <w:sz w:val="32"/>
          <w:szCs w:val="32"/>
        </w:rPr>
        <w:t>以及办公费、印刷费、水电费、办公设备购置等公用经费</w:t>
      </w:r>
      <w:r>
        <w:rPr>
          <w:rFonts w:hint="eastAsia" w:ascii="Times New Roman" w:hAnsi="Times New Roman" w:eastAsia="仿宋_GB2312" w:cs="Times New Roman"/>
          <w:sz w:val="32"/>
          <w:szCs w:val="32"/>
          <w:lang w:val="en-US" w:eastAsia="zh-CN"/>
        </w:rPr>
        <w:t>602.62万元</w:t>
      </w:r>
      <w:r>
        <w:rPr>
          <w:rFonts w:hint="eastAsia" w:ascii="Times New Roman" w:hAnsi="Times New Roman" w:eastAsia="仿宋_GB2312" w:cs="Times New Roman"/>
          <w:sz w:val="32"/>
          <w:szCs w:val="32"/>
        </w:rPr>
        <w:t>。</w:t>
      </w:r>
    </w:p>
    <w:p>
      <w:pPr>
        <w:pStyle w:val="5"/>
        <w:widowControl/>
        <w:spacing w:line="600" w:lineRule="exact"/>
        <w:ind w:left="640" w:firstLine="0" w:firstLineChars="0"/>
        <w:rPr>
          <w:rFonts w:hint="eastAsia" w:ascii="Times New Roman" w:hAnsi="Times New Roman" w:eastAsia="黑体"/>
          <w:sz w:val="32"/>
          <w:szCs w:val="32"/>
          <w:lang w:val="en-US" w:eastAsia="zh-CN"/>
        </w:rPr>
      </w:pP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eastAsia" w:ascii="仿宋" w:hAnsi="仿宋" w:eastAsia="仿宋_GB2312" w:cs="仿宋"/>
          <w:sz w:val="32"/>
          <w:szCs w:val="32"/>
          <w:lang w:val="en-US" w:eastAsia="zh-CN"/>
        </w:rPr>
      </w:pPr>
      <w:r>
        <w:rPr>
          <w:rFonts w:hint="eastAsia" w:ascii="仿宋_GB2312" w:hAnsi="仿宋_GB2312" w:eastAsia="仿宋_GB2312" w:cs="仿宋_GB2312"/>
          <w:w w:val="95"/>
          <w:sz w:val="32"/>
          <w:szCs w:val="32"/>
        </w:rPr>
        <w:t>202</w:t>
      </w:r>
      <w:r>
        <w:rPr>
          <w:rFonts w:hint="eastAsia" w:ascii="仿宋_GB2312" w:hAnsi="仿宋_GB2312" w:eastAsia="仿宋_GB2312" w:cs="仿宋_GB2312"/>
          <w:w w:val="95"/>
          <w:sz w:val="32"/>
          <w:szCs w:val="32"/>
          <w:lang w:val="en-US" w:eastAsia="zh-CN"/>
        </w:rPr>
        <w:t>1</w:t>
      </w:r>
      <w:r>
        <w:rPr>
          <w:rFonts w:hint="eastAsia" w:ascii="仿宋_GB2312" w:hAnsi="仿宋_GB2312" w:eastAsia="仿宋_GB2312" w:cs="仿宋_GB2312"/>
          <w:spacing w:val="8"/>
          <w:w w:val="95"/>
          <w:sz w:val="32"/>
          <w:szCs w:val="32"/>
        </w:rPr>
        <w:t>年本部门项目支出</w:t>
      </w:r>
      <w:r>
        <w:rPr>
          <w:rFonts w:hint="eastAsia" w:ascii="仿宋_GB2312" w:hAnsi="仿宋_GB2312" w:eastAsia="仿宋_GB2312" w:cs="仿宋_GB2312"/>
          <w:spacing w:val="8"/>
          <w:w w:val="95"/>
          <w:sz w:val="32"/>
          <w:szCs w:val="32"/>
          <w:lang w:val="en-US" w:eastAsia="zh-CN"/>
        </w:rPr>
        <w:t>4259.45</w:t>
      </w:r>
      <w:r>
        <w:rPr>
          <w:rFonts w:hint="eastAsia" w:ascii="仿宋_GB2312" w:hAnsi="仿宋_GB2312" w:eastAsia="仿宋_GB2312" w:cs="仿宋_GB2312"/>
          <w:w w:val="95"/>
          <w:sz w:val="32"/>
          <w:szCs w:val="32"/>
        </w:rPr>
        <w:t>万元，</w:t>
      </w:r>
      <w:r>
        <w:rPr>
          <w:rFonts w:hint="eastAsia" w:ascii="仿宋" w:hAnsi="仿宋" w:eastAsia="仿宋"/>
          <w:sz w:val="32"/>
          <w:szCs w:val="32"/>
          <w:lang w:val="en-US" w:eastAsia="zh-CN"/>
        </w:rPr>
        <w:t>项目支出主要包括：1、</w:t>
      </w:r>
      <w:r>
        <w:rPr>
          <w:rFonts w:hint="eastAsia" w:hAnsi="仿宋_GB2312" w:eastAsia="仿宋_GB2312" w:cs="Times New Roman"/>
          <w:sz w:val="32"/>
          <w:szCs w:val="32"/>
          <w:lang w:val="en-US" w:eastAsia="zh-CN"/>
        </w:rPr>
        <w:t>15公里</w:t>
      </w:r>
      <w:r>
        <w:rPr>
          <w:rFonts w:hint="eastAsia" w:ascii="仿宋" w:hAnsi="仿宋" w:eastAsia="仿宋"/>
          <w:sz w:val="32"/>
          <w:szCs w:val="32"/>
          <w:lang w:val="en-US" w:eastAsia="zh-CN"/>
        </w:rPr>
        <w:t>农村安保工程建设98.32万元；2、窄路加宽建设支出91.23万元；3、新能源公交运营补贴60万元；4、其他节能环保补助63万元；5、长山湖桥建设536.69万元；6、</w:t>
      </w:r>
      <w:r>
        <w:rPr>
          <w:rFonts w:hint="eastAsia" w:hAnsi="仿宋_GB2312" w:eastAsia="仿宋_GB2312" w:cs="Times New Roman"/>
          <w:sz w:val="32"/>
          <w:szCs w:val="32"/>
          <w:lang w:val="en-US" w:eastAsia="zh-CN"/>
        </w:rPr>
        <w:t>津市城北区</w:t>
      </w:r>
      <w:r>
        <w:rPr>
          <w:rFonts w:hint="eastAsia" w:ascii="仿宋" w:hAnsi="仿宋" w:eastAsia="仿宋"/>
          <w:sz w:val="32"/>
          <w:szCs w:val="32"/>
          <w:lang w:val="en-US" w:eastAsia="zh-CN"/>
        </w:rPr>
        <w:t>公交停保建设支出632万元；7、</w:t>
      </w:r>
      <w:r>
        <w:rPr>
          <w:rFonts w:hint="eastAsia" w:ascii="仿宋_GB2312" w:hAnsi="仿宋_GB2312" w:eastAsia="仿宋_GB2312" w:cs="仿宋_GB2312"/>
          <w:spacing w:val="8"/>
          <w:w w:val="95"/>
          <w:sz w:val="32"/>
          <w:szCs w:val="32"/>
        </w:rPr>
        <w:t>；</w:t>
      </w:r>
      <w:r>
        <w:rPr>
          <w:rFonts w:hint="eastAsia" w:hAnsi="仿宋_GB2312" w:eastAsia="仿宋_GB2312" w:cs="Times New Roman"/>
          <w:sz w:val="32"/>
          <w:szCs w:val="32"/>
          <w:lang w:val="en-US" w:eastAsia="zh-CN"/>
        </w:rPr>
        <w:t>S224津市新洲至保河堤公路引水渠中桥</w:t>
      </w:r>
      <w:r>
        <w:rPr>
          <w:rFonts w:hint="eastAsia" w:ascii="仿宋" w:hAnsi="仿宋" w:eastAsia="仿宋"/>
          <w:sz w:val="32"/>
          <w:szCs w:val="32"/>
          <w:lang w:val="en-US" w:eastAsia="zh-CN"/>
        </w:rPr>
        <w:t>建设支出685.69万元；8、成品油补助507.82万元；</w:t>
      </w:r>
      <w:r>
        <w:rPr>
          <w:rFonts w:hint="eastAsia" w:ascii="仿宋_GB2312" w:hAnsi="仿宋_GB2312" w:eastAsia="仿宋_GB2312" w:cs="仿宋_GB2312"/>
          <w:spacing w:val="8"/>
          <w:w w:val="95"/>
          <w:sz w:val="32"/>
          <w:szCs w:val="32"/>
          <w:lang w:val="en-US" w:eastAsia="zh-CN"/>
        </w:rPr>
        <w:t>9、</w:t>
      </w:r>
      <w:r>
        <w:rPr>
          <w:rFonts w:hint="eastAsia" w:hAnsi="仿宋_GB2312" w:eastAsia="仿宋_GB2312" w:cs="Times New Roman"/>
          <w:sz w:val="32"/>
          <w:szCs w:val="32"/>
          <w:lang w:val="en-US" w:eastAsia="zh-CN"/>
        </w:rPr>
        <w:t>津市港船舶污染物收集附属工程17.82万元；</w:t>
      </w:r>
      <w:r>
        <w:rPr>
          <w:rFonts w:hint="eastAsia" w:ascii="仿宋" w:hAnsi="仿宋" w:eastAsia="仿宋"/>
          <w:sz w:val="32"/>
          <w:szCs w:val="32"/>
          <w:lang w:val="en-US" w:eastAsia="zh-CN"/>
        </w:rPr>
        <w:t>10、</w:t>
      </w:r>
      <w:r>
        <w:rPr>
          <w:rFonts w:hint="eastAsia" w:ascii="仿宋_GB2312" w:hAnsi="仿宋_GB2312" w:eastAsia="仿宋_GB2312" w:cs="仿宋_GB2312"/>
          <w:spacing w:val="8"/>
          <w:w w:val="95"/>
          <w:sz w:val="32"/>
          <w:szCs w:val="32"/>
          <w:lang w:eastAsia="zh-CN"/>
        </w:rPr>
        <w:t>公路建设</w:t>
      </w:r>
      <w:r>
        <w:rPr>
          <w:rFonts w:hint="eastAsia" w:ascii="仿宋_GB2312" w:hAnsi="仿宋_GB2312" w:eastAsia="仿宋_GB2312" w:cs="仿宋_GB2312"/>
          <w:spacing w:val="8"/>
          <w:w w:val="95"/>
          <w:sz w:val="32"/>
          <w:szCs w:val="32"/>
        </w:rPr>
        <w:t>专项</w:t>
      </w:r>
      <w:r>
        <w:rPr>
          <w:rFonts w:hint="eastAsia" w:ascii="仿宋_GB2312" w:hAnsi="仿宋_GB2312" w:eastAsia="仿宋_GB2312" w:cs="仿宋_GB2312"/>
          <w:spacing w:val="8"/>
          <w:w w:val="95"/>
          <w:sz w:val="32"/>
          <w:szCs w:val="32"/>
          <w:lang w:val="en-US" w:eastAsia="zh-CN"/>
        </w:rPr>
        <w:t>1566.88</w:t>
      </w:r>
      <w:r>
        <w:rPr>
          <w:rFonts w:hint="eastAsia" w:ascii="仿宋_GB2312" w:hAnsi="仿宋_GB2312" w:eastAsia="仿宋_GB2312" w:cs="仿宋_GB2312"/>
          <w:spacing w:val="8"/>
          <w:w w:val="95"/>
          <w:sz w:val="32"/>
          <w:szCs w:val="32"/>
        </w:rPr>
        <w:t>万元，主要用于</w:t>
      </w:r>
      <w:r>
        <w:rPr>
          <w:rFonts w:hint="eastAsia" w:ascii="仿宋_GB2312" w:hAnsi="仿宋_GB2312" w:eastAsia="仿宋_GB2312" w:cs="仿宋_GB2312"/>
          <w:spacing w:val="8"/>
          <w:w w:val="95"/>
          <w:sz w:val="32"/>
          <w:szCs w:val="32"/>
          <w:lang w:eastAsia="zh-CN"/>
        </w:rPr>
        <w:t>交通建设</w:t>
      </w:r>
      <w:r>
        <w:rPr>
          <w:rFonts w:hint="eastAsia" w:ascii="仿宋_GB2312" w:hAnsi="仿宋_GB2312" w:eastAsia="仿宋_GB2312" w:cs="仿宋_GB2312"/>
          <w:spacing w:val="8"/>
          <w:w w:val="95"/>
          <w:sz w:val="32"/>
          <w:szCs w:val="32"/>
        </w:rPr>
        <w:t>等方面</w:t>
      </w:r>
      <w:r>
        <w:rPr>
          <w:rFonts w:hint="eastAsia" w:ascii="仿宋_GB2312" w:hAnsi="仿宋_GB2312" w:eastAsia="仿宋_GB2312" w:cs="仿宋_GB2312"/>
          <w:spacing w:val="8"/>
          <w:w w:val="95"/>
          <w:sz w:val="32"/>
          <w:szCs w:val="32"/>
          <w:lang w:eastAsia="zh-CN"/>
        </w:rPr>
        <w:t>。</w:t>
      </w:r>
    </w:p>
    <w:p>
      <w:pPr>
        <w:pStyle w:val="5"/>
        <w:widowControl/>
        <w:numPr>
          <w:ilvl w:val="0"/>
          <w:numId w:val="0"/>
        </w:numPr>
        <w:spacing w:line="600" w:lineRule="exact"/>
        <w:ind w:firstLine="640" w:firstLineChars="200"/>
        <w:jc w:val="left"/>
        <w:rPr>
          <w:rFonts w:ascii="Times New Roman" w:hAnsi="Times New Roman" w:eastAsia="黑体"/>
          <w:sz w:val="32"/>
          <w:szCs w:val="32"/>
        </w:rPr>
      </w:pPr>
      <w:r>
        <w:rPr>
          <w:rFonts w:hint="eastAsia" w:ascii="Times New Roman" w:hAnsi="Times New Roman" w:eastAsia="黑体"/>
          <w:sz w:val="32"/>
          <w:szCs w:val="32"/>
          <w:lang w:eastAsia="zh-CN"/>
        </w:rPr>
        <w:t>二、</w:t>
      </w:r>
      <w:r>
        <w:rPr>
          <w:rFonts w:ascii="Times New Roman" w:hAnsi="Times New Roman" w:eastAsia="黑体"/>
          <w:sz w:val="32"/>
          <w:szCs w:val="32"/>
        </w:rPr>
        <w:t>政府性基金预算支出情况</w:t>
      </w:r>
    </w:p>
    <w:p>
      <w:pPr>
        <w:pStyle w:val="5"/>
        <w:widowControl/>
        <w:spacing w:line="600" w:lineRule="exact"/>
        <w:ind w:left="0" w:leftChars="0" w:firstLine="640" w:firstLineChars="200"/>
        <w:jc w:val="left"/>
        <w:rPr>
          <w:rFonts w:ascii="Times New Roman" w:hAnsi="Times New Roman" w:eastAsia="黑体"/>
          <w:sz w:val="32"/>
          <w:szCs w:val="32"/>
        </w:rPr>
      </w:pPr>
      <w:r>
        <w:rPr>
          <w:rFonts w:hint="eastAsia" w:ascii="仿宋" w:hAnsi="仿宋" w:eastAsia="仿宋" w:cs="仿宋_GB2312"/>
          <w:bCs/>
          <w:sz w:val="32"/>
          <w:szCs w:val="32"/>
          <w:lang w:val="en-US" w:eastAsia="zh-CN"/>
        </w:rPr>
        <w:t xml:space="preserve"> 2021年全年</w:t>
      </w:r>
      <w:r>
        <w:rPr>
          <w:rFonts w:hint="eastAsia" w:ascii="仿宋" w:hAnsi="仿宋" w:eastAsia="仿宋" w:cs="仿宋_GB2312"/>
          <w:bCs/>
          <w:sz w:val="32"/>
          <w:szCs w:val="32"/>
          <w:lang w:eastAsia="zh-CN"/>
        </w:rPr>
        <w:t>政府性基金预算拨款收入</w:t>
      </w:r>
      <w:r>
        <w:rPr>
          <w:rFonts w:hint="eastAsia" w:ascii="仿宋" w:hAnsi="仿宋" w:eastAsia="仿宋" w:cs="仿宋_GB2312"/>
          <w:bCs/>
          <w:sz w:val="32"/>
          <w:szCs w:val="32"/>
          <w:lang w:val="en-US" w:eastAsia="zh-CN"/>
        </w:rPr>
        <w:t>1457.21万元，政府性基金预算拨款项目支出（S516公路征地拆迁补偿款）1457.21万元，用于公路建设。</w:t>
      </w:r>
    </w:p>
    <w:p>
      <w:pPr>
        <w:pStyle w:val="5"/>
        <w:widowControl/>
        <w:numPr>
          <w:ilvl w:val="0"/>
          <w:numId w:val="0"/>
        </w:numPr>
        <w:spacing w:line="600" w:lineRule="exact"/>
        <w:ind w:firstLine="640" w:firstLineChars="200"/>
        <w:jc w:val="left"/>
        <w:rPr>
          <w:rFonts w:eastAsia="黑体"/>
          <w:sz w:val="32"/>
          <w:szCs w:val="32"/>
        </w:rPr>
      </w:pPr>
      <w:r>
        <w:rPr>
          <w:rFonts w:hint="eastAsia" w:eastAsia="黑体"/>
          <w:sz w:val="32"/>
          <w:szCs w:val="32"/>
          <w:lang w:eastAsia="zh-CN"/>
        </w:rPr>
        <w:t>三</w:t>
      </w:r>
      <w:r>
        <w:rPr>
          <w:rFonts w:eastAsia="黑体"/>
          <w:sz w:val="32"/>
          <w:szCs w:val="32"/>
        </w:rPr>
        <w:t>、部门整体支出绩效情况</w:t>
      </w:r>
    </w:p>
    <w:p>
      <w:pPr>
        <w:pStyle w:val="6"/>
        <w:spacing w:beforeLines="0" w:afterLines="0"/>
        <w:ind w:firstLine="653"/>
        <w:rPr>
          <w:rFonts w:hint="eastAsia" w:ascii="仿宋" w:hAnsi="仿宋" w:eastAsia="仿宋" w:cs="仿宋_GB2312"/>
          <w:bCs/>
          <w:kern w:val="2"/>
          <w:sz w:val="32"/>
          <w:szCs w:val="32"/>
          <w:lang w:val="en-US" w:eastAsia="zh-CN" w:bidi="ar-SA"/>
        </w:rPr>
      </w:pPr>
      <w:r>
        <w:rPr>
          <w:rFonts w:hint="eastAsia" w:ascii="FangSong_GB2312" w:hAnsi="FangSong_GB2312" w:eastAsia="FangSong_GB2312" w:cs="Times New Roman"/>
          <w:color w:val="000000"/>
          <w:sz w:val="32"/>
          <w:szCs w:val="22"/>
        </w:rPr>
        <w:t>202</w:t>
      </w:r>
      <w:r>
        <w:rPr>
          <w:rFonts w:hint="eastAsia" w:ascii="FangSong_GB2312" w:hAnsi="FangSong_GB2312" w:eastAsia="FangSong_GB2312" w:cs="Times New Roman"/>
          <w:color w:val="000000"/>
          <w:sz w:val="32"/>
          <w:szCs w:val="22"/>
          <w:lang w:val="en-US" w:eastAsia="zh-CN"/>
        </w:rPr>
        <w:t>1</w:t>
      </w:r>
      <w:r>
        <w:rPr>
          <w:rFonts w:hint="eastAsia" w:ascii="FangSong_GB2312" w:hAnsi="FangSong_GB2312" w:eastAsia="FangSong_GB2312" w:cs="Times New Roman"/>
          <w:color w:val="000000"/>
          <w:sz w:val="32"/>
          <w:szCs w:val="22"/>
        </w:rPr>
        <w:t>年部门预算即我</w:t>
      </w:r>
      <w:r>
        <w:rPr>
          <w:rFonts w:hint="eastAsia" w:ascii="FangSong_GB2312" w:hAnsi="FangSong_GB2312" w:eastAsia="FangSong_GB2312" w:cs="Times New Roman"/>
          <w:color w:val="000000"/>
          <w:sz w:val="32"/>
          <w:szCs w:val="22"/>
          <w:lang w:eastAsia="zh-CN"/>
        </w:rPr>
        <w:t>局及治超站</w:t>
      </w:r>
      <w:r>
        <w:rPr>
          <w:rFonts w:hint="eastAsia" w:ascii="FangSong_GB2312" w:hAnsi="FangSong_GB2312" w:eastAsia="FangSong_GB2312" w:cs="Times New Roman"/>
          <w:color w:val="000000"/>
          <w:sz w:val="32"/>
          <w:szCs w:val="22"/>
        </w:rPr>
        <w:t>本级预算。</w:t>
      </w:r>
      <w:r>
        <w:rPr>
          <w:rFonts w:hint="eastAsia" w:ascii="FangSong_GB2312" w:hAnsi="FangSong_GB2312" w:eastAsia="FangSong_GB2312"/>
          <w:color w:val="000000"/>
          <w:sz w:val="32"/>
        </w:rPr>
        <w:t>（一）收入</w:t>
      </w:r>
      <w:r>
        <w:rPr>
          <w:rFonts w:hint="eastAsia" w:ascii="仿宋" w:hAnsi="仿宋" w:eastAsia="仿宋" w:cs="仿宋_GB2312"/>
          <w:bCs/>
          <w:kern w:val="2"/>
          <w:sz w:val="32"/>
          <w:szCs w:val="32"/>
          <w:lang w:val="en-US" w:eastAsia="zh-CN" w:bidi="ar-SA"/>
        </w:rPr>
        <w:t>预算：2021年年初预算数6666.58万元，其中，一般公共预算拨款6466.58万元（经费拨款375.38万元，纳入一般公共预算管理的非税收入拨款40万元,常规性追加6051.2万元），上级补助收入200万元。收入较去年增加4502.94万元，其中经费拨款减少0.77万元，纳入一般公共预算管理的非税收入拨款增加2.5万元，上级补助增加200万元。（二）支出预算：2021年年初预算数6666.58万元，其中，一般公共服务0万元，教育0万元，社会保障和就业33.58万元，卫生健康支出11.13万元，</w:t>
      </w:r>
      <w:r>
        <w:rPr>
          <w:rFonts w:hint="eastAsia" w:ascii="Times New Roman" w:hAnsi="仿宋_GB2312" w:eastAsia="仿宋_GB2312" w:cs="Times New Roman"/>
          <w:kern w:val="2"/>
          <w:sz w:val="32"/>
          <w:szCs w:val="32"/>
          <w:lang w:val="en-US" w:eastAsia="zh-CN" w:bidi="ar-SA"/>
        </w:rPr>
        <w:t>住房保障29.95万元，交通运输支出6591.92万元。支出较去年增加4502.94万元，其中基本支出增加128.94万元，项目支出增加4350万元（主要是202</w:t>
      </w:r>
      <w:r>
        <w:rPr>
          <w:rFonts w:hint="eastAsia" w:ascii="仿宋" w:hAnsi="仿宋" w:eastAsia="仿宋" w:cs="仿宋_GB2312"/>
          <w:bCs/>
          <w:kern w:val="2"/>
          <w:sz w:val="32"/>
          <w:szCs w:val="32"/>
          <w:lang w:val="en-US" w:eastAsia="zh-CN" w:bidi="ar-SA"/>
        </w:rPr>
        <w:t>0年S516征地拆迁款）。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Ansi="仿宋_GB2312" w:eastAsia="仿宋_GB2312" w:cs="Times New Roman" w:asciiTheme="minorHAnsi"/>
          <w:kern w:val="2"/>
          <w:sz w:val="32"/>
          <w:szCs w:val="32"/>
          <w:lang w:val="en-US" w:eastAsia="zh-CN" w:bidi="ar-SA"/>
        </w:rPr>
      </w:pPr>
      <w:r>
        <w:rPr>
          <w:rFonts w:hint="eastAsia" w:hAnsi="仿宋_GB2312" w:eastAsia="仿宋_GB2312" w:cs="Times New Roman" w:asciiTheme="minorHAnsi"/>
          <w:kern w:val="2"/>
          <w:sz w:val="32"/>
          <w:szCs w:val="32"/>
          <w:lang w:val="en-US" w:eastAsia="zh-CN" w:bidi="ar-SA"/>
        </w:rPr>
        <w:t>今年来，交通局在市委、市政府的正确领导下，紧扣“工业立市，产业兴城”战略部署，围绕“一三五”发展目标，着力推动全市交通运输工作高质量发展，各项工作取得良好进展，具体情况如下：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hAnsi="仿宋_GB2312" w:eastAsia="仿宋_GB2312" w:cs="Times New Roman"/>
          <w:sz w:val="32"/>
          <w:szCs w:val="32"/>
          <w:lang w:val="en-US" w:eastAsia="zh-CN"/>
        </w:rPr>
      </w:pPr>
      <w:r>
        <w:rPr>
          <w:rFonts w:hint="eastAsia" w:ascii="楷体" w:hAnsi="楷体" w:eastAsia="楷体" w:cs="楷体"/>
          <w:b/>
          <w:bCs/>
          <w:color w:val="000000"/>
          <w:sz w:val="32"/>
          <w:szCs w:val="32"/>
          <w:lang w:eastAsia="zh-CN"/>
        </w:rPr>
        <w:t>一是项目建设成效显著。</w:t>
      </w:r>
      <w:r>
        <w:rPr>
          <w:rFonts w:hint="eastAsia" w:ascii="楷体" w:hAnsi="楷体" w:eastAsia="楷体" w:cs="楷体"/>
          <w:sz w:val="32"/>
          <w:szCs w:val="32"/>
          <w:lang w:val="en-US" w:eastAsia="zh-CN"/>
        </w:rPr>
        <w:t>全面完成续建项目，</w:t>
      </w:r>
      <w:r>
        <w:rPr>
          <w:rFonts w:hint="eastAsia" w:hAnsi="仿宋_GB2312" w:eastAsia="仿宋_GB2312" w:cs="Times New Roman"/>
          <w:sz w:val="32"/>
          <w:szCs w:val="32"/>
          <w:lang w:val="en-US" w:eastAsia="zh-CN"/>
        </w:rPr>
        <w:t>津市城北区公交停保站及综合停车场、S224津市新洲至保河堤公路引水渠中桥建设、长山桥改造工程均已竣工使用；</w:t>
      </w:r>
      <w:r>
        <w:rPr>
          <w:rFonts w:hint="eastAsia" w:ascii="楷体" w:hAnsi="楷体" w:eastAsia="楷体" w:cs="楷体"/>
          <w:sz w:val="32"/>
          <w:szCs w:val="32"/>
          <w:lang w:val="en-US" w:eastAsia="zh-CN"/>
        </w:rPr>
        <w:t>加快推进民生项目，</w:t>
      </w:r>
      <w:r>
        <w:rPr>
          <w:rFonts w:hint="eastAsia" w:hAnsi="仿宋_GB2312" w:eastAsia="仿宋_GB2312" w:cs="Times New Roman"/>
          <w:sz w:val="32"/>
          <w:szCs w:val="32"/>
          <w:lang w:val="en-US" w:eastAsia="zh-CN"/>
        </w:rPr>
        <w:t>15公里农村公路安保工程、3座农村公路危桥拆建、2座干线危桥改造已完工，14公里旅游路、产业路建设、S224线路面大修工程12月底完工；</w:t>
      </w:r>
      <w:r>
        <w:rPr>
          <w:rFonts w:hint="eastAsia" w:ascii="楷体" w:hAnsi="楷体" w:eastAsia="楷体" w:cs="楷体"/>
          <w:sz w:val="32"/>
          <w:szCs w:val="32"/>
          <w:lang w:val="en-US" w:eastAsia="zh-CN"/>
        </w:rPr>
        <w:t>强力推进新开项目，</w:t>
      </w:r>
      <w:r>
        <w:rPr>
          <w:rFonts w:hint="eastAsia" w:hAnsi="仿宋_GB2312" w:eastAsia="仿宋_GB2312" w:cs="Times New Roman"/>
          <w:sz w:val="32"/>
          <w:szCs w:val="32"/>
          <w:lang w:val="en-US" w:eastAsia="zh-CN"/>
        </w:rPr>
        <w:t>S516（原S238）津市新洲至棠华集镇公路（S2标段）正在调概阶段，年底前正式启动路基建设，津市港区散货物流中心工程已启动开工建设，津市港船舶污染物接收、转运及运营服务项目正在进行财评，计划12月份开工。</w:t>
      </w:r>
      <w:r>
        <w:rPr>
          <w:rFonts w:hint="eastAsia" w:ascii="楷体" w:hAnsi="楷体" w:eastAsia="楷体" w:cs="楷体"/>
          <w:sz w:val="32"/>
          <w:szCs w:val="32"/>
          <w:lang w:val="en-US" w:eastAsia="zh-CN"/>
        </w:rPr>
        <w:t>加速前期项目速度，</w:t>
      </w:r>
      <w:r>
        <w:rPr>
          <w:rFonts w:hint="eastAsia" w:hAnsi="仿宋_GB2312" w:eastAsia="仿宋_GB2312" w:cs="Times New Roman"/>
          <w:sz w:val="32"/>
          <w:szCs w:val="32"/>
          <w:lang w:val="en-US" w:eastAsia="zh-CN"/>
        </w:rPr>
        <w:t>G353津市涔水大桥至跃进湖大桥公路、S517津市市工业园临澧互通公路项目，正在规划线路。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hAnsi="仿宋_GB2312" w:eastAsia="仿宋_GB2312" w:cs="Times New Roman"/>
          <w:sz w:val="32"/>
          <w:szCs w:val="32"/>
          <w:lang w:val="en-US" w:eastAsia="zh-CN"/>
        </w:rPr>
      </w:pPr>
      <w:r>
        <w:rPr>
          <w:rFonts w:hint="eastAsia" w:ascii="楷体" w:hAnsi="楷体" w:eastAsia="楷体" w:cs="楷体"/>
          <w:b/>
          <w:bCs/>
          <w:color w:val="000000"/>
          <w:sz w:val="32"/>
          <w:szCs w:val="32"/>
          <w:lang w:val="en-US" w:eastAsia="zh-CN"/>
        </w:rPr>
        <w:t>二是</w:t>
      </w:r>
      <w:r>
        <w:rPr>
          <w:rFonts w:hint="eastAsia" w:ascii="楷体" w:hAnsi="楷体" w:eastAsia="楷体" w:cs="楷体"/>
          <w:b/>
          <w:bCs/>
          <w:color w:val="000000"/>
          <w:sz w:val="32"/>
          <w:szCs w:val="32"/>
          <w:lang w:eastAsia="zh-CN"/>
        </w:rPr>
        <w:t>行业管理有效规范。</w:t>
      </w:r>
      <w:r>
        <w:rPr>
          <w:rFonts w:hint="eastAsia" w:ascii="楷体" w:hAnsi="楷体" w:eastAsia="楷体" w:cs="楷体"/>
          <w:sz w:val="32"/>
          <w:szCs w:val="32"/>
          <w:lang w:val="en-US" w:eastAsia="zh-CN"/>
        </w:rPr>
        <w:t>落实疫情防控责任，</w:t>
      </w:r>
      <w:r>
        <w:rPr>
          <w:rFonts w:hint="eastAsia" w:hAnsi="仿宋_GB2312" w:eastAsia="仿宋_GB2312" w:cs="Times New Roman"/>
          <w:sz w:val="32"/>
          <w:szCs w:val="32"/>
          <w:lang w:val="en-US" w:eastAsia="zh-CN"/>
        </w:rPr>
        <w:t>对市内外各条班线及150台出租车严格落实每日一消毒、测温乘车，道路运输行业疫苗接种率100%；</w:t>
      </w:r>
      <w:r>
        <w:rPr>
          <w:rFonts w:hint="eastAsia" w:ascii="楷体" w:hAnsi="楷体" w:eastAsia="楷体" w:cs="楷体"/>
          <w:sz w:val="32"/>
          <w:szCs w:val="32"/>
          <w:lang w:val="en-US" w:eastAsia="zh-CN"/>
        </w:rPr>
        <w:t>改善道运环境，</w:t>
      </w:r>
      <w:r>
        <w:rPr>
          <w:rFonts w:hint="eastAsia" w:hAnsi="仿宋_GB2312" w:eastAsia="仿宋_GB2312" w:cs="Times New Roman"/>
          <w:sz w:val="32"/>
          <w:szCs w:val="32"/>
          <w:lang w:val="en-US" w:eastAsia="zh-CN"/>
        </w:rPr>
        <w:t>查处营运车辆无证运输经营11</w:t>
      </w:r>
      <w:r>
        <w:rPr>
          <w:rFonts w:hint="eastAsia" w:ascii="Times New Roman" w:hAnsi="仿宋_GB2312" w:eastAsia="仿宋_GB2312" w:cs="Times New Roman"/>
          <w:sz w:val="32"/>
          <w:szCs w:val="32"/>
          <w:lang w:val="en-US" w:eastAsia="zh-CN"/>
        </w:rPr>
        <w:t>起、“黑的”“黑摩”非法营运</w:t>
      </w:r>
      <w:r>
        <w:rPr>
          <w:rFonts w:hint="eastAsia" w:hAnsi="仿宋_GB2312" w:eastAsia="仿宋_GB2312" w:cs="Times New Roman"/>
          <w:sz w:val="32"/>
          <w:szCs w:val="32"/>
          <w:lang w:val="en-US" w:eastAsia="zh-CN"/>
        </w:rPr>
        <w:t>31</w:t>
      </w:r>
      <w:r>
        <w:rPr>
          <w:rFonts w:hint="eastAsia" w:ascii="Times New Roman" w:hAnsi="仿宋_GB2312" w:eastAsia="仿宋_GB2312" w:cs="Times New Roman"/>
          <w:sz w:val="32"/>
          <w:szCs w:val="32"/>
          <w:lang w:val="en-US" w:eastAsia="zh-CN"/>
        </w:rPr>
        <w:t>起，处罚违法出</w:t>
      </w:r>
      <w:r>
        <w:rPr>
          <w:rFonts w:hint="eastAsia" w:hAnsi="仿宋_GB2312" w:eastAsia="仿宋_GB2312" w:cs="Times New Roman"/>
          <w:sz w:val="32"/>
          <w:szCs w:val="32"/>
          <w:lang w:val="en-US" w:eastAsia="zh-CN"/>
        </w:rPr>
        <w:t>租车辆11台；</w:t>
      </w:r>
      <w:r>
        <w:rPr>
          <w:rFonts w:hint="eastAsia" w:ascii="楷体" w:hAnsi="楷体" w:eastAsia="楷体" w:cs="楷体"/>
          <w:sz w:val="32"/>
          <w:szCs w:val="32"/>
          <w:lang w:val="en-US" w:eastAsia="zh-CN"/>
        </w:rPr>
        <w:t>强化水运监管，</w:t>
      </w:r>
      <w:r>
        <w:rPr>
          <w:rFonts w:hint="eastAsia" w:hAnsi="仿宋_GB2312" w:eastAsia="仿宋_GB2312" w:cs="Times New Roman"/>
          <w:sz w:val="32"/>
          <w:szCs w:val="32"/>
          <w:lang w:val="en-US" w:eastAsia="zh-CN"/>
        </w:rPr>
        <w:t>全面完成船舶岸电受电设施改造今年任务15艘，辖区企业安责险、船舶船员保险和渡船购保率达100％；</w:t>
      </w:r>
      <w:r>
        <w:rPr>
          <w:rFonts w:hint="eastAsia" w:ascii="楷体" w:hAnsi="楷体" w:eastAsia="楷体" w:cs="楷体"/>
          <w:sz w:val="32"/>
          <w:szCs w:val="32"/>
          <w:lang w:val="en-US" w:eastAsia="zh-CN"/>
        </w:rPr>
        <w:t>巩固治超工作成效，</w:t>
      </w:r>
      <w:r>
        <w:rPr>
          <w:rFonts w:hint="eastAsia" w:hAnsi="仿宋_GB2312" w:eastAsia="仿宋_GB2312" w:cs="Times New Roman"/>
          <w:sz w:val="32"/>
          <w:szCs w:val="32"/>
          <w:lang w:val="en-US" w:eastAsia="zh-CN"/>
        </w:rPr>
        <w:t>加强路警联合执法与科技治超，查处超限超载车辆293台次，卸载货物4865.74吨。</w:t>
      </w:r>
    </w:p>
    <w:p>
      <w:pPr>
        <w:pStyle w:val="8"/>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宋体" w:cs="楷体"/>
          <w:b w:val="0"/>
          <w:bCs w:val="0"/>
          <w:color w:val="000000"/>
          <w:sz w:val="32"/>
          <w:szCs w:val="32"/>
          <w:lang w:val="en-US" w:eastAsia="zh-CN"/>
        </w:rPr>
      </w:pPr>
      <w:r>
        <w:rPr>
          <w:rFonts w:hint="eastAsia" w:ascii="楷体" w:hAnsi="楷体" w:eastAsia="楷体" w:cs="楷体"/>
          <w:b/>
          <w:bCs/>
          <w:color w:val="000000"/>
          <w:sz w:val="32"/>
          <w:szCs w:val="32"/>
          <w:lang w:val="en-US" w:eastAsia="zh-CN"/>
        </w:rPr>
        <w:t>三是</w:t>
      </w:r>
      <w:r>
        <w:rPr>
          <w:rFonts w:hint="eastAsia" w:ascii="楷体" w:hAnsi="楷体" w:eastAsia="楷体" w:cs="楷体"/>
          <w:b/>
          <w:bCs/>
          <w:color w:val="000000"/>
          <w:sz w:val="32"/>
          <w:szCs w:val="32"/>
          <w:lang w:eastAsia="zh-CN"/>
        </w:rPr>
        <w:t>重点工作推进有效</w:t>
      </w:r>
      <w:r>
        <w:rPr>
          <w:rFonts w:hint="eastAsia" w:ascii="楷体" w:hAnsi="楷体" w:eastAsia="楷体" w:cs="楷体"/>
          <w:b/>
          <w:bCs/>
          <w:color w:val="000000"/>
          <w:sz w:val="32"/>
          <w:szCs w:val="32"/>
          <w:lang w:val="en-US" w:eastAsia="zh-CN"/>
        </w:rPr>
        <w:t>。</w:t>
      </w:r>
      <w:r>
        <w:rPr>
          <w:rFonts w:hint="eastAsia" w:ascii="楷体_GB2312" w:hAnsi="楷体_GB2312" w:eastAsia="楷体_GB2312" w:cs="楷体_GB2312"/>
          <w:b w:val="0"/>
          <w:bCs w:val="0"/>
          <w:kern w:val="2"/>
          <w:sz w:val="32"/>
          <w:szCs w:val="32"/>
          <w:lang w:val="en-US" w:eastAsia="zh-CN" w:bidi="ar-SA"/>
        </w:rPr>
        <w:t>强化水运振兴，</w:t>
      </w:r>
      <w:r>
        <w:rPr>
          <w:rFonts w:hint="eastAsia" w:hAnsi="仿宋_GB2312" w:eastAsia="仿宋_GB2312" w:cs="Times New Roman"/>
          <w:sz w:val="32"/>
          <w:szCs w:val="32"/>
          <w:lang w:val="en-US" w:eastAsia="zh-CN"/>
        </w:rPr>
        <w:t>对标对表市委、市</w:t>
      </w:r>
      <w:r>
        <w:rPr>
          <w:rFonts w:hint="eastAsia" w:hAnsi="仿宋_GB2312" w:eastAsia="仿宋_GB2312" w:cs="Times New Roman" w:asciiTheme="minorHAnsi"/>
          <w:kern w:val="2"/>
          <w:sz w:val="32"/>
          <w:szCs w:val="32"/>
          <w:lang w:val="en-US" w:eastAsia="zh-CN" w:bidi="ar-SA"/>
        </w:rPr>
        <w:t>政府“六件大事”，积极向上汇报协调，今年3月获得省政府《港规》批复。津市港二期项目于4月获得省发改委工可批复，已启动开工建设；抓好招商引资，成功引进自动化流水线系统签约项目，由上海蓝怡科技有限公司投资1.2个亿，已完工投产。中科精瓒医疗技术有限公司已拿到3个产品注册证，将在津市启动生产并扩大投资；加快处理历史遗留问题，澧水二桥、S238公路S1标段工程、续建津市城北区公交停保站及综合停车场等遗留问题已形成详细汇报材料，拟向市政府审议通过解决实施方案。</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hAnsi="仿宋_GB2312" w:eastAsia="仿宋_GB2312" w:cs="Times New Roman"/>
          <w:sz w:val="32"/>
          <w:szCs w:val="32"/>
          <w:lang w:val="en-US" w:eastAsia="zh-CN"/>
        </w:rPr>
      </w:pPr>
      <w:r>
        <w:rPr>
          <w:rFonts w:hint="eastAsia" w:ascii="楷体" w:hAnsi="楷体" w:eastAsia="楷体" w:cs="楷体"/>
          <w:b/>
          <w:bCs/>
          <w:color w:val="000000"/>
          <w:sz w:val="32"/>
          <w:szCs w:val="32"/>
          <w:lang w:val="en-US" w:eastAsia="zh-CN"/>
        </w:rPr>
        <w:t>四是安全生产落实有力。</w:t>
      </w:r>
      <w:r>
        <w:rPr>
          <w:rFonts w:hint="eastAsia" w:hAnsi="仿宋_GB2312" w:eastAsia="仿宋_GB2312" w:cs="Times New Roman"/>
          <w:sz w:val="32"/>
          <w:szCs w:val="32"/>
          <w:lang w:val="en-US" w:eastAsia="zh-CN"/>
        </w:rPr>
        <w:t>组织交通干部职工学习习近平总书记关于安全生产重要论述4次，组织企业负责人及安全管理人员开展轮训12次，严格落实重大隐患治理“一单四制”等制度；持续推进安全生产专项整治三年行动，开展督导检查53次，检查企业172家次，发现并整改一般隐患问题37起，整改重大隐患1起；深入开展交通问题“顽瘴痼疾”安全隐患路段大排查大整治，全面完成国省道、农村公路66处隐患路段整改销号；今年我市交通运输领域无一起重大安全生产事故发生。</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仿宋_GB2312"/>
          <w:sz w:val="32"/>
          <w:szCs w:val="32"/>
          <w:lang w:eastAsia="zh-CN"/>
        </w:rPr>
      </w:pPr>
      <w:r>
        <w:rPr>
          <w:rFonts w:hint="eastAsia" w:ascii="楷体" w:hAnsi="楷体" w:eastAsia="楷体" w:cs="楷体"/>
          <w:b/>
          <w:bCs/>
          <w:color w:val="000000"/>
          <w:sz w:val="32"/>
          <w:szCs w:val="32"/>
          <w:lang w:val="en-US" w:eastAsia="zh-CN"/>
        </w:rPr>
        <w:t>五是</w:t>
      </w:r>
      <w:r>
        <w:rPr>
          <w:rFonts w:hint="eastAsia" w:ascii="楷体" w:hAnsi="楷体" w:eastAsia="楷体" w:cs="楷体"/>
          <w:b/>
          <w:bCs/>
          <w:color w:val="000000"/>
          <w:sz w:val="32"/>
          <w:szCs w:val="32"/>
          <w:lang w:eastAsia="zh-CN"/>
        </w:rPr>
        <w:t>重点改革进展顺利。</w:t>
      </w:r>
      <w:r>
        <w:rPr>
          <w:rFonts w:hint="eastAsia" w:ascii="Times New Roman" w:hAnsi="仿宋_GB2312" w:eastAsia="仿宋_GB2312"/>
          <w:sz w:val="32"/>
          <w:szCs w:val="32"/>
        </w:rPr>
        <w:t>加快</w:t>
      </w:r>
      <w:r>
        <w:rPr>
          <w:rFonts w:hint="eastAsia" w:ascii="Times New Roman" w:hAnsi="仿宋_GB2312" w:eastAsia="仿宋_GB2312"/>
          <w:sz w:val="32"/>
          <w:szCs w:val="32"/>
          <w:lang w:eastAsia="zh-CN"/>
        </w:rPr>
        <w:t>实施</w:t>
      </w:r>
      <w:r>
        <w:rPr>
          <w:rFonts w:hint="eastAsia" w:ascii="Times New Roman" w:hAnsi="仿宋_GB2312" w:eastAsia="仿宋_GB2312"/>
          <w:sz w:val="32"/>
          <w:szCs w:val="32"/>
        </w:rPr>
        <w:t>城乡客运一体化改革，</w:t>
      </w:r>
      <w:r>
        <w:rPr>
          <w:rFonts w:hint="eastAsia" w:ascii="仿宋_GB2312" w:hAnsi="仿宋_GB2312" w:eastAsia="仿宋_GB2312" w:cs="仿宋_GB2312"/>
          <w:sz w:val="32"/>
          <w:szCs w:val="32"/>
          <w:lang w:val="en-US" w:eastAsia="zh-CN"/>
        </w:rPr>
        <w:t>组织制定了《津市市城乡客运一体化工作</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lang w:val="en-US" w:eastAsia="zh-CN"/>
        </w:rPr>
        <w:t>方案》等相关初步方案，</w:t>
      </w:r>
      <w:r>
        <w:rPr>
          <w:rFonts w:hint="eastAsia" w:hAnsi="仿宋_GB2312" w:eastAsia="仿宋_GB2312" w:cs="Times New Roman"/>
          <w:sz w:val="32"/>
          <w:szCs w:val="32"/>
          <w:lang w:val="en-US" w:eastAsia="zh-CN"/>
        </w:rPr>
        <w:t>参加省交通厅组织的</w:t>
      </w:r>
      <w:r>
        <w:rPr>
          <w:rFonts w:hint="eastAsia" w:ascii="仿宋_GB2312" w:hAnsi="仿宋_GB2312" w:eastAsia="仿宋_GB2312" w:cs="仿宋_GB2312"/>
          <w:sz w:val="32"/>
          <w:szCs w:val="32"/>
          <w:lang w:val="en-US" w:eastAsia="zh-CN"/>
        </w:rPr>
        <w:t>湖南省</w:t>
      </w:r>
      <w:r>
        <w:rPr>
          <w:rFonts w:hint="eastAsia" w:hAnsi="仿宋_GB2312" w:eastAsia="仿宋_GB2312" w:cs="Times New Roman"/>
          <w:sz w:val="32"/>
          <w:szCs w:val="32"/>
          <w:lang w:val="en-US" w:eastAsia="zh-CN"/>
        </w:rPr>
        <w:t>第三批城乡客运一体化示范县比选，被成功纳入第三批示范县市区创建名单，</w:t>
      </w:r>
      <w:r>
        <w:rPr>
          <w:rFonts w:hint="eastAsia" w:ascii="仿宋_GB2312" w:hAnsi="仿宋_GB2312" w:eastAsia="仿宋_GB2312" w:cs="仿宋_GB2312"/>
          <w:sz w:val="32"/>
          <w:szCs w:val="32"/>
          <w:lang w:val="en-US" w:eastAsia="zh-CN"/>
        </w:rPr>
        <w:t>并获得</w:t>
      </w:r>
      <w:r>
        <w:rPr>
          <w:rFonts w:hint="eastAsia" w:hAnsi="仿宋_GB2312" w:eastAsia="仿宋_GB2312" w:cs="Times New Roman"/>
          <w:sz w:val="32"/>
          <w:szCs w:val="32"/>
          <w:lang w:val="en-US" w:eastAsia="zh-CN"/>
        </w:rPr>
        <w:t>资金奖补600万元；强力推进交通运输综合行政执法改革，目前已组建津市市交通运输综合行政执法局，完成编制数调整、核定，12月底前人员转隶到位；《交通运输领域首违不罚工作方案》已拿出，首违不罚清单正在加快研究定稿，将紧密结合实际，体现津市特色。</w:t>
      </w:r>
    </w:p>
    <w:p>
      <w:pPr>
        <w:pStyle w:val="5"/>
        <w:widowControl/>
        <w:spacing w:line="600" w:lineRule="exact"/>
        <w:ind w:left="0" w:leftChars="0" w:firstLine="640" w:firstLineChars="200"/>
        <w:jc w:val="left"/>
        <w:rPr>
          <w:rFonts w:ascii="Times New Roman" w:hAnsi="Times New Roman" w:eastAsia="黑体"/>
          <w:sz w:val="32"/>
          <w:szCs w:val="32"/>
        </w:rPr>
      </w:pPr>
      <w:r>
        <w:rPr>
          <w:rFonts w:hint="eastAsia" w:ascii="Times New Roman" w:hAnsi="Times New Roman" w:eastAsia="黑体"/>
          <w:sz w:val="32"/>
          <w:szCs w:val="32"/>
          <w:lang w:eastAsia="zh-CN"/>
        </w:rPr>
        <w:t>四</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eastAsia="zh-CN"/>
        </w:rPr>
        <w:t>毛里湖引水渠</w:t>
      </w:r>
      <w:r>
        <w:rPr>
          <w:rFonts w:hint="eastAsia" w:eastAsia="仿宋_GB2312"/>
          <w:sz w:val="32"/>
          <w:szCs w:val="32"/>
        </w:rPr>
        <w:t>于202</w:t>
      </w:r>
      <w:r>
        <w:rPr>
          <w:rFonts w:hint="eastAsia" w:eastAsia="仿宋_GB2312"/>
          <w:sz w:val="32"/>
          <w:szCs w:val="32"/>
          <w:lang w:val="en-US" w:eastAsia="zh-CN"/>
        </w:rPr>
        <w:t>0</w:t>
      </w:r>
      <w:r>
        <w:rPr>
          <w:rFonts w:hint="eastAsia" w:eastAsia="仿宋_GB2312"/>
          <w:sz w:val="32"/>
          <w:szCs w:val="32"/>
        </w:rPr>
        <w:t>年</w:t>
      </w:r>
      <w:r>
        <w:rPr>
          <w:rFonts w:hint="eastAsia" w:eastAsia="仿宋_GB2312"/>
          <w:sz w:val="32"/>
          <w:szCs w:val="32"/>
          <w:lang w:val="en-US" w:eastAsia="zh-CN"/>
        </w:rPr>
        <w:t>7</w:t>
      </w:r>
      <w:r>
        <w:rPr>
          <w:rFonts w:hint="eastAsia" w:eastAsia="仿宋_GB2312"/>
          <w:sz w:val="32"/>
          <w:szCs w:val="32"/>
        </w:rPr>
        <w:t>月</w:t>
      </w:r>
      <w:r>
        <w:rPr>
          <w:rFonts w:hint="eastAsia" w:eastAsia="仿宋_GB2312"/>
          <w:sz w:val="32"/>
          <w:szCs w:val="32"/>
          <w:lang w:val="en-US" w:eastAsia="zh-CN"/>
        </w:rPr>
        <w:t>11日启动S224线K86+420段排涝涵洞拆除扩宽工程</w:t>
      </w:r>
      <w:r>
        <w:rPr>
          <w:rFonts w:hint="eastAsia" w:eastAsia="仿宋_GB2312"/>
          <w:sz w:val="32"/>
          <w:szCs w:val="32"/>
        </w:rPr>
        <w:t>，</w:t>
      </w:r>
      <w:r>
        <w:rPr>
          <w:rFonts w:hint="eastAsia" w:eastAsia="仿宋_GB2312"/>
          <w:sz w:val="32"/>
          <w:szCs w:val="32"/>
          <w:lang w:eastAsia="zh-CN"/>
        </w:rPr>
        <w:t>同时采取限载</w:t>
      </w:r>
      <w:r>
        <w:rPr>
          <w:rFonts w:hint="eastAsia" w:eastAsia="仿宋_GB2312"/>
          <w:sz w:val="32"/>
          <w:szCs w:val="32"/>
          <w:lang w:val="en-US" w:eastAsia="zh-CN"/>
        </w:rPr>
        <w:t>100吨钢架铺助桥的方式确保交通畅通，因天气原因</w:t>
      </w:r>
      <w:r>
        <w:rPr>
          <w:rFonts w:hint="eastAsia" w:eastAsia="仿宋_GB2312"/>
          <w:sz w:val="32"/>
          <w:szCs w:val="32"/>
        </w:rPr>
        <w:t>导</w:t>
      </w:r>
      <w:r>
        <w:rPr>
          <w:rFonts w:hint="eastAsia" w:eastAsia="仿宋_GB2312"/>
          <w:sz w:val="32"/>
          <w:szCs w:val="32"/>
          <w:lang w:eastAsia="zh-CN"/>
        </w:rPr>
        <w:t>致</w:t>
      </w:r>
      <w:r>
        <w:rPr>
          <w:rFonts w:hint="eastAsia" w:eastAsia="仿宋_GB2312"/>
          <w:sz w:val="32"/>
          <w:szCs w:val="32"/>
        </w:rPr>
        <w:t>工期延长</w:t>
      </w:r>
      <w:bookmarkStart w:id="0" w:name="_GoBack"/>
      <w:bookmarkEnd w:id="0"/>
      <w:r>
        <w:rPr>
          <w:rFonts w:hint="eastAsia" w:eastAsia="仿宋_GB2312"/>
          <w:sz w:val="32"/>
          <w:szCs w:val="32"/>
        </w:rPr>
        <w:t>。</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jc w:val="left"/>
        <w:rPr>
          <w:rFonts w:hint="default" w:eastAsia="黑体"/>
          <w:sz w:val="32"/>
          <w:szCs w:val="32"/>
          <w:lang w:val="en-US" w:eastAsia="zh-CN"/>
        </w:rPr>
      </w:pPr>
      <w:r>
        <w:rPr>
          <w:rFonts w:hint="eastAsia" w:eastAsia="黑体"/>
          <w:sz w:val="32"/>
          <w:szCs w:val="32"/>
          <w:lang w:val="en-US" w:eastAsia="zh-CN"/>
        </w:rPr>
        <w:t xml:space="preserve">    无</w:t>
      </w:r>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leftChars="200"/>
        <w:jc w:val="left"/>
        <w:rPr>
          <w:rFonts w:hint="eastAsia" w:eastAsia="黑体"/>
          <w:sz w:val="32"/>
          <w:szCs w:val="32"/>
          <w:lang w:val="en-US" w:eastAsia="zh-CN"/>
        </w:rPr>
      </w:pPr>
      <w:r>
        <w:rPr>
          <w:rFonts w:hint="eastAsia" w:eastAsia="黑体"/>
          <w:sz w:val="32"/>
          <w:szCs w:val="32"/>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FangSong_GB2312">
    <w:altName w:val="仿宋"/>
    <w:panose1 w:val="00000000000000000000"/>
    <w:charset w:val="86"/>
    <w:family w:val="swiss"/>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11353"/>
    <w:multiLevelType w:val="singleLevel"/>
    <w:tmpl w:val="FEF11353"/>
    <w:lvl w:ilvl="0" w:tentative="0">
      <w:start w:val="5"/>
      <w:numFmt w:val="chineseCounting"/>
      <w:suff w:val="nothing"/>
      <w:lvlText w:val="%1、"/>
      <w:lvlJc w:val="left"/>
      <w:rPr>
        <w:rFonts w:hint="eastAsia"/>
      </w:rPr>
    </w:lvl>
  </w:abstractNum>
  <w:abstractNum w:abstractNumId="1">
    <w:nsid w:val="0572B1A3"/>
    <w:multiLevelType w:val="singleLevel"/>
    <w:tmpl w:val="0572B1A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DA21426"/>
    <w:rsid w:val="26E40EBA"/>
    <w:rsid w:val="38655B64"/>
    <w:rsid w:val="3A076E09"/>
    <w:rsid w:val="3B8F3226"/>
    <w:rsid w:val="3D8C4848"/>
    <w:rsid w:val="3E46434D"/>
    <w:rsid w:val="4A8D31D2"/>
    <w:rsid w:val="5A9D5D9B"/>
    <w:rsid w:val="5D826406"/>
    <w:rsid w:val="5DFA737C"/>
    <w:rsid w:val="5FC627A0"/>
    <w:rsid w:val="60635419"/>
    <w:rsid w:val="73A141ED"/>
    <w:rsid w:val="7B927126"/>
    <w:rsid w:val="7FE73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99"/>
    <w:pPr>
      <w:ind w:firstLine="420" w:firstLineChars="200"/>
    </w:pPr>
    <w:rPr>
      <w:rFonts w:ascii="Calibri" w:hAnsi="Calibri" w:eastAsia="宋体" w:cs="Times New Roman"/>
      <w:szCs w:val="22"/>
    </w:rPr>
  </w:style>
  <w:style w:type="paragraph" w:customStyle="1" w:styleId="6">
    <w:name w:val="CM6"/>
    <w:basedOn w:val="7"/>
    <w:next w:val="7"/>
    <w:unhideWhenUsed/>
    <w:qFormat/>
    <w:uiPriority w:val="99"/>
    <w:pPr>
      <w:spacing w:beforeLines="0" w:afterLines="0" w:line="600" w:lineRule="atLeast"/>
    </w:pPr>
    <w:rPr>
      <w:rFonts w:hint="default"/>
      <w:sz w:val="24"/>
    </w:rPr>
  </w:style>
  <w:style w:type="paragraph" w:customStyle="1" w:styleId="7">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rPr>
  </w:style>
  <w:style w:type="paragraph" w:customStyle="1" w:styleId="8">
    <w:name w:val="样式 文字 + 首行缩进:  2 字符3"/>
    <w:basedOn w:val="1"/>
    <w:qFormat/>
    <w:uiPriority w:val="0"/>
    <w:pPr>
      <w:spacing w:line="360" w:lineRule="auto"/>
      <w:jc w:val="left"/>
    </w:pPr>
    <w:rPr>
      <w:rFonts w:ascii="Times New Roman" w:hAnsi="Times New Roman" w:eastAsia="宋体" w:cs="Times New Roman"/>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2022-03-28T01:59:43Z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