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eastAsia="方正小标宋_GBK"/>
          <w:sz w:val="36"/>
          <w:szCs w:val="36"/>
          <w:lang w:val="en-US" w:eastAsia="zh-CN"/>
        </w:rPr>
      </w:pPr>
      <w:r>
        <w:rPr>
          <w:rFonts w:hint="eastAsia" w:eastAsia="方正小标宋_GBK"/>
          <w:sz w:val="36"/>
          <w:szCs w:val="36"/>
          <w:lang w:val="en-US" w:eastAsia="zh-CN"/>
        </w:rPr>
        <w:t>津市市交通建设质量安全监督站</w:t>
      </w:r>
    </w:p>
    <w:p>
      <w:pPr>
        <w:spacing w:line="600" w:lineRule="exact"/>
        <w:jc w:val="center"/>
        <w:rPr>
          <w:rFonts w:eastAsia="方正小标宋_GBK"/>
          <w:sz w:val="32"/>
          <w:szCs w:val="32"/>
        </w:rPr>
      </w:pPr>
      <w:r>
        <w:rPr>
          <w:rFonts w:hint="eastAsia" w:eastAsia="方正小标宋_GBK"/>
          <w:sz w:val="36"/>
          <w:szCs w:val="36"/>
          <w:lang w:val="en-US" w:eastAsia="zh-CN"/>
        </w:rPr>
        <w:t>2021年度</w:t>
      </w:r>
      <w:r>
        <w:rPr>
          <w:rFonts w:eastAsia="方正小标宋_GBK"/>
          <w:sz w:val="36"/>
          <w:szCs w:val="36"/>
        </w:rPr>
        <w:t>部门整体支出绩效报告</w:t>
      </w:r>
    </w:p>
    <w:p>
      <w:pPr>
        <w:spacing w:line="600" w:lineRule="exact"/>
        <w:jc w:val="center"/>
        <w:rPr>
          <w:rFonts w:eastAsia="方正小标宋_GBK"/>
          <w:sz w:val="32"/>
          <w:szCs w:val="32"/>
        </w:rPr>
      </w:pPr>
    </w:p>
    <w:p>
      <w:pPr>
        <w:pStyle w:val="5"/>
        <w:widowControl/>
        <w:numPr>
          <w:ilvl w:val="0"/>
          <w:numId w:val="1"/>
        </w:numPr>
        <w:spacing w:line="600" w:lineRule="exact"/>
        <w:ind w:left="640" w:firstLine="0" w:firstLineChars="0"/>
        <w:rPr>
          <w:rFonts w:ascii="Times New Roman" w:hAnsi="Times New Roman" w:eastAsia="黑体"/>
          <w:sz w:val="32"/>
          <w:szCs w:val="32"/>
        </w:rPr>
      </w:pPr>
      <w:r>
        <w:rPr>
          <w:rFonts w:ascii="Times New Roman" w:hAnsi="Times New Roman" w:eastAsia="黑体"/>
          <w:sz w:val="32"/>
          <w:szCs w:val="32"/>
        </w:rPr>
        <w:t>部门、单位基本情况</w:t>
      </w:r>
    </w:p>
    <w:p>
      <w:pPr>
        <w:ind w:firstLine="617" w:firstLineChars="193"/>
        <w:rPr>
          <w:rFonts w:ascii="仿宋" w:hAnsi="仿宋" w:eastAsia="仿宋"/>
          <w:color w:val="3D3D3D"/>
          <w:sz w:val="32"/>
          <w:szCs w:val="32"/>
        </w:rPr>
      </w:pPr>
      <w:r>
        <w:rPr>
          <w:rFonts w:hint="eastAsia" w:ascii="Times New Roman" w:hAnsi="Times New Roman" w:eastAsia="黑体"/>
          <w:sz w:val="32"/>
          <w:szCs w:val="32"/>
          <w:lang w:val="en-US" w:eastAsia="zh-CN"/>
        </w:rPr>
        <w:t xml:space="preserve">   </w:t>
      </w:r>
      <w:r>
        <w:rPr>
          <w:rFonts w:hint="eastAsia" w:ascii="仿宋_GB2312" w:hAnsi="仿宋_GB2312" w:eastAsia="仿宋_GB2312" w:cs="仿宋_GB2312"/>
          <w:color w:val="3D3D3D"/>
          <w:kern w:val="0"/>
          <w:sz w:val="32"/>
          <w:szCs w:val="32"/>
          <w:lang w:val="en-US" w:eastAsia="zh-CN" w:bidi="ar-SA"/>
        </w:rPr>
        <w:t>津市市交通建设质量安全监督站为津市市交通运输局主管的具有行政职能的正科级事业单位，具体负责本辖区内在建交通工程的质量安全监督和行业监督管理工作，</w:t>
      </w:r>
      <w:r>
        <w:rPr>
          <w:rFonts w:hint="eastAsia" w:ascii="仿宋_GB2312" w:hAnsi="仿宋_GB2312" w:eastAsia="仿宋_GB2312" w:cs="仿宋_GB2312"/>
          <w:color w:val="3D3D3D"/>
          <w:kern w:val="0"/>
          <w:sz w:val="32"/>
          <w:szCs w:val="32"/>
        </w:rPr>
        <w:t>为独立核算的</w:t>
      </w:r>
      <w:r>
        <w:rPr>
          <w:rFonts w:hint="eastAsia" w:ascii="仿宋_GB2312" w:hAnsi="仿宋_GB2312" w:eastAsia="仿宋_GB2312" w:cs="仿宋_GB2312"/>
          <w:color w:val="3D3D3D"/>
          <w:kern w:val="0"/>
          <w:sz w:val="32"/>
          <w:szCs w:val="32"/>
          <w:lang w:eastAsia="zh-CN"/>
        </w:rPr>
        <w:t>事业</w:t>
      </w:r>
      <w:r>
        <w:rPr>
          <w:rFonts w:hint="eastAsia" w:ascii="仿宋_GB2312" w:hAnsi="仿宋_GB2312" w:eastAsia="仿宋_GB2312" w:cs="仿宋_GB2312"/>
          <w:color w:val="3D3D3D"/>
          <w:kern w:val="0"/>
          <w:sz w:val="32"/>
          <w:szCs w:val="32"/>
        </w:rPr>
        <w:t>单位，</w:t>
      </w:r>
      <w:r>
        <w:rPr>
          <w:rFonts w:hint="eastAsia" w:ascii="仿宋_GB2312" w:hAnsi="仿宋_GB2312" w:eastAsia="仿宋_GB2312" w:cs="仿宋_GB2312"/>
          <w:color w:val="3D3D3D"/>
          <w:kern w:val="0"/>
          <w:sz w:val="32"/>
          <w:szCs w:val="32"/>
          <w:lang w:eastAsia="zh-CN"/>
        </w:rPr>
        <w:t>属于二</w:t>
      </w:r>
      <w:r>
        <w:rPr>
          <w:rFonts w:hint="eastAsia" w:ascii="仿宋_GB2312" w:hAnsi="仿宋_GB2312" w:eastAsia="仿宋_GB2312" w:cs="仿宋_GB2312"/>
          <w:color w:val="3D3D3D"/>
          <w:kern w:val="0"/>
          <w:sz w:val="32"/>
          <w:szCs w:val="32"/>
        </w:rPr>
        <w:t>级预算单位。根据编委核定，我局下设</w:t>
      </w:r>
      <w:r>
        <w:rPr>
          <w:rFonts w:hint="eastAsia" w:ascii="仿宋_GB2312" w:hAnsi="仿宋_GB2312" w:eastAsia="仿宋_GB2312" w:cs="仿宋_GB2312"/>
          <w:color w:val="3D3D3D"/>
          <w:kern w:val="0"/>
          <w:sz w:val="32"/>
          <w:szCs w:val="32"/>
          <w:lang w:val="en-US" w:eastAsia="zh-CN"/>
        </w:rPr>
        <w:t>3</w:t>
      </w:r>
      <w:r>
        <w:rPr>
          <w:rFonts w:hint="eastAsia" w:ascii="仿宋_GB2312" w:hAnsi="仿宋_GB2312" w:eastAsia="仿宋_GB2312" w:cs="仿宋_GB2312"/>
          <w:color w:val="3D3D3D"/>
          <w:kern w:val="0"/>
          <w:sz w:val="32"/>
          <w:szCs w:val="32"/>
        </w:rPr>
        <w:t>个</w:t>
      </w:r>
      <w:r>
        <w:rPr>
          <w:rFonts w:hint="eastAsia" w:ascii="仿宋_GB2312" w:hAnsi="仿宋_GB2312" w:eastAsia="仿宋_GB2312" w:cs="仿宋_GB2312"/>
          <w:color w:val="3D3D3D"/>
          <w:kern w:val="0"/>
          <w:sz w:val="32"/>
          <w:szCs w:val="32"/>
          <w:lang w:eastAsia="zh-CN"/>
        </w:rPr>
        <w:t>股</w:t>
      </w:r>
      <w:r>
        <w:rPr>
          <w:rFonts w:hint="eastAsia" w:ascii="仿宋_GB2312" w:hAnsi="仿宋_GB2312" w:eastAsia="仿宋_GB2312" w:cs="仿宋_GB2312"/>
          <w:color w:val="3D3D3D"/>
          <w:kern w:val="0"/>
          <w:sz w:val="32"/>
          <w:szCs w:val="32"/>
        </w:rPr>
        <w:t>室，</w:t>
      </w:r>
      <w:r>
        <w:rPr>
          <w:rFonts w:hint="eastAsia" w:ascii="仿宋_GB2312" w:hAnsi="仿宋_GB2312" w:eastAsia="仿宋_GB2312" w:cs="仿宋_GB2312"/>
          <w:color w:val="3D3D3D"/>
          <w:kern w:val="0"/>
          <w:sz w:val="32"/>
          <w:szCs w:val="32"/>
          <w:lang w:eastAsia="zh-CN"/>
        </w:rPr>
        <w:t>分别为办公室、工程质量监督股、工程施工安全监督股。</w:t>
      </w:r>
    </w:p>
    <w:p>
      <w:pPr>
        <w:spacing w:line="360" w:lineRule="auto"/>
        <w:rPr>
          <w:rFonts w:ascii="Times New Roman" w:hAnsi="Times New Roman" w:eastAsia="黑体"/>
          <w:sz w:val="32"/>
          <w:szCs w:val="32"/>
        </w:rPr>
      </w:pPr>
      <w:r>
        <w:rPr>
          <w:rFonts w:hint="eastAsia" w:ascii="仿宋" w:hAnsi="Calibri" w:eastAsia="仿宋"/>
          <w:color w:val="000000"/>
          <w:kern w:val="0"/>
          <w:sz w:val="32"/>
          <w:szCs w:val="32"/>
          <w:lang w:val="en-US" w:eastAsia="zh-CN"/>
        </w:rPr>
        <w:t xml:space="preserve">   </w:t>
      </w: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5"/>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ind w:firstLine="960" w:firstLineChars="300"/>
        <w:rPr>
          <w:rFonts w:hint="default" w:ascii="仿宋" w:hAnsi="仿宋" w:eastAsia="仿宋" w:cs="宋体"/>
          <w:color w:val="3D3D3D"/>
          <w:kern w:val="0"/>
          <w:sz w:val="32"/>
          <w:szCs w:val="32"/>
          <w:lang w:val="en-US" w:eastAsia="zh-CN"/>
        </w:rPr>
      </w:pPr>
      <w:r>
        <w:rPr>
          <w:rFonts w:hint="eastAsia" w:ascii="仿宋_GB2312" w:hAnsi="仿宋_GB2312" w:eastAsia="仿宋_GB2312" w:cs="仿宋_GB2312"/>
          <w:sz w:val="32"/>
          <w:szCs w:val="32"/>
          <w:lang w:eastAsia="zh-CN"/>
        </w:rPr>
        <w:t>交通建设质量安全监督站</w:t>
      </w:r>
      <w:r>
        <w:rPr>
          <w:rFonts w:hint="eastAsia" w:ascii="仿宋" w:hAnsi="仿宋" w:eastAsia="仿宋" w:cs="宋体"/>
          <w:color w:val="3D3D3D"/>
          <w:kern w:val="0"/>
          <w:sz w:val="32"/>
          <w:szCs w:val="32"/>
        </w:rPr>
        <w:t>20</w:t>
      </w:r>
      <w:r>
        <w:rPr>
          <w:rFonts w:hint="eastAsia" w:ascii="仿宋" w:hAnsi="仿宋" w:eastAsia="仿宋" w:cs="宋体"/>
          <w:color w:val="3D3D3D"/>
          <w:kern w:val="0"/>
          <w:sz w:val="32"/>
          <w:szCs w:val="32"/>
          <w:lang w:val="en-US" w:eastAsia="zh-CN"/>
        </w:rPr>
        <w:t>21年决算总</w:t>
      </w:r>
      <w:r>
        <w:rPr>
          <w:rFonts w:hint="eastAsia" w:ascii="仿宋" w:hAnsi="仿宋" w:eastAsia="仿宋" w:cs="宋体"/>
          <w:color w:val="3D3D3D"/>
          <w:kern w:val="0"/>
          <w:sz w:val="32"/>
          <w:szCs w:val="32"/>
        </w:rPr>
        <w:t>支出</w:t>
      </w:r>
      <w:r>
        <w:rPr>
          <w:rFonts w:hint="eastAsia" w:ascii="仿宋" w:hAnsi="仿宋" w:eastAsia="仿宋" w:cs="宋体"/>
          <w:color w:val="3D3D3D"/>
          <w:kern w:val="0"/>
          <w:sz w:val="32"/>
          <w:szCs w:val="32"/>
          <w:lang w:val="en-US" w:eastAsia="zh-CN"/>
        </w:rPr>
        <w:t>133.32</w:t>
      </w:r>
      <w:r>
        <w:rPr>
          <w:rFonts w:hint="eastAsia" w:ascii="仿宋" w:hAnsi="仿宋" w:eastAsia="仿宋" w:cs="宋体"/>
          <w:color w:val="3D3D3D"/>
          <w:kern w:val="0"/>
          <w:sz w:val="32"/>
          <w:szCs w:val="32"/>
        </w:rPr>
        <w:t>万元，其中：人员经费</w:t>
      </w:r>
      <w:r>
        <w:rPr>
          <w:rFonts w:hint="eastAsia" w:ascii="仿宋" w:hAnsi="仿宋" w:eastAsia="仿宋" w:cs="宋体"/>
          <w:color w:val="3D3D3D"/>
          <w:kern w:val="0"/>
          <w:sz w:val="32"/>
          <w:szCs w:val="32"/>
          <w:lang w:val="en-US" w:eastAsia="zh-CN"/>
        </w:rPr>
        <w:t>118.10</w:t>
      </w:r>
      <w:r>
        <w:rPr>
          <w:rFonts w:hint="eastAsia" w:ascii="仿宋" w:hAnsi="仿宋" w:eastAsia="仿宋" w:cs="宋体"/>
          <w:color w:val="3D3D3D"/>
          <w:kern w:val="0"/>
          <w:sz w:val="32"/>
          <w:szCs w:val="32"/>
        </w:rPr>
        <w:t>万元，包括：基本工资、津贴补贴、奖金、其他社会保障缴费、绩效工资、其他工资福利支出、住房公积金、退休费、生活补贴</w:t>
      </w:r>
      <w:r>
        <w:rPr>
          <w:rFonts w:hint="eastAsia" w:ascii="仿宋" w:hAnsi="仿宋" w:eastAsia="仿宋" w:cs="宋体"/>
          <w:color w:val="3D3D3D"/>
          <w:kern w:val="0"/>
          <w:sz w:val="32"/>
          <w:szCs w:val="32"/>
          <w:lang w:eastAsia="zh-CN"/>
        </w:rPr>
        <w:t>、救济费等</w:t>
      </w:r>
      <w:r>
        <w:rPr>
          <w:rFonts w:hint="eastAsia" w:ascii="仿宋" w:hAnsi="仿宋" w:eastAsia="仿宋" w:cs="宋体"/>
          <w:color w:val="3D3D3D"/>
          <w:kern w:val="0"/>
          <w:sz w:val="32"/>
          <w:szCs w:val="32"/>
        </w:rPr>
        <w:t>；公用经费</w:t>
      </w:r>
      <w:r>
        <w:rPr>
          <w:rFonts w:hint="eastAsia" w:ascii="仿宋" w:hAnsi="仿宋" w:eastAsia="仿宋" w:cs="宋体"/>
          <w:color w:val="3D3D3D"/>
          <w:kern w:val="0"/>
          <w:sz w:val="32"/>
          <w:szCs w:val="32"/>
          <w:lang w:val="en-US" w:eastAsia="zh-CN"/>
        </w:rPr>
        <w:t>15.22</w:t>
      </w:r>
      <w:r>
        <w:rPr>
          <w:rFonts w:hint="eastAsia" w:ascii="仿宋" w:hAnsi="仿宋" w:eastAsia="仿宋" w:cs="宋体"/>
          <w:color w:val="3D3D3D"/>
          <w:kern w:val="0"/>
          <w:sz w:val="32"/>
          <w:szCs w:val="32"/>
        </w:rPr>
        <w:t>万元，包括：</w:t>
      </w:r>
      <w:r>
        <w:rPr>
          <w:rFonts w:hint="eastAsia" w:ascii="仿宋" w:hAnsi="仿宋" w:eastAsia="仿宋" w:cs="宋体"/>
          <w:color w:val="3D3D3D"/>
          <w:kern w:val="0"/>
          <w:sz w:val="32"/>
          <w:szCs w:val="32"/>
          <w:lang w:eastAsia="zh-CN"/>
        </w:rPr>
        <w:t>办公</w:t>
      </w:r>
      <w:r>
        <w:rPr>
          <w:rFonts w:hint="eastAsia" w:ascii="仿宋" w:hAnsi="仿宋" w:eastAsia="仿宋" w:cs="宋体"/>
          <w:color w:val="3D3D3D"/>
          <w:kern w:val="0"/>
          <w:sz w:val="32"/>
          <w:szCs w:val="32"/>
        </w:rPr>
        <w:t>费、</w:t>
      </w:r>
      <w:r>
        <w:rPr>
          <w:rFonts w:hint="eastAsia" w:ascii="仿宋" w:hAnsi="仿宋" w:eastAsia="仿宋" w:cs="宋体"/>
          <w:color w:val="3D3D3D"/>
          <w:kern w:val="0"/>
          <w:sz w:val="32"/>
          <w:szCs w:val="32"/>
          <w:lang w:eastAsia="zh-CN"/>
        </w:rPr>
        <w:t>印刷费、三公经费、</w:t>
      </w:r>
      <w:r>
        <w:rPr>
          <w:rFonts w:hint="eastAsia" w:ascii="仿宋" w:hAnsi="仿宋" w:eastAsia="仿宋" w:cs="宋体"/>
          <w:color w:val="3D3D3D"/>
          <w:kern w:val="0"/>
          <w:sz w:val="32"/>
          <w:szCs w:val="32"/>
        </w:rPr>
        <w:t>物业管理费、工会</w:t>
      </w:r>
      <w:r>
        <w:rPr>
          <w:rFonts w:hint="eastAsia" w:ascii="仿宋" w:hAnsi="仿宋" w:eastAsia="仿宋" w:cs="宋体"/>
          <w:color w:val="3D3D3D"/>
          <w:kern w:val="0"/>
          <w:sz w:val="32"/>
          <w:szCs w:val="32"/>
          <w:lang w:eastAsia="zh-CN"/>
        </w:rPr>
        <w:t>经</w:t>
      </w:r>
      <w:r>
        <w:rPr>
          <w:rFonts w:hint="eastAsia" w:ascii="仿宋" w:hAnsi="仿宋" w:eastAsia="仿宋" w:cs="宋体"/>
          <w:color w:val="3D3D3D"/>
          <w:kern w:val="0"/>
          <w:sz w:val="32"/>
          <w:szCs w:val="32"/>
        </w:rPr>
        <w:t>费、</w:t>
      </w:r>
      <w:r>
        <w:rPr>
          <w:rFonts w:hint="eastAsia" w:ascii="仿宋" w:hAnsi="仿宋" w:eastAsia="仿宋" w:cs="宋体"/>
          <w:color w:val="3D3D3D"/>
          <w:kern w:val="0"/>
          <w:sz w:val="32"/>
          <w:szCs w:val="32"/>
          <w:lang w:eastAsia="zh-CN"/>
        </w:rPr>
        <w:t>党建经费</w:t>
      </w:r>
      <w:r>
        <w:rPr>
          <w:rFonts w:hint="eastAsia" w:ascii="仿宋" w:hAnsi="仿宋" w:eastAsia="仿宋" w:cs="宋体"/>
          <w:color w:val="3D3D3D"/>
          <w:kern w:val="0"/>
          <w:sz w:val="32"/>
          <w:szCs w:val="32"/>
        </w:rPr>
        <w:t>、其他交通费、其他商品和服务支出等等。</w:t>
      </w:r>
      <w:r>
        <w:rPr>
          <w:rFonts w:hint="eastAsia" w:ascii="仿宋" w:hAnsi="仿宋" w:eastAsia="仿宋" w:cs="宋体"/>
          <w:color w:val="3D3D3D"/>
          <w:kern w:val="0"/>
          <w:sz w:val="32"/>
          <w:szCs w:val="32"/>
          <w:lang w:val="en-US" w:eastAsia="zh-CN"/>
        </w:rPr>
        <w:t>2022年预算总支出184.38万元，相比2021年增加27.69%，主要原因业务量增加。2020年决算总支出124.14万元，2021年相比2020年决算增加6.88%。</w:t>
      </w:r>
    </w:p>
    <w:p>
      <w:pPr>
        <w:pStyle w:val="5"/>
        <w:widowControl/>
        <w:numPr>
          <w:ilvl w:val="0"/>
          <w:numId w:val="2"/>
        </w:numPr>
        <w:spacing w:line="600" w:lineRule="exact"/>
        <w:ind w:left="0" w:leftChars="0" w:firstLine="320" w:firstLineChars="100"/>
        <w:rPr>
          <w:rFonts w:ascii="Times New Roman" w:hAnsi="Times New Roman" w:eastAsia="黑体"/>
          <w:sz w:val="32"/>
          <w:szCs w:val="32"/>
        </w:rPr>
      </w:pPr>
      <w:r>
        <w:rPr>
          <w:rFonts w:ascii="Times New Roman" w:hAnsi="Times New Roman" w:eastAsia="黑体"/>
          <w:sz w:val="32"/>
          <w:szCs w:val="32"/>
        </w:rPr>
        <w:t>项目支出情况</w:t>
      </w:r>
    </w:p>
    <w:p>
      <w:pPr>
        <w:ind w:firstLine="617" w:firstLineChars="193"/>
        <w:rPr>
          <w:rFonts w:hint="eastAsia" w:ascii="仿宋" w:hAnsi="仿宋" w:eastAsia="仿宋" w:cs="宋体"/>
          <w:color w:val="3D3D3D"/>
          <w:kern w:val="0"/>
          <w:sz w:val="32"/>
          <w:szCs w:val="32"/>
          <w:lang w:eastAsia="zh-CN"/>
        </w:rPr>
      </w:pPr>
      <w:r>
        <w:rPr>
          <w:rFonts w:hint="eastAsia" w:ascii="仿宋_GB2312" w:hAnsi="仿宋_GB2312" w:eastAsia="仿宋_GB2312" w:cs="仿宋_GB2312"/>
          <w:sz w:val="32"/>
          <w:szCs w:val="32"/>
          <w:lang w:eastAsia="zh-CN"/>
        </w:rPr>
        <w:t>交通建设质量安全监督站</w:t>
      </w:r>
      <w:r>
        <w:rPr>
          <w:rFonts w:hint="eastAsia" w:ascii="仿宋" w:hAnsi="仿宋" w:eastAsia="仿宋" w:cs="宋体"/>
          <w:color w:val="3D3D3D"/>
          <w:kern w:val="0"/>
          <w:sz w:val="32"/>
          <w:szCs w:val="32"/>
        </w:rPr>
        <w:t>20</w:t>
      </w:r>
      <w:r>
        <w:rPr>
          <w:rFonts w:hint="eastAsia" w:ascii="仿宋" w:hAnsi="仿宋" w:eastAsia="仿宋" w:cs="宋体"/>
          <w:color w:val="3D3D3D"/>
          <w:kern w:val="0"/>
          <w:sz w:val="32"/>
          <w:szCs w:val="32"/>
          <w:lang w:val="en-US" w:eastAsia="zh-CN"/>
        </w:rPr>
        <w:t>21</w:t>
      </w:r>
      <w:r>
        <w:rPr>
          <w:rFonts w:hint="eastAsia" w:ascii="仿宋" w:hAnsi="仿宋" w:eastAsia="仿宋" w:cs="宋体"/>
          <w:color w:val="3D3D3D"/>
          <w:kern w:val="0"/>
          <w:sz w:val="32"/>
          <w:szCs w:val="32"/>
        </w:rPr>
        <w:t>年</w:t>
      </w:r>
      <w:r>
        <w:rPr>
          <w:rFonts w:hint="eastAsia" w:ascii="仿宋" w:hAnsi="仿宋" w:eastAsia="仿宋" w:cs="宋体"/>
          <w:color w:val="3D3D3D"/>
          <w:kern w:val="0"/>
          <w:sz w:val="32"/>
          <w:szCs w:val="32"/>
          <w:lang w:eastAsia="zh-CN"/>
        </w:rPr>
        <w:t>无项目支出。</w:t>
      </w:r>
    </w:p>
    <w:p>
      <w:pPr>
        <w:pStyle w:val="5"/>
        <w:widowControl/>
        <w:numPr>
          <w:numId w:val="0"/>
        </w:numPr>
        <w:spacing w:line="600" w:lineRule="exact"/>
        <w:ind w:firstLine="640" w:firstLineChars="200"/>
        <w:jc w:val="left"/>
        <w:rPr>
          <w:rFonts w:ascii="Times New Roman" w:hAnsi="Times New Roman" w:eastAsia="黑体"/>
          <w:sz w:val="32"/>
          <w:szCs w:val="32"/>
        </w:rPr>
      </w:pPr>
      <w:r>
        <w:rPr>
          <w:rFonts w:hint="eastAsia" w:ascii="Times New Roman" w:hAnsi="Times New Roman" w:eastAsia="黑体"/>
          <w:sz w:val="32"/>
          <w:szCs w:val="32"/>
          <w:lang w:eastAsia="zh-CN"/>
        </w:rPr>
        <w:t>三、</w:t>
      </w:r>
      <w:r>
        <w:rPr>
          <w:rFonts w:ascii="Times New Roman" w:hAnsi="Times New Roman" w:eastAsia="黑体"/>
          <w:sz w:val="32"/>
          <w:szCs w:val="32"/>
        </w:rPr>
        <w:t>政府性基金预算支出情况</w:t>
      </w:r>
    </w:p>
    <w:p>
      <w:pPr>
        <w:pStyle w:val="5"/>
        <w:widowControl/>
        <w:numPr>
          <w:numId w:val="0"/>
        </w:numPr>
        <w:spacing w:line="600" w:lineRule="exact"/>
        <w:ind w:left="640" w:leftChars="0"/>
        <w:jc w:val="left"/>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无政府性基金预算支出</w:t>
      </w:r>
    </w:p>
    <w:p>
      <w:pPr>
        <w:widowControl/>
        <w:numPr>
          <w:ilvl w:val="0"/>
          <w:numId w:val="3"/>
        </w:numPr>
        <w:spacing w:line="600" w:lineRule="exact"/>
        <w:ind w:firstLine="645"/>
        <w:jc w:val="left"/>
        <w:rPr>
          <w:rFonts w:eastAsia="黑体"/>
          <w:sz w:val="32"/>
          <w:szCs w:val="32"/>
        </w:rPr>
      </w:pPr>
      <w:r>
        <w:rPr>
          <w:rFonts w:eastAsia="黑体"/>
          <w:sz w:val="32"/>
          <w:szCs w:val="32"/>
        </w:rPr>
        <w:t>部门整体支出绩效情况</w:t>
      </w:r>
    </w:p>
    <w:p>
      <w:pPr>
        <w:ind w:firstLine="617" w:firstLineChars="193"/>
        <w:rPr>
          <w:rFonts w:ascii="仿宋" w:hAnsi="仿宋" w:eastAsia="仿宋" w:cs="宋体"/>
          <w:color w:val="3D3D3D"/>
          <w:kern w:val="0"/>
          <w:sz w:val="32"/>
          <w:szCs w:val="32"/>
        </w:rPr>
      </w:pPr>
      <w:r>
        <w:rPr>
          <w:rFonts w:hint="eastAsia" w:ascii="仿宋" w:hAnsi="仿宋" w:eastAsia="仿宋" w:cs="宋体"/>
          <w:color w:val="3D3D3D"/>
          <w:kern w:val="0"/>
          <w:sz w:val="32"/>
          <w:szCs w:val="32"/>
        </w:rPr>
        <w:t>20</w:t>
      </w:r>
      <w:r>
        <w:rPr>
          <w:rFonts w:hint="eastAsia" w:ascii="仿宋" w:hAnsi="仿宋" w:eastAsia="仿宋" w:cs="宋体"/>
          <w:color w:val="3D3D3D"/>
          <w:kern w:val="0"/>
          <w:sz w:val="32"/>
          <w:szCs w:val="32"/>
          <w:lang w:val="en-US" w:eastAsia="zh-CN"/>
        </w:rPr>
        <w:t>21</w:t>
      </w:r>
      <w:r>
        <w:rPr>
          <w:rFonts w:hint="eastAsia" w:ascii="仿宋" w:hAnsi="仿宋" w:eastAsia="仿宋" w:cs="宋体"/>
          <w:color w:val="3D3D3D"/>
          <w:kern w:val="0"/>
          <w:sz w:val="32"/>
          <w:szCs w:val="32"/>
        </w:rPr>
        <w:t>年</w:t>
      </w:r>
      <w:r>
        <w:rPr>
          <w:rFonts w:hint="eastAsia" w:ascii="仿宋_GB2312" w:hAnsi="仿宋_GB2312" w:eastAsia="仿宋_GB2312" w:cs="仿宋_GB2312"/>
          <w:sz w:val="32"/>
          <w:szCs w:val="32"/>
          <w:lang w:eastAsia="zh-CN"/>
        </w:rPr>
        <w:t>交通建设质量安全监督站</w:t>
      </w:r>
      <w:r>
        <w:rPr>
          <w:rFonts w:hint="eastAsia" w:ascii="仿宋" w:hAnsi="仿宋" w:eastAsia="仿宋" w:cs="宋体"/>
          <w:color w:val="3D3D3D"/>
          <w:kern w:val="0"/>
          <w:sz w:val="32"/>
          <w:szCs w:val="32"/>
        </w:rPr>
        <w:t>整体绩效目标（含项目支出）实现全覆盖，涉及一般公共预算拨款</w:t>
      </w:r>
      <w:r>
        <w:rPr>
          <w:rFonts w:hint="eastAsia" w:ascii="仿宋" w:hAnsi="仿宋" w:eastAsia="仿宋" w:cs="宋体"/>
          <w:color w:val="3D3D3D"/>
          <w:kern w:val="0"/>
          <w:sz w:val="32"/>
          <w:szCs w:val="32"/>
          <w:lang w:val="en-US" w:eastAsia="zh-CN"/>
        </w:rPr>
        <w:t>133.32</w:t>
      </w:r>
      <w:r>
        <w:rPr>
          <w:rFonts w:hint="eastAsia" w:ascii="仿宋" w:hAnsi="仿宋" w:eastAsia="仿宋" w:cs="宋体"/>
          <w:color w:val="3D3D3D"/>
          <w:kern w:val="0"/>
          <w:sz w:val="32"/>
          <w:szCs w:val="32"/>
        </w:rPr>
        <w:t>万元，其中：项目绩效目标涉及一般公共预算拨款</w:t>
      </w:r>
      <w:r>
        <w:rPr>
          <w:rFonts w:hint="eastAsia" w:ascii="仿宋" w:hAnsi="仿宋" w:eastAsia="仿宋" w:cs="宋体"/>
          <w:color w:val="3D3D3D"/>
          <w:kern w:val="0"/>
          <w:sz w:val="32"/>
          <w:szCs w:val="32"/>
          <w:lang w:val="en-US" w:eastAsia="zh-CN"/>
        </w:rPr>
        <w:t>0</w:t>
      </w:r>
      <w:r>
        <w:rPr>
          <w:rFonts w:hint="eastAsia" w:ascii="仿宋" w:hAnsi="仿宋" w:eastAsia="仿宋" w:cs="宋体"/>
          <w:color w:val="3D3D3D"/>
          <w:kern w:val="0"/>
          <w:sz w:val="32"/>
          <w:szCs w:val="32"/>
        </w:rPr>
        <w:t>万元；纳入以部门为主体的重点绩效评价项目涉及一般公共预算拨款</w:t>
      </w:r>
      <w:r>
        <w:rPr>
          <w:rFonts w:hint="eastAsia" w:ascii="仿宋" w:hAnsi="仿宋" w:eastAsia="仿宋" w:cs="宋体"/>
          <w:color w:val="3D3D3D"/>
          <w:kern w:val="0"/>
          <w:sz w:val="32"/>
          <w:szCs w:val="32"/>
          <w:lang w:val="en-US" w:eastAsia="zh-CN"/>
        </w:rPr>
        <w:t>0</w:t>
      </w:r>
      <w:r>
        <w:rPr>
          <w:rFonts w:hint="eastAsia" w:ascii="仿宋" w:hAnsi="仿宋" w:eastAsia="仿宋" w:cs="宋体"/>
          <w:color w:val="3D3D3D"/>
          <w:kern w:val="0"/>
          <w:sz w:val="32"/>
          <w:szCs w:val="32"/>
        </w:rPr>
        <w:t>万元。20</w:t>
      </w:r>
      <w:r>
        <w:rPr>
          <w:rFonts w:hint="eastAsia" w:ascii="仿宋" w:hAnsi="仿宋" w:eastAsia="仿宋" w:cs="宋体"/>
          <w:color w:val="3D3D3D"/>
          <w:kern w:val="0"/>
          <w:sz w:val="32"/>
          <w:szCs w:val="32"/>
          <w:lang w:val="en-US" w:eastAsia="zh-CN"/>
        </w:rPr>
        <w:t>22</w:t>
      </w:r>
      <w:r>
        <w:rPr>
          <w:rFonts w:hint="eastAsia" w:ascii="仿宋" w:hAnsi="仿宋" w:eastAsia="仿宋" w:cs="宋体"/>
          <w:color w:val="3D3D3D"/>
          <w:kern w:val="0"/>
          <w:sz w:val="32"/>
          <w:szCs w:val="32"/>
        </w:rPr>
        <w:t>年市</w:t>
      </w:r>
      <w:r>
        <w:rPr>
          <w:rFonts w:hint="eastAsia" w:ascii="仿宋" w:hAnsi="仿宋" w:eastAsia="仿宋" w:cs="宋体"/>
          <w:color w:val="3D3D3D"/>
          <w:kern w:val="0"/>
          <w:sz w:val="32"/>
          <w:szCs w:val="32"/>
          <w:lang w:eastAsia="zh-CN"/>
        </w:rPr>
        <w:t>交通建设质量安全监督站</w:t>
      </w:r>
      <w:r>
        <w:rPr>
          <w:rFonts w:hint="eastAsia" w:ascii="仿宋" w:hAnsi="仿宋" w:eastAsia="仿宋" w:cs="宋体"/>
          <w:color w:val="3D3D3D"/>
          <w:kern w:val="0"/>
          <w:sz w:val="32"/>
          <w:szCs w:val="32"/>
        </w:rPr>
        <w:t>整体绩效目标（含项目支出）实现全覆盖，涉及一般公共预算拨款</w:t>
      </w:r>
      <w:r>
        <w:rPr>
          <w:rFonts w:hint="eastAsia" w:ascii="仿宋" w:hAnsi="仿宋" w:eastAsia="仿宋" w:cs="宋体"/>
          <w:color w:val="3D3D3D"/>
          <w:kern w:val="0"/>
          <w:sz w:val="32"/>
          <w:szCs w:val="32"/>
          <w:lang w:val="en-US" w:eastAsia="zh-CN"/>
        </w:rPr>
        <w:t>184.38</w:t>
      </w:r>
      <w:r>
        <w:rPr>
          <w:rFonts w:hint="eastAsia" w:ascii="仿宋" w:hAnsi="仿宋" w:eastAsia="仿宋" w:cs="宋体"/>
          <w:color w:val="3D3D3D"/>
          <w:kern w:val="0"/>
          <w:sz w:val="32"/>
          <w:szCs w:val="32"/>
        </w:rPr>
        <w:t>万元。其中：项目绩效目标涉及一般公共预算拨款</w:t>
      </w:r>
      <w:r>
        <w:rPr>
          <w:rFonts w:hint="eastAsia" w:ascii="仿宋" w:hAnsi="仿宋" w:eastAsia="仿宋" w:cs="宋体"/>
          <w:color w:val="3D3D3D"/>
          <w:kern w:val="0"/>
          <w:sz w:val="32"/>
          <w:szCs w:val="32"/>
          <w:lang w:val="en-US" w:eastAsia="zh-CN"/>
        </w:rPr>
        <w:t>0</w:t>
      </w:r>
      <w:r>
        <w:rPr>
          <w:rFonts w:hint="eastAsia" w:ascii="仿宋" w:hAnsi="仿宋" w:eastAsia="仿宋" w:cs="宋体"/>
          <w:color w:val="3D3D3D"/>
          <w:kern w:val="0"/>
          <w:sz w:val="32"/>
          <w:szCs w:val="32"/>
        </w:rPr>
        <w:t>万元；纳入以部门为主体的重点绩效评价项目涉及一般公共预算拨款</w:t>
      </w:r>
      <w:r>
        <w:rPr>
          <w:rFonts w:hint="eastAsia" w:ascii="仿宋" w:hAnsi="仿宋" w:eastAsia="仿宋" w:cs="宋体"/>
          <w:color w:val="3D3D3D"/>
          <w:kern w:val="0"/>
          <w:sz w:val="32"/>
          <w:szCs w:val="32"/>
          <w:lang w:val="en-US" w:eastAsia="zh-CN"/>
        </w:rPr>
        <w:t>0</w:t>
      </w:r>
      <w:r>
        <w:rPr>
          <w:rFonts w:hint="eastAsia" w:ascii="仿宋" w:hAnsi="仿宋" w:eastAsia="仿宋" w:cs="宋体"/>
          <w:color w:val="3D3D3D"/>
          <w:kern w:val="0"/>
          <w:sz w:val="32"/>
          <w:szCs w:val="32"/>
        </w:rPr>
        <w:t>万元。</w:t>
      </w:r>
    </w:p>
    <w:p>
      <w:pPr>
        <w:widowControl/>
        <w:numPr>
          <w:ilvl w:val="0"/>
          <w:numId w:val="3"/>
        </w:numPr>
        <w:tabs>
          <w:tab w:val="left" w:pos="633"/>
        </w:tabs>
        <w:spacing w:line="600" w:lineRule="exact"/>
        <w:ind w:left="0" w:leftChars="0" w:firstLine="645" w:firstLineChars="0"/>
        <w:jc w:val="left"/>
        <w:rPr>
          <w:rFonts w:ascii="Times New Roman" w:hAnsi="Times New Roman" w:eastAsia="黑体"/>
          <w:sz w:val="32"/>
          <w:szCs w:val="32"/>
        </w:rPr>
      </w:pPr>
      <w:r>
        <w:rPr>
          <w:rFonts w:ascii="Times New Roman" w:hAnsi="Times New Roman" w:eastAsia="黑体"/>
          <w:sz w:val="32"/>
          <w:szCs w:val="32"/>
        </w:rPr>
        <w:t>存在的问题及原因分析</w:t>
      </w:r>
    </w:p>
    <w:p>
      <w:pPr>
        <w:pStyle w:val="2"/>
        <w:widowControl/>
        <w:numPr>
          <w:ilvl w:val="0"/>
          <w:numId w:val="4"/>
        </w:numPr>
        <w:shd w:val="clear" w:fill="FFFFFF"/>
        <w:spacing w:line="480" w:lineRule="auto"/>
        <w:ind w:left="150" w:leftChars="0" w:firstLine="480" w:firstLineChars="0"/>
        <w:jc w:val="both"/>
        <w:rPr>
          <w:rFonts w:hint="eastAsia" w:ascii="仿宋" w:hAnsi="仿宋" w:eastAsia="仿宋" w:cs="仿宋_GB2312"/>
          <w:kern w:val="2"/>
          <w:sz w:val="32"/>
          <w:szCs w:val="32"/>
          <w:lang w:val="en-US" w:eastAsia="zh-CN" w:bidi="ar-SA"/>
        </w:rPr>
      </w:pPr>
      <w:r>
        <w:rPr>
          <w:rFonts w:hint="eastAsia" w:ascii="仿宋" w:hAnsi="仿宋" w:eastAsia="仿宋" w:cs="仿宋_GB2312"/>
          <w:kern w:val="2"/>
          <w:sz w:val="32"/>
          <w:szCs w:val="32"/>
          <w:lang w:val="en-US" w:eastAsia="zh-CN" w:bidi="ar-SA"/>
        </w:rPr>
        <w:t>预算编制工作有待细化。预算编制不够明确和细化，预算编制的合理性需要提高，预算执行力度还要进一步加强。</w:t>
      </w:r>
    </w:p>
    <w:p>
      <w:pPr>
        <w:pStyle w:val="2"/>
        <w:widowControl/>
        <w:numPr>
          <w:ilvl w:val="0"/>
          <w:numId w:val="4"/>
        </w:numPr>
        <w:shd w:val="clear" w:fill="FFFFFF"/>
        <w:spacing w:line="480" w:lineRule="auto"/>
        <w:ind w:left="150" w:leftChars="0" w:firstLine="480" w:firstLineChars="0"/>
        <w:jc w:val="both"/>
        <w:rPr>
          <w:rFonts w:eastAsia="黑体"/>
          <w:sz w:val="32"/>
          <w:szCs w:val="32"/>
        </w:rPr>
      </w:pPr>
      <w:r>
        <w:rPr>
          <w:rFonts w:hint="eastAsia" w:ascii="仿宋" w:hAnsi="仿宋" w:eastAsia="仿宋" w:cs="仿宋_GB2312"/>
          <w:kern w:val="2"/>
          <w:sz w:val="32"/>
          <w:szCs w:val="32"/>
          <w:lang w:val="en-US" w:eastAsia="zh-CN" w:bidi="ar-SA"/>
        </w:rPr>
        <w:t>公用经费控制有一定难度，基本为刚性支出。</w:t>
      </w:r>
    </w:p>
    <w:p>
      <w:pPr>
        <w:pStyle w:val="2"/>
        <w:widowControl/>
        <w:numPr>
          <w:ilvl w:val="0"/>
          <w:numId w:val="3"/>
        </w:numPr>
        <w:shd w:val="clear" w:fill="FFFFFF"/>
        <w:spacing w:line="480" w:lineRule="auto"/>
        <w:ind w:left="0" w:leftChars="0" w:right="0" w:rightChars="0" w:firstLine="645" w:firstLineChars="0"/>
        <w:jc w:val="both"/>
        <w:rPr>
          <w:rFonts w:eastAsia="黑体"/>
          <w:sz w:val="32"/>
          <w:szCs w:val="32"/>
        </w:rPr>
      </w:pPr>
      <w:r>
        <w:rPr>
          <w:rFonts w:eastAsia="黑体"/>
          <w:sz w:val="32"/>
          <w:szCs w:val="32"/>
        </w:rPr>
        <w:t>下一步改进措施</w:t>
      </w:r>
    </w:p>
    <w:p>
      <w:pPr>
        <w:pStyle w:val="2"/>
        <w:widowControl/>
        <w:numPr>
          <w:numId w:val="0"/>
        </w:numPr>
        <w:shd w:val="clear" w:fill="FFFFFF"/>
        <w:spacing w:line="480" w:lineRule="auto"/>
        <w:ind w:left="630" w:leftChars="0" w:right="0" w:rightChars="0"/>
        <w:jc w:val="both"/>
        <w:rPr>
          <w:rFonts w:hint="eastAsia" w:ascii="仿宋" w:hAnsi="仿宋" w:eastAsia="仿宋" w:cs="仿宋_GB2312"/>
          <w:kern w:val="2"/>
          <w:sz w:val="32"/>
          <w:szCs w:val="32"/>
          <w:lang w:val="en-US" w:eastAsia="zh-CN" w:bidi="ar-SA"/>
        </w:rPr>
      </w:pPr>
      <w:r>
        <w:rPr>
          <w:rFonts w:hint="eastAsia" w:ascii="仿宋" w:hAnsi="仿宋" w:eastAsia="仿宋" w:cs="仿宋_GB2312"/>
          <w:kern w:val="2"/>
          <w:sz w:val="32"/>
          <w:szCs w:val="32"/>
          <w:lang w:val="en-US" w:eastAsia="zh-CN" w:bidi="ar-SA"/>
        </w:rPr>
        <w:t>1、细化预算编制工作，认真做好预算的编制。</w:t>
      </w:r>
    </w:p>
    <w:p>
      <w:pPr>
        <w:pStyle w:val="2"/>
        <w:widowControl/>
        <w:numPr>
          <w:numId w:val="0"/>
        </w:numPr>
        <w:shd w:val="clear" w:fill="FFFFFF"/>
        <w:spacing w:line="480" w:lineRule="auto"/>
        <w:ind w:left="630" w:leftChars="0" w:right="0" w:rightChars="0"/>
        <w:jc w:val="both"/>
        <w:rPr>
          <w:rFonts w:hint="eastAsia" w:ascii="仿宋" w:hAnsi="仿宋" w:eastAsia="仿宋" w:cs="仿宋_GB2312"/>
          <w:kern w:val="2"/>
          <w:sz w:val="32"/>
          <w:szCs w:val="32"/>
          <w:lang w:val="en-US" w:eastAsia="zh-CN" w:bidi="ar-SA"/>
        </w:rPr>
      </w:pPr>
      <w:r>
        <w:rPr>
          <w:rFonts w:hint="eastAsia" w:ascii="仿宋" w:hAnsi="仿宋" w:eastAsia="仿宋" w:cs="仿宋_GB2312"/>
          <w:kern w:val="2"/>
          <w:sz w:val="32"/>
          <w:szCs w:val="32"/>
          <w:lang w:val="en-US" w:eastAsia="zh-CN" w:bidi="ar-SA"/>
        </w:rPr>
        <w:t>2、加强财务管理，严格财务审核。</w:t>
      </w:r>
    </w:p>
    <w:p>
      <w:pPr>
        <w:pStyle w:val="2"/>
        <w:widowControl/>
        <w:numPr>
          <w:numId w:val="0"/>
        </w:numPr>
        <w:shd w:val="clear" w:fill="FFFFFF"/>
        <w:spacing w:line="480" w:lineRule="auto"/>
        <w:ind w:left="630" w:leftChars="0" w:right="0" w:rightChars="0"/>
        <w:jc w:val="both"/>
        <w:rPr>
          <w:rFonts w:hint="eastAsia" w:ascii="仿宋" w:hAnsi="仿宋" w:eastAsia="仿宋" w:cs="仿宋_GB2312"/>
          <w:kern w:val="2"/>
          <w:sz w:val="32"/>
          <w:szCs w:val="32"/>
          <w:lang w:val="en-US" w:eastAsia="zh-CN" w:bidi="ar-SA"/>
        </w:rPr>
      </w:pPr>
      <w:r>
        <w:rPr>
          <w:rFonts w:hint="eastAsia" w:ascii="仿宋" w:hAnsi="仿宋" w:eastAsia="仿宋" w:cs="仿宋_GB2312"/>
          <w:kern w:val="2"/>
          <w:sz w:val="32"/>
          <w:szCs w:val="32"/>
          <w:lang w:val="en-US" w:eastAsia="zh-CN" w:bidi="ar-SA"/>
        </w:rPr>
        <w:t>3、完善资产管理，抓好“三公”经费控制。</w:t>
      </w:r>
    </w:p>
    <w:p>
      <w:pPr>
        <w:pStyle w:val="2"/>
        <w:widowControl/>
        <w:numPr>
          <w:numId w:val="0"/>
        </w:numPr>
        <w:shd w:val="clear" w:fill="FFFFFF"/>
        <w:spacing w:line="480" w:lineRule="auto"/>
        <w:ind w:left="630" w:leftChars="0" w:right="0" w:rightChars="0"/>
        <w:jc w:val="both"/>
        <w:rPr>
          <w:rFonts w:hint="eastAsia" w:ascii="仿宋" w:hAnsi="仿宋" w:eastAsia="仿宋" w:cs="仿宋_GB2312"/>
          <w:kern w:val="2"/>
          <w:sz w:val="32"/>
          <w:szCs w:val="32"/>
          <w:lang w:val="en-US" w:eastAsia="zh-CN" w:bidi="ar-SA"/>
        </w:rPr>
      </w:pPr>
      <w:r>
        <w:rPr>
          <w:rFonts w:hint="eastAsia" w:ascii="仿宋" w:hAnsi="仿宋" w:eastAsia="仿宋" w:cs="仿宋_GB2312"/>
          <w:kern w:val="2"/>
          <w:sz w:val="32"/>
          <w:szCs w:val="32"/>
          <w:lang w:val="en-US" w:eastAsia="zh-CN" w:bidi="ar-SA"/>
        </w:rPr>
        <w:t>4、对相关人员加强培训，特别是针对《预算法》《行政事业单位会计制度》等学习培训，规范部门预算收支核算，切实提高部门预算收支管理水平。</w:t>
      </w:r>
    </w:p>
    <w:p>
      <w:pPr>
        <w:pStyle w:val="2"/>
        <w:widowControl/>
        <w:shd w:val="clear" w:fill="FFFFFF"/>
        <w:spacing w:line="480" w:lineRule="auto"/>
        <w:ind w:left="0" w:firstLine="480"/>
        <w:jc w:val="both"/>
        <w:rPr>
          <w:rFonts w:hint="eastAsia" w:eastAsia="黑体"/>
          <w:sz w:val="32"/>
          <w:szCs w:val="32"/>
          <w:lang w:eastAsia="zh-CN"/>
        </w:rPr>
      </w:pPr>
      <w:r>
        <w:rPr>
          <w:rFonts w:hint="eastAsia" w:eastAsia="黑体"/>
          <w:sz w:val="32"/>
          <w:szCs w:val="32"/>
          <w:lang w:eastAsia="zh-CN"/>
        </w:rPr>
        <w:t>七</w:t>
      </w:r>
      <w:r>
        <w:rPr>
          <w:rFonts w:eastAsia="黑体"/>
          <w:sz w:val="32"/>
          <w:szCs w:val="32"/>
        </w:rPr>
        <w:t>、其他需要说明的情</w:t>
      </w:r>
      <w:r>
        <w:rPr>
          <w:rFonts w:hint="eastAsia" w:eastAsia="黑体"/>
          <w:sz w:val="32"/>
          <w:szCs w:val="32"/>
          <w:lang w:eastAsia="zh-CN"/>
        </w:rPr>
        <w:t>况</w:t>
      </w:r>
    </w:p>
    <w:p>
      <w:pPr>
        <w:pStyle w:val="2"/>
        <w:widowControl/>
        <w:numPr>
          <w:ilvl w:val="0"/>
          <w:numId w:val="0"/>
        </w:numPr>
        <w:shd w:val="clear" w:fill="FFFFFF"/>
        <w:spacing w:line="480" w:lineRule="auto"/>
        <w:ind w:left="630" w:leftChars="0" w:right="0" w:rightChars="0" w:firstLine="640" w:firstLineChars="200"/>
        <w:jc w:val="both"/>
        <w:rPr>
          <w:rFonts w:hint="eastAsia" w:ascii="仿宋" w:hAnsi="仿宋" w:eastAsia="仿宋" w:cs="仿宋_GB2312"/>
          <w:kern w:val="2"/>
          <w:sz w:val="32"/>
          <w:szCs w:val="32"/>
          <w:lang w:val="en-US" w:eastAsia="zh-CN" w:bidi="ar-SA"/>
        </w:rPr>
      </w:pPr>
      <w:r>
        <w:rPr>
          <w:rFonts w:hint="eastAsia" w:ascii="仿宋" w:hAnsi="仿宋" w:eastAsia="仿宋" w:cs="仿宋_GB2312"/>
          <w:kern w:val="2"/>
          <w:sz w:val="32"/>
          <w:szCs w:val="32"/>
          <w:lang w:val="en-US" w:eastAsia="zh-CN" w:bidi="ar-SA"/>
        </w:rPr>
        <w:t>无</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FC418F"/>
    <w:multiLevelType w:val="singleLevel"/>
    <w:tmpl w:val="8AFC418F"/>
    <w:lvl w:ilvl="0" w:tentative="0">
      <w:start w:val="1"/>
      <w:numFmt w:val="chineseCounting"/>
      <w:suff w:val="nothing"/>
      <w:lvlText w:val="%1、"/>
      <w:lvlJc w:val="left"/>
      <w:rPr>
        <w:rFonts w:hint="eastAsia"/>
      </w:rPr>
    </w:lvl>
  </w:abstractNum>
  <w:abstractNum w:abstractNumId="1">
    <w:nsid w:val="FEA35B4A"/>
    <w:multiLevelType w:val="singleLevel"/>
    <w:tmpl w:val="FEA35B4A"/>
    <w:lvl w:ilvl="0" w:tentative="0">
      <w:start w:val="4"/>
      <w:numFmt w:val="chineseCounting"/>
      <w:suff w:val="nothing"/>
      <w:lvlText w:val="%1、"/>
      <w:lvlJc w:val="left"/>
      <w:rPr>
        <w:rFonts w:hint="eastAsia"/>
      </w:rPr>
    </w:lvl>
  </w:abstractNum>
  <w:abstractNum w:abstractNumId="2">
    <w:nsid w:val="17878030"/>
    <w:multiLevelType w:val="singleLevel"/>
    <w:tmpl w:val="17878030"/>
    <w:lvl w:ilvl="0" w:tentative="0">
      <w:start w:val="1"/>
      <w:numFmt w:val="decimal"/>
      <w:suff w:val="nothing"/>
      <w:lvlText w:val="%1、"/>
      <w:lvlJc w:val="left"/>
      <w:pPr>
        <w:ind w:left="150"/>
      </w:pPr>
    </w:lvl>
  </w:abstractNum>
  <w:abstractNum w:abstractNumId="3">
    <w:nsid w:val="789878DA"/>
    <w:multiLevelType w:val="singleLevel"/>
    <w:tmpl w:val="789878DA"/>
    <w:lvl w:ilvl="0" w:tentative="0">
      <w:start w:val="2"/>
      <w:numFmt w:val="chineseCounting"/>
      <w:suff w:val="nothing"/>
      <w:lvlText w:val="（%1）"/>
      <w:lvlJc w:val="left"/>
      <w:rPr>
        <w:rFonts w:hint="eastAsia"/>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3A076E09"/>
    <w:rsid w:val="3B8F3226"/>
    <w:rsid w:val="493457B5"/>
    <w:rsid w:val="5A045318"/>
    <w:rsid w:val="5A9D5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5">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872</Words>
  <Characters>945</Characters>
  <Lines>0</Lines>
  <Paragraphs>0</Paragraphs>
  <TotalTime>13</TotalTime>
  <ScaleCrop>false</ScaleCrop>
  <LinksUpToDate>false</LinksUpToDate>
  <CharactersWithSpaces>953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Administrator</cp:lastModifiedBy>
  <dcterms:modified xsi:type="dcterms:W3CDTF">2022-03-29T03:03:38Z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