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津市市园林处单位2021年度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pStyle w:val="2"/>
        <w:keepNext w:val="0"/>
        <w:keepLines w:val="0"/>
        <w:pageBreakBefore w:val="0"/>
        <w:widowControl w:val="0"/>
        <w:numPr>
          <w:ilvl w:val="0"/>
          <w:numId w:val="1"/>
        </w:numPr>
        <w:kinsoku/>
        <w:wordWrap/>
        <w:overflowPunct/>
        <w:topLinePunct w:val="0"/>
        <w:autoSpaceDE w:val="0"/>
        <w:autoSpaceDN w:val="0"/>
        <w:bidi w:val="0"/>
        <w:adjustRightInd w:val="0"/>
        <w:snapToGrid w:val="0"/>
        <w:spacing w:before="0" w:line="600" w:lineRule="exact"/>
        <w:ind w:left="0" w:right="0" w:firstLine="643" w:firstLineChars="200"/>
        <w:jc w:val="both"/>
        <w:textAlignment w:val="auto"/>
        <w:rPr>
          <w:rFonts w:ascii="Times New Roman" w:hAnsi="Times New Roman" w:eastAsia="黑体"/>
          <w:sz w:val="32"/>
          <w:szCs w:val="32"/>
        </w:rPr>
      </w:pPr>
      <w:r>
        <w:rPr>
          <w:rFonts w:ascii="Times New Roman" w:hAnsi="Times New Roman" w:eastAsia="黑体"/>
          <w:sz w:val="32"/>
          <w:szCs w:val="32"/>
        </w:rPr>
        <w:t>部门、单位基本情况</w:t>
      </w:r>
    </w:p>
    <w:p>
      <w:pPr>
        <w:pStyle w:val="6"/>
        <w:rPr>
          <w:rFonts w:ascii="仿宋_GB2312" w:hAnsi="Arial" w:eastAsia="仿宋_GB2312" w:cs="仿宋_GB2312"/>
          <w:sz w:val="32"/>
          <w:szCs w:val="32"/>
        </w:rPr>
      </w:pPr>
      <w:r>
        <w:rPr>
          <w:rFonts w:hint="eastAsia" w:eastAsia="仿宋_GB2312"/>
          <w:color w:val="000000"/>
          <w:sz w:val="30"/>
          <w:szCs w:val="30"/>
        </w:rPr>
        <w:t xml:space="preserve"> </w:t>
      </w:r>
      <w:r>
        <w:rPr>
          <w:rFonts w:hint="eastAsia" w:eastAsia="仿宋_GB2312"/>
          <w:color w:val="000000"/>
          <w:sz w:val="30"/>
          <w:szCs w:val="30"/>
          <w:lang w:val="en-US" w:eastAsia="zh-CN"/>
        </w:rPr>
        <w:t xml:space="preserve">  </w:t>
      </w:r>
      <w:r>
        <w:rPr>
          <w:rFonts w:hint="eastAsia" w:eastAsia="仿宋_GB2312"/>
          <w:color w:val="000000"/>
          <w:sz w:val="30"/>
          <w:szCs w:val="30"/>
        </w:rPr>
        <w:t xml:space="preserve"> </w:t>
      </w:r>
      <w:r>
        <w:rPr>
          <w:rFonts w:hint="eastAsia" w:eastAsia="仿宋_GB2312"/>
          <w:color w:val="000000"/>
          <w:sz w:val="30"/>
          <w:szCs w:val="30"/>
          <w:lang w:val="en-US" w:eastAsia="zh-CN"/>
        </w:rPr>
        <w:t xml:space="preserve">  </w:t>
      </w:r>
      <w:r>
        <w:rPr>
          <w:rFonts w:hint="eastAsia" w:ascii="仿宋_GB2312" w:hAnsi="Arial" w:eastAsia="仿宋_GB2312" w:cs="仿宋_GB2312"/>
          <w:sz w:val="32"/>
          <w:szCs w:val="32"/>
        </w:rPr>
        <w:t>津市市园林管理处主要负责全市公共绿地的日常维护与管理。</w:t>
      </w:r>
    </w:p>
    <w:p>
      <w:pPr>
        <w:rPr>
          <w:rFonts w:ascii="仿宋_GB2312" w:hAnsi="宋体" w:eastAsia="仿宋_GB2312" w:cs="宋体"/>
          <w:kern w:val="0"/>
          <w:sz w:val="32"/>
          <w:szCs w:val="32"/>
        </w:rPr>
      </w:pPr>
      <w:r>
        <w:rPr>
          <w:rFonts w:hint="eastAsia" w:ascii="仿宋_GB2312" w:hAnsi="宋体" w:eastAsia="仿宋_GB2312" w:cs="宋体"/>
          <w:sz w:val="32"/>
          <w:szCs w:val="32"/>
        </w:rPr>
        <w:t xml:space="preserve">   </w:t>
      </w:r>
      <w:r>
        <w:rPr>
          <w:rFonts w:hint="eastAsia" w:ascii="仿宋_GB2312" w:hAnsi="宋体" w:eastAsia="仿宋_GB2312" w:cs="宋体"/>
          <w:sz w:val="32"/>
          <w:szCs w:val="32"/>
          <w:lang w:val="en-US" w:eastAsia="zh-CN"/>
        </w:rPr>
        <w:t xml:space="preserve">   </w:t>
      </w:r>
      <w:r>
        <w:rPr>
          <w:rFonts w:hint="eastAsia" w:ascii="仿宋_GB2312" w:hAnsi="宋体" w:eastAsia="仿宋_GB2312" w:cs="宋体"/>
          <w:sz w:val="32"/>
          <w:szCs w:val="32"/>
        </w:rPr>
        <w:t>全市共计约77</w:t>
      </w:r>
      <w:r>
        <w:rPr>
          <w:rFonts w:hint="eastAsia" w:ascii="仿宋_GB2312" w:hAnsi="宋体" w:eastAsia="仿宋_GB2312" w:cs="宋体"/>
          <w:sz w:val="32"/>
          <w:szCs w:val="32"/>
          <w:lang w:val="en-US" w:eastAsia="zh-CN"/>
        </w:rPr>
        <w:t>.59</w:t>
      </w:r>
      <w:bookmarkStart w:id="0" w:name="_GoBack"/>
      <w:bookmarkEnd w:id="0"/>
      <w:r>
        <w:rPr>
          <w:rFonts w:hint="eastAsia" w:ascii="仿宋_GB2312" w:hAnsi="宋体" w:eastAsia="仿宋_GB2312" w:cs="宋体"/>
          <w:sz w:val="32"/>
          <w:szCs w:val="32"/>
        </w:rPr>
        <w:t>万</w:t>
      </w:r>
      <w:r>
        <w:rPr>
          <w:rFonts w:hint="eastAsia" w:ascii="仿宋_GB2312" w:hAnsi="宋体" w:cs="宋体"/>
          <w:sz w:val="32"/>
          <w:szCs w:val="32"/>
        </w:rPr>
        <w:t>㎡</w:t>
      </w:r>
      <w:r>
        <w:rPr>
          <w:rFonts w:hint="eastAsia" w:ascii="仿宋_GB2312" w:hAnsi="宋体" w:eastAsia="仿宋_GB2312" w:cs="宋体"/>
          <w:sz w:val="32"/>
          <w:szCs w:val="32"/>
        </w:rPr>
        <w:t>的公共绿地（包含2个公园，9个广场）及园林设施的日常维护管理,其中绿地面积50.76万</w:t>
      </w:r>
      <w:r>
        <w:rPr>
          <w:rFonts w:hint="eastAsia" w:ascii="仿宋_GB2312" w:hAnsi="宋体" w:cs="宋体"/>
          <w:sz w:val="32"/>
          <w:szCs w:val="32"/>
        </w:rPr>
        <w:t>㎡</w:t>
      </w:r>
      <w:r>
        <w:rPr>
          <w:rFonts w:hint="eastAsia" w:ascii="仿宋_GB2312" w:hAnsi="宋体" w:eastAsia="仿宋_GB2312" w:cs="宋体"/>
          <w:sz w:val="32"/>
          <w:szCs w:val="32"/>
        </w:rPr>
        <w:t>，水体13.36万</w:t>
      </w:r>
      <w:r>
        <w:rPr>
          <w:rFonts w:hint="eastAsia" w:ascii="仿宋_GB2312" w:hAnsi="宋体" w:cs="宋体"/>
          <w:sz w:val="32"/>
          <w:szCs w:val="32"/>
        </w:rPr>
        <w:t>㎡</w:t>
      </w:r>
      <w:r>
        <w:rPr>
          <w:rFonts w:hint="eastAsia" w:ascii="仿宋_GB2312" w:hAnsi="宋体" w:eastAsia="仿宋_GB2312" w:cs="宋体"/>
          <w:sz w:val="32"/>
          <w:szCs w:val="32"/>
        </w:rPr>
        <w:t>，铺装5.38万</w:t>
      </w:r>
      <w:r>
        <w:rPr>
          <w:rFonts w:hint="eastAsia" w:ascii="仿宋_GB2312" w:hAnsi="宋体" w:cs="宋体"/>
          <w:sz w:val="32"/>
          <w:szCs w:val="32"/>
        </w:rPr>
        <w:t>㎡</w:t>
      </w:r>
      <w:r>
        <w:rPr>
          <w:rFonts w:hint="eastAsia" w:ascii="仿宋_GB2312" w:hAnsi="宋体" w:eastAsia="仿宋_GB2312" w:cs="宋体"/>
          <w:sz w:val="32"/>
          <w:szCs w:val="32"/>
        </w:rPr>
        <w:t>；另外还有8.09万</w:t>
      </w:r>
      <w:r>
        <w:rPr>
          <w:rFonts w:hint="eastAsia" w:ascii="仿宋_GB2312" w:hAnsi="宋体" w:cs="宋体"/>
          <w:sz w:val="32"/>
          <w:szCs w:val="32"/>
        </w:rPr>
        <w:t>㎡</w:t>
      </w:r>
      <w:r>
        <w:rPr>
          <w:rFonts w:hint="eastAsia" w:ascii="仿宋_GB2312" w:hAnsi="宋体" w:eastAsia="仿宋_GB2312" w:cs="宋体"/>
          <w:sz w:val="32"/>
          <w:szCs w:val="32"/>
        </w:rPr>
        <w:t>空坪隙地。园林处</w:t>
      </w:r>
      <w:r>
        <w:rPr>
          <w:rFonts w:hint="eastAsia" w:ascii="仿宋_GB2312" w:hAnsi="宋体" w:eastAsia="仿宋_GB2312" w:cs="宋体"/>
          <w:kern w:val="0"/>
          <w:sz w:val="32"/>
          <w:szCs w:val="32"/>
        </w:rPr>
        <w:t>为全市市民创造更好的居住环境，提升我市城市园林的品质。</w:t>
      </w:r>
    </w:p>
    <w:p>
      <w:pPr>
        <w:keepNext w:val="0"/>
        <w:keepLines w:val="0"/>
        <w:pageBreakBefore w:val="0"/>
        <w:widowControl w:val="0"/>
        <w:kinsoku/>
        <w:wordWrap/>
        <w:overflowPunct/>
        <w:topLinePunct w:val="0"/>
        <w:autoSpaceDE w:val="0"/>
        <w:autoSpaceDN w:val="0"/>
        <w:bidi w:val="0"/>
        <w:adjustRightInd w:val="0"/>
        <w:snapToGrid w:val="0"/>
        <w:spacing w:before="0" w:line="600" w:lineRule="exact"/>
        <w:ind w:left="0" w:right="0" w:firstLine="960" w:firstLineChars="3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津市市</w:t>
      </w:r>
      <w:r>
        <w:rPr>
          <w:rFonts w:hint="eastAsia" w:ascii="仿宋_GB2312" w:hAnsi="仿宋_GB2312" w:eastAsia="仿宋_GB2312" w:cs="仿宋_GB2312"/>
          <w:sz w:val="32"/>
          <w:szCs w:val="32"/>
          <w:lang w:val="en-US" w:eastAsia="zh-CN"/>
        </w:rPr>
        <w:t>园林管理处</w:t>
      </w:r>
      <w:r>
        <w:rPr>
          <w:rFonts w:hint="eastAsia" w:ascii="仿宋_GB2312" w:hAnsi="仿宋_GB2312" w:eastAsia="仿宋_GB2312" w:cs="仿宋_GB2312"/>
          <w:sz w:val="32"/>
          <w:szCs w:val="32"/>
        </w:rPr>
        <w:t>设</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个股室，分别是综合办公室、财务科、督导科、绿化维</w:t>
      </w:r>
      <w:r>
        <w:rPr>
          <w:rFonts w:hint="eastAsia" w:ascii="仿宋_GB2312" w:hAnsi="仿宋_GB2312" w:eastAsia="仿宋_GB2312" w:cs="仿宋_GB2312"/>
          <w:sz w:val="32"/>
          <w:szCs w:val="32"/>
          <w:lang w:eastAsia="zh-CN"/>
        </w:rPr>
        <w:t>护公</w:t>
      </w:r>
      <w:r>
        <w:rPr>
          <w:rFonts w:hint="eastAsia" w:ascii="仿宋_GB2312" w:hAnsi="仿宋_GB2312" w:eastAsia="仿宋_GB2312" w:cs="仿宋_GB2312"/>
          <w:sz w:val="32"/>
          <w:szCs w:val="32"/>
        </w:rPr>
        <w:t>司、绿化工程部。</w:t>
      </w:r>
    </w:p>
    <w:p>
      <w:pPr>
        <w:widowControl/>
        <w:numPr>
          <w:ilvl w:val="0"/>
          <w:numId w:val="1"/>
        </w:numPr>
        <w:spacing w:line="600" w:lineRule="exact"/>
        <w:ind w:left="0" w:leftChars="0" w:firstLine="640" w:firstLineChars="200"/>
        <w:jc w:val="left"/>
        <w:rPr>
          <w:rFonts w:ascii="Times New Roman" w:hAnsi="Times New Roman" w:eastAsia="黑体"/>
          <w:sz w:val="32"/>
          <w:szCs w:val="32"/>
        </w:rPr>
      </w:pPr>
      <w:r>
        <w:rPr>
          <w:rFonts w:ascii="Times New Roman" w:hAnsi="Times New Roman" w:eastAsia="黑体"/>
          <w:sz w:val="32"/>
          <w:szCs w:val="32"/>
        </w:rPr>
        <w:t>一般公共预算支出情况</w:t>
      </w:r>
    </w:p>
    <w:p>
      <w:pPr>
        <w:widowControl/>
        <w:numPr>
          <w:ilvl w:val="0"/>
          <w:numId w:val="0"/>
        </w:numPr>
        <w:spacing w:line="600" w:lineRule="exact"/>
        <w:ind w:leftChars="200" w:firstLine="640" w:firstLineChars="200"/>
        <w:jc w:val="left"/>
        <w:rPr>
          <w:rFonts w:eastAsia="黑体"/>
          <w:sz w:val="32"/>
          <w:szCs w:val="32"/>
        </w:rPr>
      </w:pPr>
      <w:r>
        <w:rPr>
          <w:rFonts w:eastAsia="仿宋_GB2312"/>
          <w:sz w:val="32"/>
          <w:szCs w:val="32"/>
        </w:rPr>
        <w:t>2021年本部门一般公共预算拨款支出预算</w:t>
      </w:r>
      <w:r>
        <w:rPr>
          <w:rFonts w:hint="eastAsia" w:eastAsia="仿宋_GB2312"/>
          <w:sz w:val="32"/>
          <w:szCs w:val="32"/>
        </w:rPr>
        <w:t>547.12</w:t>
      </w:r>
      <w:r>
        <w:rPr>
          <w:rFonts w:eastAsia="仿宋_GB2312"/>
          <w:sz w:val="32"/>
          <w:szCs w:val="32"/>
        </w:rPr>
        <w:t>万元，其中</w:t>
      </w:r>
      <w:r>
        <w:rPr>
          <w:rFonts w:hint="eastAsia" w:eastAsia="仿宋_GB2312"/>
          <w:sz w:val="32"/>
          <w:szCs w:val="32"/>
        </w:rPr>
        <w:t>：社会保障</w:t>
      </w:r>
      <w:r>
        <w:rPr>
          <w:rFonts w:eastAsia="仿宋_GB2312"/>
          <w:sz w:val="32"/>
          <w:szCs w:val="32"/>
        </w:rPr>
        <w:t>和就业</w:t>
      </w:r>
      <w:r>
        <w:rPr>
          <w:rFonts w:hint="eastAsia" w:eastAsia="仿宋_GB2312"/>
          <w:sz w:val="32"/>
          <w:szCs w:val="32"/>
        </w:rPr>
        <w:t>支出46.34万</w:t>
      </w:r>
      <w:r>
        <w:rPr>
          <w:rFonts w:eastAsia="仿宋_GB2312"/>
          <w:sz w:val="32"/>
          <w:szCs w:val="32"/>
        </w:rPr>
        <w:t>元，占</w:t>
      </w:r>
      <w:r>
        <w:rPr>
          <w:rFonts w:hint="eastAsia" w:eastAsia="仿宋_GB2312"/>
          <w:sz w:val="32"/>
          <w:szCs w:val="32"/>
        </w:rPr>
        <w:t>8.47</w:t>
      </w:r>
      <w:r>
        <w:rPr>
          <w:rFonts w:eastAsia="仿宋_GB2312"/>
          <w:sz w:val="32"/>
          <w:szCs w:val="32"/>
        </w:rPr>
        <w:t>%；</w:t>
      </w:r>
      <w:r>
        <w:rPr>
          <w:rFonts w:hint="eastAsia" w:eastAsia="仿宋_GB2312"/>
          <w:sz w:val="32"/>
          <w:szCs w:val="32"/>
        </w:rPr>
        <w:t>卫生健康支出15.68万</w:t>
      </w:r>
      <w:r>
        <w:rPr>
          <w:rFonts w:eastAsia="仿宋_GB2312"/>
          <w:sz w:val="32"/>
          <w:szCs w:val="32"/>
        </w:rPr>
        <w:t>元，</w:t>
      </w:r>
      <w:r>
        <w:rPr>
          <w:rFonts w:hint="eastAsia" w:eastAsia="仿宋_GB2312"/>
          <w:sz w:val="32"/>
          <w:szCs w:val="32"/>
        </w:rPr>
        <w:t>占2.87</w:t>
      </w:r>
      <w:r>
        <w:rPr>
          <w:rFonts w:eastAsia="仿宋_GB2312"/>
          <w:sz w:val="32"/>
          <w:szCs w:val="32"/>
        </w:rPr>
        <w:t>%；</w:t>
      </w:r>
      <w:r>
        <w:rPr>
          <w:rFonts w:hint="eastAsia" w:eastAsia="仿宋_GB2312"/>
          <w:sz w:val="32"/>
          <w:szCs w:val="32"/>
        </w:rPr>
        <w:t>城乡社区管理事务</w:t>
      </w:r>
      <w:r>
        <w:rPr>
          <w:rFonts w:eastAsia="仿宋_GB2312"/>
          <w:sz w:val="32"/>
          <w:szCs w:val="32"/>
        </w:rPr>
        <w:t>支出</w:t>
      </w:r>
      <w:r>
        <w:rPr>
          <w:rFonts w:hint="eastAsia" w:eastAsia="仿宋_GB2312"/>
          <w:sz w:val="32"/>
          <w:szCs w:val="32"/>
        </w:rPr>
        <w:t>453.31万</w:t>
      </w:r>
      <w:r>
        <w:rPr>
          <w:rFonts w:eastAsia="仿宋_GB2312"/>
          <w:sz w:val="32"/>
          <w:szCs w:val="32"/>
        </w:rPr>
        <w:t>元，</w:t>
      </w:r>
      <w:r>
        <w:rPr>
          <w:rFonts w:hint="eastAsia" w:eastAsia="仿宋_GB2312"/>
          <w:sz w:val="32"/>
          <w:szCs w:val="32"/>
        </w:rPr>
        <w:t>占82.85</w:t>
      </w:r>
      <w:r>
        <w:rPr>
          <w:rFonts w:eastAsia="仿宋_GB2312"/>
          <w:sz w:val="32"/>
          <w:szCs w:val="32"/>
        </w:rPr>
        <w:t>%；住房保障</w:t>
      </w:r>
      <w:r>
        <w:rPr>
          <w:rFonts w:hint="eastAsia" w:eastAsia="仿宋_GB2312"/>
          <w:sz w:val="32"/>
          <w:szCs w:val="32"/>
        </w:rPr>
        <w:t>支出31.79万</w:t>
      </w:r>
      <w:r>
        <w:rPr>
          <w:rFonts w:eastAsia="仿宋_GB2312"/>
          <w:sz w:val="32"/>
          <w:szCs w:val="32"/>
        </w:rPr>
        <w:t>元</w:t>
      </w:r>
      <w:r>
        <w:rPr>
          <w:rFonts w:hint="eastAsia" w:eastAsia="仿宋_GB2312"/>
          <w:sz w:val="32"/>
          <w:szCs w:val="32"/>
        </w:rPr>
        <w:t>，</w:t>
      </w:r>
      <w:r>
        <w:rPr>
          <w:rFonts w:eastAsia="仿宋_GB2312"/>
          <w:sz w:val="32"/>
          <w:szCs w:val="32"/>
        </w:rPr>
        <w:t>占</w:t>
      </w:r>
      <w:r>
        <w:rPr>
          <w:rFonts w:hint="eastAsia" w:eastAsia="仿宋_GB2312"/>
          <w:sz w:val="32"/>
          <w:szCs w:val="32"/>
        </w:rPr>
        <w:t>5.81%</w:t>
      </w:r>
      <w:r>
        <w:rPr>
          <w:rFonts w:eastAsia="仿宋_GB2312"/>
          <w:sz w:val="32"/>
          <w:szCs w:val="32"/>
        </w:rPr>
        <w:t>。具体安排情况如下：</w:t>
      </w:r>
    </w:p>
    <w:p>
      <w:pPr>
        <w:widowControl/>
        <w:numPr>
          <w:ilvl w:val="0"/>
          <w:numId w:val="0"/>
        </w:numPr>
        <w:spacing w:line="600" w:lineRule="exact"/>
        <w:ind w:firstLine="320" w:firstLineChars="100"/>
        <w:jc w:val="left"/>
        <w:rPr>
          <w:rFonts w:ascii="Times New Roman" w:hAnsi="Times New Roman" w:eastAsia="黑体"/>
          <w:sz w:val="32"/>
          <w:szCs w:val="32"/>
        </w:rPr>
      </w:pPr>
      <w:r>
        <w:rPr>
          <w:rFonts w:hint="eastAsia" w:eastAsia="黑体"/>
          <w:sz w:val="32"/>
          <w:szCs w:val="32"/>
          <w:lang w:eastAsia="zh-CN"/>
        </w:rPr>
        <w:t>（一）</w:t>
      </w:r>
      <w:r>
        <w:rPr>
          <w:rFonts w:ascii="Times New Roman" w:hAnsi="Times New Roman" w:eastAsia="黑体"/>
          <w:sz w:val="32"/>
          <w:szCs w:val="32"/>
        </w:rPr>
        <w:t>基本支出情况</w:t>
      </w:r>
    </w:p>
    <w:p>
      <w:pPr>
        <w:widowControl/>
        <w:numPr>
          <w:ilvl w:val="0"/>
          <w:numId w:val="0"/>
        </w:numPr>
        <w:spacing w:line="600" w:lineRule="exact"/>
        <w:ind w:firstLine="960" w:firstLineChars="300"/>
        <w:jc w:val="left"/>
        <w:rPr>
          <w:rFonts w:eastAsia="黑体"/>
          <w:color w:val="000000"/>
          <w:sz w:val="32"/>
          <w:szCs w:val="32"/>
        </w:rPr>
      </w:pPr>
      <w:r>
        <w:rPr>
          <w:rFonts w:hint="eastAsia" w:ascii="仿宋_GB2312" w:hAnsi="仿宋_GB2312" w:eastAsia="仿宋_GB2312" w:cs="仿宋_GB2312"/>
          <w:bCs/>
          <w:color w:val="000000"/>
          <w:kern w:val="0"/>
          <w:sz w:val="32"/>
          <w:szCs w:val="32"/>
        </w:rPr>
        <w:t>2021</w:t>
      </w:r>
      <w:r>
        <w:rPr>
          <w:rFonts w:eastAsia="仿宋_GB2312"/>
          <w:color w:val="000000"/>
          <w:sz w:val="32"/>
          <w:szCs w:val="32"/>
        </w:rPr>
        <w:t>年本部门基本支出预算数</w:t>
      </w:r>
      <w:r>
        <w:rPr>
          <w:rFonts w:hint="eastAsia" w:eastAsia="仿宋_GB2312"/>
          <w:color w:val="000000"/>
          <w:sz w:val="32"/>
          <w:szCs w:val="32"/>
        </w:rPr>
        <w:t>452.12</w:t>
      </w:r>
      <w:r>
        <w:rPr>
          <w:rFonts w:eastAsia="仿宋_GB2312"/>
          <w:color w:val="000000"/>
          <w:sz w:val="32"/>
          <w:szCs w:val="32"/>
        </w:rPr>
        <w:t>万元，主要是为保障部门正常运转、完成日常工作任务而发生的各项支出，包括用于基本工资、津贴补贴等人员经费以及办公费、印刷费、水电费</w:t>
      </w:r>
      <w:r>
        <w:rPr>
          <w:rFonts w:hint="eastAsia" w:eastAsia="仿宋_GB2312"/>
          <w:color w:val="000000"/>
          <w:sz w:val="32"/>
          <w:szCs w:val="32"/>
        </w:rPr>
        <w:t>、差旅</w:t>
      </w:r>
      <w:r>
        <w:rPr>
          <w:rFonts w:eastAsia="仿宋_GB2312"/>
          <w:color w:val="000000"/>
          <w:sz w:val="32"/>
          <w:szCs w:val="32"/>
        </w:rPr>
        <w:t>费等公用经费。</w:t>
      </w:r>
    </w:p>
    <w:p>
      <w:pPr>
        <w:pStyle w:val="5"/>
        <w:widowControl/>
        <w:numPr>
          <w:ilvl w:val="0"/>
          <w:numId w:val="2"/>
        </w:numPr>
        <w:spacing w:line="600" w:lineRule="exact"/>
        <w:ind w:left="0" w:leftChars="0" w:firstLine="320" w:firstLineChars="100"/>
        <w:rPr>
          <w:rFonts w:ascii="Times New Roman" w:hAnsi="Times New Roman" w:eastAsia="黑体"/>
          <w:sz w:val="32"/>
          <w:szCs w:val="32"/>
        </w:rPr>
      </w:pPr>
      <w:r>
        <w:rPr>
          <w:rFonts w:ascii="Times New Roman" w:hAnsi="Times New Roman" w:eastAsia="黑体"/>
          <w:sz w:val="32"/>
          <w:szCs w:val="32"/>
        </w:rPr>
        <w:t>项目支出情况</w:t>
      </w:r>
    </w:p>
    <w:p>
      <w:pPr>
        <w:widowControl/>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Cs/>
          <w:color w:val="000000"/>
          <w:kern w:val="0"/>
          <w:sz w:val="32"/>
          <w:szCs w:val="32"/>
        </w:rPr>
        <w:t>2021</w:t>
      </w:r>
      <w:r>
        <w:rPr>
          <w:rFonts w:eastAsia="仿宋_GB2312"/>
          <w:color w:val="000000"/>
          <w:sz w:val="32"/>
          <w:szCs w:val="32"/>
        </w:rPr>
        <w:t>年本部门项目支出预算</w:t>
      </w:r>
      <w:r>
        <w:rPr>
          <w:rFonts w:hint="eastAsia" w:eastAsia="仿宋_GB2312"/>
          <w:color w:val="000000"/>
          <w:sz w:val="32"/>
          <w:szCs w:val="32"/>
        </w:rPr>
        <w:t>95</w:t>
      </w:r>
      <w:r>
        <w:rPr>
          <w:rFonts w:eastAsia="仿宋_GB2312"/>
          <w:color w:val="000000"/>
          <w:sz w:val="32"/>
          <w:szCs w:val="32"/>
        </w:rPr>
        <w:t>万元，主要是部门为完成特定行政工作任务或事业发展目标而发生的支出，包括有关事业发展专项、专项业务费、基本建设支出等，其中：</w:t>
      </w:r>
      <w:r>
        <w:rPr>
          <w:rFonts w:hint="eastAsia" w:eastAsia="仿宋_GB2312"/>
          <w:color w:val="000000"/>
          <w:sz w:val="32"/>
          <w:szCs w:val="32"/>
        </w:rPr>
        <w:t>长效维护</w:t>
      </w:r>
      <w:r>
        <w:rPr>
          <w:rFonts w:eastAsia="仿宋_GB2312"/>
          <w:color w:val="000000"/>
          <w:sz w:val="32"/>
          <w:szCs w:val="32"/>
        </w:rPr>
        <w:t>费支出</w:t>
      </w:r>
      <w:r>
        <w:rPr>
          <w:rFonts w:hint="eastAsia" w:eastAsia="仿宋_GB2312"/>
          <w:color w:val="000000"/>
          <w:sz w:val="32"/>
          <w:szCs w:val="32"/>
        </w:rPr>
        <w:t>95</w:t>
      </w:r>
      <w:r>
        <w:rPr>
          <w:rFonts w:eastAsia="仿宋_GB2312"/>
          <w:color w:val="000000"/>
          <w:sz w:val="32"/>
          <w:szCs w:val="32"/>
        </w:rPr>
        <w:t>万元，</w:t>
      </w:r>
      <w:r>
        <w:rPr>
          <w:rFonts w:hint="eastAsia" w:ascii="仿宋_GB2312" w:hAnsi="仿宋_GB2312" w:eastAsia="仿宋_GB2312" w:cs="仿宋_GB2312"/>
          <w:sz w:val="32"/>
          <w:szCs w:val="32"/>
        </w:rPr>
        <w:t>长效维护管理资金是市财政预算安排用于对城市基础设施养护方面支出的专项资金。</w:t>
      </w:r>
      <w:r>
        <w:rPr>
          <w:rFonts w:hint="eastAsia" w:ascii="仿宋_GB2312" w:hAnsi="仿宋_GB2312" w:eastAsia="仿宋_GB2312" w:cs="仿宋_GB2312"/>
          <w:color w:val="3D3D3D"/>
          <w:kern w:val="0"/>
          <w:sz w:val="32"/>
          <w:szCs w:val="32"/>
        </w:rPr>
        <w:t>城市基础设施长效维护费已按一般公共预算执行，实际支出12</w:t>
      </w:r>
      <w:r>
        <w:rPr>
          <w:rFonts w:hint="eastAsia" w:ascii="仿宋_GB2312" w:hAnsi="仿宋_GB2312" w:eastAsia="仿宋_GB2312" w:cs="仿宋_GB2312"/>
          <w:color w:val="3D3D3D"/>
          <w:kern w:val="0"/>
          <w:sz w:val="32"/>
          <w:szCs w:val="32"/>
          <w:lang w:val="en-US" w:eastAsia="zh-CN"/>
        </w:rPr>
        <w:t>6</w:t>
      </w:r>
      <w:r>
        <w:rPr>
          <w:rFonts w:hint="eastAsia" w:ascii="仿宋_GB2312" w:hAnsi="仿宋_GB2312" w:eastAsia="仿宋_GB2312" w:cs="仿宋_GB2312"/>
          <w:color w:val="3D3D3D"/>
          <w:kern w:val="0"/>
          <w:sz w:val="32"/>
          <w:szCs w:val="32"/>
        </w:rPr>
        <w:t>.2万元。</w:t>
      </w:r>
    </w:p>
    <w:p>
      <w:pPr>
        <w:pStyle w:val="5"/>
        <w:widowControl/>
        <w:numPr>
          <w:ilvl w:val="0"/>
          <w:numId w:val="0"/>
        </w:numPr>
        <w:spacing w:line="600" w:lineRule="exact"/>
        <w:ind w:leftChars="100" w:firstLine="960" w:firstLineChars="300"/>
        <w:rPr>
          <w:rFonts w:ascii="Times New Roman" w:hAnsi="Times New Roman" w:eastAsia="黑体"/>
          <w:sz w:val="32"/>
          <w:szCs w:val="32"/>
        </w:rPr>
      </w:pPr>
    </w:p>
    <w:p>
      <w:pPr>
        <w:widowControl/>
        <w:numPr>
          <w:ilvl w:val="0"/>
          <w:numId w:val="1"/>
        </w:numPr>
        <w:spacing w:line="600" w:lineRule="exact"/>
        <w:ind w:left="0" w:leftChars="0" w:firstLine="640" w:firstLineChars="200"/>
        <w:jc w:val="left"/>
        <w:rPr>
          <w:rFonts w:ascii="Times New Roman" w:hAnsi="Times New Roman" w:eastAsia="黑体"/>
          <w:sz w:val="32"/>
          <w:szCs w:val="32"/>
        </w:rPr>
      </w:pPr>
      <w:r>
        <w:rPr>
          <w:rFonts w:ascii="Times New Roman" w:hAnsi="Times New Roman" w:eastAsia="黑体"/>
          <w:sz w:val="32"/>
          <w:szCs w:val="32"/>
        </w:rPr>
        <w:t>政府性基金预算支出情况</w:t>
      </w:r>
    </w:p>
    <w:p>
      <w:pPr>
        <w:widowControl/>
        <w:numPr>
          <w:ilvl w:val="0"/>
          <w:numId w:val="0"/>
        </w:numPr>
        <w:spacing w:line="600" w:lineRule="exact"/>
        <w:ind w:leftChars="200" w:firstLine="640" w:firstLineChars="200"/>
        <w:jc w:val="left"/>
        <w:rPr>
          <w:rFonts w:hint="eastAsia" w:eastAsia="仿宋_GB2312"/>
          <w:color w:val="000000"/>
          <w:sz w:val="32"/>
          <w:szCs w:val="32"/>
        </w:rPr>
      </w:pPr>
      <w:r>
        <w:rPr>
          <w:rFonts w:hint="eastAsia" w:ascii="仿宋_GB2312" w:hAnsi="仿宋_GB2312" w:eastAsia="仿宋_GB2312" w:cs="仿宋_GB2312"/>
          <w:bCs/>
          <w:color w:val="000000"/>
          <w:kern w:val="0"/>
          <w:sz w:val="32"/>
          <w:szCs w:val="32"/>
        </w:rPr>
        <w:t>2021</w:t>
      </w:r>
      <w:r>
        <w:rPr>
          <w:rFonts w:eastAsia="仿宋_GB2312"/>
          <w:color w:val="000000"/>
          <w:sz w:val="32"/>
          <w:szCs w:val="32"/>
        </w:rPr>
        <w:t>年本部门无政府性基金安排的支出</w:t>
      </w:r>
      <w:r>
        <w:rPr>
          <w:rFonts w:hint="eastAsia" w:eastAsia="仿宋_GB2312"/>
          <w:color w:val="000000"/>
          <w:sz w:val="32"/>
          <w:szCs w:val="32"/>
        </w:rPr>
        <w:t>。</w:t>
      </w:r>
    </w:p>
    <w:p>
      <w:pPr>
        <w:widowControl/>
        <w:numPr>
          <w:ilvl w:val="0"/>
          <w:numId w:val="1"/>
        </w:numPr>
        <w:spacing w:line="600" w:lineRule="exact"/>
        <w:ind w:left="0" w:leftChars="0" w:firstLine="640" w:firstLineChars="200"/>
        <w:jc w:val="left"/>
        <w:rPr>
          <w:rFonts w:eastAsia="黑体"/>
          <w:sz w:val="32"/>
          <w:szCs w:val="32"/>
        </w:rPr>
      </w:pPr>
      <w:r>
        <w:rPr>
          <w:rFonts w:eastAsia="黑体"/>
          <w:sz w:val="32"/>
          <w:szCs w:val="32"/>
        </w:rPr>
        <w:t>部门整体支出绩效情况</w:t>
      </w:r>
    </w:p>
    <w:p>
      <w:pPr>
        <w:widowControl/>
        <w:ind w:firstLine="960" w:firstLineChars="300"/>
        <w:rPr>
          <w:rFonts w:hint="eastAsia" w:ascii="仿宋_GB2312" w:hAnsi="仿宋_GB2312" w:eastAsia="仿宋_GB2312" w:cs="仿宋_GB2312"/>
          <w:color w:val="3D3D3D"/>
          <w:kern w:val="0"/>
          <w:sz w:val="32"/>
          <w:szCs w:val="32"/>
        </w:rPr>
      </w:pPr>
      <w:r>
        <w:rPr>
          <w:rFonts w:hint="eastAsia" w:ascii="仿宋_GB2312" w:hAnsi="仿宋_GB2312" w:eastAsia="仿宋_GB2312" w:cs="仿宋_GB2312"/>
          <w:bCs/>
          <w:color w:val="000000"/>
          <w:kern w:val="0"/>
          <w:sz w:val="32"/>
          <w:szCs w:val="32"/>
        </w:rPr>
        <w:t>本部门所有支出实行绩效目标管理。纳入2021年部门整体支出绩效目标的金额为</w:t>
      </w:r>
      <w:r>
        <w:rPr>
          <w:rFonts w:hint="eastAsia" w:ascii="仿宋_GB2312" w:hAnsi="仿宋_GB2312" w:eastAsia="仿宋_GB2312" w:cs="仿宋_GB2312"/>
          <w:color w:val="000000"/>
          <w:sz w:val="32"/>
          <w:szCs w:val="32"/>
        </w:rPr>
        <w:t>650.16</w:t>
      </w:r>
      <w:r>
        <w:rPr>
          <w:rFonts w:hint="eastAsia" w:ascii="仿宋_GB2312" w:hAnsi="仿宋_GB2312" w:eastAsia="仿宋_GB2312" w:cs="仿宋_GB2312"/>
          <w:bCs/>
          <w:color w:val="000000"/>
          <w:kern w:val="0"/>
          <w:sz w:val="32"/>
          <w:szCs w:val="32"/>
        </w:rPr>
        <w:t>万元，其中，基本支出</w:t>
      </w:r>
      <w:r>
        <w:rPr>
          <w:rFonts w:hint="eastAsia" w:ascii="仿宋_GB2312" w:hAnsi="仿宋_GB2312" w:eastAsia="仿宋_GB2312" w:cs="仿宋_GB2312"/>
          <w:color w:val="000000"/>
          <w:sz w:val="32"/>
          <w:szCs w:val="32"/>
        </w:rPr>
        <w:t>515.16</w:t>
      </w:r>
      <w:r>
        <w:rPr>
          <w:rFonts w:hint="eastAsia" w:ascii="仿宋_GB2312" w:hAnsi="仿宋_GB2312" w:eastAsia="仿宋_GB2312" w:cs="仿宋_GB2312"/>
          <w:bCs/>
          <w:color w:val="000000"/>
          <w:kern w:val="0"/>
          <w:sz w:val="32"/>
          <w:szCs w:val="32"/>
        </w:rPr>
        <w:t>万元，项目支出</w:t>
      </w:r>
      <w:r>
        <w:rPr>
          <w:rFonts w:hint="eastAsia" w:ascii="仿宋_GB2312" w:hAnsi="仿宋_GB2312" w:eastAsia="仿宋_GB2312" w:cs="仿宋_GB2312"/>
          <w:color w:val="000000"/>
          <w:sz w:val="32"/>
          <w:szCs w:val="32"/>
        </w:rPr>
        <w:t>135</w:t>
      </w:r>
      <w:r>
        <w:rPr>
          <w:rFonts w:hint="eastAsia" w:ascii="仿宋_GB2312" w:hAnsi="仿宋_GB2312" w:eastAsia="仿宋_GB2312" w:cs="仿宋_GB2312"/>
          <w:bCs/>
          <w:color w:val="000000"/>
          <w:kern w:val="0"/>
          <w:sz w:val="32"/>
          <w:szCs w:val="32"/>
        </w:rPr>
        <w:t>万元</w:t>
      </w:r>
      <w:r>
        <w:rPr>
          <w:rFonts w:hint="eastAsia" w:ascii="仿宋_GB2312" w:hAnsi="仿宋_GB2312" w:eastAsia="仿宋_GB2312" w:cs="仿宋_GB2312"/>
          <w:bCs/>
          <w:color w:val="000000"/>
          <w:kern w:val="0"/>
          <w:sz w:val="32"/>
          <w:szCs w:val="32"/>
          <w:lang w:eastAsia="zh-CN"/>
        </w:rPr>
        <w:t>。</w:t>
      </w:r>
      <w:r>
        <w:rPr>
          <w:rFonts w:hint="eastAsia" w:ascii="仿宋_GB2312" w:hAnsi="仿宋_GB2312" w:eastAsia="仿宋_GB2312" w:cs="仿宋_GB2312"/>
          <w:color w:val="3D3D3D"/>
          <w:kern w:val="0"/>
          <w:sz w:val="32"/>
          <w:szCs w:val="32"/>
        </w:rPr>
        <w:t>202</w:t>
      </w:r>
      <w:r>
        <w:rPr>
          <w:rFonts w:hint="eastAsia" w:ascii="仿宋_GB2312" w:hAnsi="仿宋_GB2312" w:eastAsia="仿宋_GB2312" w:cs="仿宋_GB2312"/>
          <w:color w:val="3D3D3D"/>
          <w:kern w:val="0"/>
          <w:sz w:val="32"/>
          <w:szCs w:val="32"/>
          <w:lang w:val="en-US" w:eastAsia="zh-CN"/>
        </w:rPr>
        <w:t>1</w:t>
      </w:r>
      <w:r>
        <w:rPr>
          <w:rFonts w:hint="eastAsia" w:ascii="仿宋_GB2312" w:hAnsi="仿宋_GB2312" w:eastAsia="仿宋_GB2312" w:cs="仿宋_GB2312"/>
          <w:color w:val="3D3D3D"/>
          <w:kern w:val="0"/>
          <w:sz w:val="32"/>
          <w:szCs w:val="32"/>
        </w:rPr>
        <w:t>年园林管理处整体绩效目标（含项目支出）实现全覆盖，涉及一般公共预算拨款</w:t>
      </w:r>
      <w:r>
        <w:rPr>
          <w:rFonts w:hint="eastAsia" w:ascii="仿宋_GB2312" w:hAnsi="仿宋_GB2312" w:eastAsia="仿宋_GB2312" w:cs="仿宋_GB2312"/>
          <w:color w:val="3D3D3D"/>
          <w:kern w:val="0"/>
          <w:sz w:val="32"/>
          <w:szCs w:val="32"/>
          <w:lang w:val="en-US" w:eastAsia="zh-CN"/>
        </w:rPr>
        <w:t>93</w:t>
      </w:r>
      <w:r>
        <w:rPr>
          <w:rFonts w:hint="eastAsia" w:ascii="仿宋_GB2312" w:hAnsi="仿宋_GB2312" w:eastAsia="仿宋_GB2312" w:cs="仿宋_GB2312"/>
          <w:color w:val="3D3D3D"/>
          <w:kern w:val="0"/>
          <w:sz w:val="32"/>
          <w:szCs w:val="32"/>
        </w:rPr>
        <w:t>万元，纳入以部门为主体的重点绩效评价项目。完善城市综合竞争力、创造良好投资环境、促进文明建设、提升市民幸福指数，优化城市基础设施环境，提升优质服务，持续不断促进社会发展的需求，满意度指标达到98%。</w:t>
      </w:r>
    </w:p>
    <w:p>
      <w:pPr>
        <w:widowControl/>
        <w:numPr>
          <w:ilvl w:val="0"/>
          <w:numId w:val="1"/>
        </w:numPr>
        <w:spacing w:line="600" w:lineRule="exact"/>
        <w:ind w:left="0" w:leftChars="0" w:firstLine="640" w:firstLineChars="200"/>
        <w:jc w:val="left"/>
        <w:rPr>
          <w:rFonts w:ascii="Times New Roman" w:hAnsi="Times New Roman" w:eastAsia="黑体"/>
          <w:sz w:val="32"/>
          <w:szCs w:val="32"/>
        </w:rPr>
      </w:pPr>
      <w:r>
        <w:rPr>
          <w:rFonts w:ascii="Times New Roman" w:hAnsi="Times New Roman" w:eastAsia="黑体"/>
          <w:sz w:val="32"/>
          <w:szCs w:val="32"/>
        </w:rPr>
        <w:t>存在的问题及原因分析</w:t>
      </w:r>
    </w:p>
    <w:p>
      <w:pPr>
        <w:widowControl/>
        <w:numPr>
          <w:ilvl w:val="0"/>
          <w:numId w:val="0"/>
        </w:numPr>
        <w:spacing w:line="600" w:lineRule="exact"/>
        <w:ind w:firstLine="960" w:firstLineChars="30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预算支出执行偏离绩效目标的</w:t>
      </w:r>
      <w:r>
        <w:rPr>
          <w:rFonts w:hint="eastAsia" w:ascii="仿宋_GB2312" w:hAnsi="仿宋_GB2312" w:eastAsia="仿宋_GB2312" w:cs="仿宋_GB2312"/>
          <w:sz w:val="32"/>
          <w:szCs w:val="32"/>
        </w:rPr>
        <w:t>原因为财政项目资金拨付不足，实际拨付预算支出</w:t>
      </w:r>
      <w:r>
        <w:rPr>
          <w:rFonts w:hint="eastAsia" w:ascii="仿宋_GB2312" w:hAnsi="仿宋_GB2312" w:eastAsia="仿宋_GB2312" w:cs="仿宋_GB2312"/>
          <w:color w:val="3D3D3D"/>
          <w:kern w:val="0"/>
          <w:sz w:val="32"/>
          <w:szCs w:val="32"/>
        </w:rPr>
        <w:t>的</w:t>
      </w:r>
      <w:r>
        <w:rPr>
          <w:rFonts w:hint="eastAsia" w:ascii="仿宋_GB2312" w:hAnsi="仿宋_GB2312" w:eastAsia="仿宋_GB2312" w:cs="仿宋_GB2312"/>
          <w:color w:val="3D3D3D"/>
          <w:kern w:val="0"/>
          <w:sz w:val="32"/>
          <w:szCs w:val="32"/>
          <w:lang w:val="en-US" w:eastAsia="zh-CN"/>
        </w:rPr>
        <w:t>97.8</w:t>
      </w:r>
      <w:r>
        <w:rPr>
          <w:rFonts w:hint="eastAsia" w:ascii="仿宋_GB2312" w:hAnsi="仿宋_GB2312" w:eastAsia="仿宋_GB2312" w:cs="仿宋_GB2312"/>
          <w:color w:val="3D3D3D"/>
          <w:kern w:val="0"/>
          <w:sz w:val="32"/>
          <w:szCs w:val="32"/>
        </w:rPr>
        <w:t>%</w:t>
      </w:r>
      <w:r>
        <w:rPr>
          <w:rFonts w:hint="eastAsia" w:ascii="仿宋_GB2312" w:hAnsi="仿宋_GB2312" w:eastAsia="仿宋_GB2312" w:cs="仿宋_GB2312"/>
          <w:sz w:val="32"/>
          <w:szCs w:val="32"/>
        </w:rPr>
        <w:t>。</w:t>
      </w:r>
    </w:p>
    <w:p>
      <w:pPr>
        <w:pStyle w:val="5"/>
        <w:widowControl/>
        <w:spacing w:line="600" w:lineRule="exact"/>
        <w:ind w:left="0" w:leftChars="0" w:firstLine="640" w:firstLineChars="200"/>
        <w:jc w:val="left"/>
        <w:rPr>
          <w:rFonts w:ascii="Times New Roman" w:hAnsi="Times New Roman" w:eastAsia="黑体"/>
          <w:sz w:val="32"/>
          <w:szCs w:val="32"/>
        </w:rPr>
      </w:pPr>
    </w:p>
    <w:p>
      <w:pPr>
        <w:widowControl/>
        <w:numPr>
          <w:ilvl w:val="0"/>
          <w:numId w:val="1"/>
        </w:numPr>
        <w:spacing w:line="600" w:lineRule="exact"/>
        <w:ind w:left="0" w:leftChars="0" w:firstLine="640" w:firstLineChars="200"/>
        <w:jc w:val="left"/>
        <w:rPr>
          <w:rFonts w:eastAsia="黑体"/>
          <w:sz w:val="32"/>
          <w:szCs w:val="32"/>
        </w:rPr>
      </w:pPr>
      <w:r>
        <w:rPr>
          <w:rFonts w:eastAsia="黑体"/>
          <w:sz w:val="32"/>
          <w:szCs w:val="32"/>
        </w:rPr>
        <w:t>下一步改进措施</w:t>
      </w:r>
    </w:p>
    <w:p>
      <w:pPr>
        <w:widowControl/>
        <w:numPr>
          <w:ilvl w:val="0"/>
          <w:numId w:val="0"/>
        </w:numPr>
        <w:spacing w:line="600" w:lineRule="exact"/>
        <w:ind w:leftChars="200"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加强日常维护工作，增强巡查力度，确保</w:t>
      </w:r>
      <w:r>
        <w:rPr>
          <w:rFonts w:hint="eastAsia" w:ascii="仿宋_GB2312" w:hAnsi="仿宋_GB2312" w:eastAsia="仿宋_GB2312" w:cs="仿宋_GB2312"/>
          <w:sz w:val="32"/>
          <w:szCs w:val="32"/>
        </w:rPr>
        <w:t>市城区交通道路的畅通及平安出行，美化</w:t>
      </w:r>
      <w:r>
        <w:rPr>
          <w:rFonts w:hint="eastAsia" w:ascii="仿宋_GB2312" w:hAnsi="仿宋_GB2312" w:eastAsia="仿宋_GB2312" w:cs="仿宋_GB2312"/>
          <w:sz w:val="32"/>
          <w:szCs w:val="32"/>
          <w:lang w:eastAsia="zh-CN"/>
        </w:rPr>
        <w:t>城市</w:t>
      </w:r>
      <w:r>
        <w:rPr>
          <w:rFonts w:hint="eastAsia" w:ascii="仿宋_GB2312" w:hAnsi="仿宋_GB2312" w:eastAsia="仿宋_GB2312" w:cs="仿宋_GB2312"/>
          <w:sz w:val="32"/>
          <w:szCs w:val="32"/>
        </w:rPr>
        <w:t>、提升城市品质，满足市民对城市宜居的需求，创造城市园林景观的同时，又提供市民休闲娱乐场地，为社会交往提供空间成为自然、生态、宜居的城市。</w:t>
      </w:r>
    </w:p>
    <w:p>
      <w:pPr>
        <w:widowControl/>
        <w:spacing w:line="600" w:lineRule="exact"/>
        <w:ind w:firstLine="640" w:firstLineChars="200"/>
        <w:jc w:val="left"/>
        <w:rPr>
          <w:rFonts w:eastAsia="黑体"/>
          <w:sz w:val="32"/>
          <w:szCs w:val="32"/>
        </w:rPr>
      </w:pPr>
    </w:p>
    <w:p>
      <w:pPr>
        <w:widowControl/>
        <w:numPr>
          <w:ilvl w:val="0"/>
          <w:numId w:val="1"/>
        </w:numPr>
        <w:spacing w:line="600" w:lineRule="exact"/>
        <w:ind w:left="0" w:leftChars="0" w:firstLine="640" w:firstLineChars="200"/>
        <w:jc w:val="left"/>
        <w:rPr>
          <w:rFonts w:eastAsia="黑体"/>
          <w:sz w:val="32"/>
          <w:szCs w:val="32"/>
        </w:rPr>
      </w:pPr>
      <w:r>
        <w:rPr>
          <w:rFonts w:eastAsia="黑体"/>
          <w:sz w:val="32"/>
          <w:szCs w:val="32"/>
        </w:rPr>
        <w:t>其他需要说明的情况</w:t>
      </w:r>
    </w:p>
    <w:p>
      <w:pPr>
        <w:widowControl/>
        <w:numPr>
          <w:ilvl w:val="0"/>
          <w:numId w:val="0"/>
        </w:numPr>
        <w:spacing w:line="600" w:lineRule="exact"/>
        <w:ind w:firstLine="960" w:firstLineChars="3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EBE2F3"/>
    <w:multiLevelType w:val="singleLevel"/>
    <w:tmpl w:val="50EBE2F3"/>
    <w:lvl w:ilvl="0" w:tentative="0">
      <w:start w:val="2"/>
      <w:numFmt w:val="chineseCounting"/>
      <w:suff w:val="nothing"/>
      <w:lvlText w:val="（%1）"/>
      <w:lvlJc w:val="left"/>
      <w:rPr>
        <w:rFonts w:hint="eastAsia"/>
      </w:rPr>
    </w:lvl>
  </w:abstractNum>
  <w:abstractNum w:abstractNumId="1">
    <w:nsid w:val="556E93B6"/>
    <w:multiLevelType w:val="singleLevel"/>
    <w:tmpl w:val="556E93B6"/>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122C227E"/>
    <w:rsid w:val="28081C54"/>
    <w:rsid w:val="3A076E09"/>
    <w:rsid w:val="3B8F3226"/>
    <w:rsid w:val="5A9D5D9B"/>
    <w:rsid w:val="74001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1"/>
    <w:pPr>
      <w:spacing w:before="85"/>
      <w:ind w:left="751"/>
      <w:outlineLvl w:val="1"/>
    </w:pPr>
    <w:rPr>
      <w:rFonts w:ascii="Microsoft JhengHei" w:hAnsi="Microsoft JhengHei" w:eastAsia="Microsoft JhengHei" w:cs="Microsoft JhengHei"/>
      <w:b/>
      <w:bCs/>
      <w:sz w:val="32"/>
      <w:szCs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5">
    <w:name w:val="List Paragraph"/>
    <w:basedOn w:val="1"/>
    <w:qFormat/>
    <w:uiPriority w:val="99"/>
    <w:pPr>
      <w:ind w:firstLine="420" w:firstLineChars="200"/>
    </w:pPr>
    <w:rPr>
      <w:rFonts w:ascii="Calibri" w:hAnsi="Calibri" w:eastAsia="宋体" w:cs="Times New Roman"/>
      <w:szCs w:val="22"/>
    </w:rPr>
  </w:style>
  <w:style w:type="paragraph" w:styleId="6">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Administrator</cp:lastModifiedBy>
  <dcterms:modified xsi:type="dcterms:W3CDTF">2022-03-22T13:24:02Z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