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eastAsia="方正小标宋_GBK"/>
          <w:sz w:val="36"/>
          <w:szCs w:val="36"/>
        </w:rPr>
      </w:pPr>
      <w:r>
        <w:rPr>
          <w:rFonts w:hint="eastAsia" w:eastAsia="方正小标宋_GBK"/>
          <w:sz w:val="36"/>
          <w:szCs w:val="36"/>
        </w:rPr>
        <w:t>津市市国有林场</w:t>
      </w:r>
      <w:r>
        <w:rPr>
          <w:rFonts w:eastAsia="方正小标宋_GBK"/>
          <w:sz w:val="36"/>
          <w:szCs w:val="36"/>
        </w:rPr>
        <w:t>2021</w:t>
      </w:r>
      <w:r>
        <w:rPr>
          <w:rFonts w:hint="eastAsia" w:eastAsia="方正小标宋_GBK"/>
          <w:sz w:val="36"/>
          <w:szCs w:val="36"/>
        </w:rPr>
        <w:t>年度部门整体支出</w:t>
      </w:r>
    </w:p>
    <w:p>
      <w:pPr>
        <w:spacing w:line="600" w:lineRule="exact"/>
        <w:jc w:val="center"/>
        <w:rPr>
          <w:rFonts w:eastAsia="方正小标宋_GBK"/>
          <w:sz w:val="32"/>
          <w:szCs w:val="32"/>
        </w:rPr>
      </w:pPr>
      <w:r>
        <w:rPr>
          <w:rFonts w:hint="eastAsia" w:eastAsia="方正小标宋_GBK"/>
          <w:sz w:val="36"/>
          <w:szCs w:val="36"/>
        </w:rPr>
        <w:t>绩效报告</w:t>
      </w:r>
    </w:p>
    <w:p>
      <w:pPr>
        <w:spacing w:line="600" w:lineRule="exact"/>
        <w:jc w:val="center"/>
        <w:rPr>
          <w:rFonts w:eastAsia="方正小标宋_GBK"/>
          <w:sz w:val="32"/>
          <w:szCs w:val="32"/>
        </w:rPr>
      </w:pPr>
    </w:p>
    <w:p>
      <w:pPr>
        <w:pStyle w:val="8"/>
        <w:widowControl/>
        <w:numPr>
          <w:ilvl w:val="0"/>
          <w:numId w:val="1"/>
        </w:numPr>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部门、单位基本情况</w:t>
      </w:r>
    </w:p>
    <w:p>
      <w:pPr>
        <w:ind w:firstLine="640" w:firstLineChars="200"/>
        <w:rPr>
          <w:rFonts w:ascii="仿宋_GB2312" w:hAnsi="仿宋_GB2312" w:eastAsia="仿宋_GB2312" w:cs="仿宋_GB2312"/>
          <w:b/>
          <w:bCs/>
          <w:sz w:val="32"/>
          <w:szCs w:val="32"/>
        </w:rPr>
      </w:pPr>
      <w:r>
        <w:rPr>
          <w:rFonts w:hint="eastAsia" w:ascii="楷体" w:hAnsi="楷体" w:eastAsia="楷体" w:cs="楷体"/>
          <w:b w:val="0"/>
          <w:bCs w:val="0"/>
          <w:sz w:val="32"/>
          <w:szCs w:val="32"/>
        </w:rPr>
        <w:t>（一）职能职责</w:t>
      </w:r>
    </w:p>
    <w:p>
      <w:pPr>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津市市国有林场与湖南嘉山国家森林公园，现实行两块牌子一套人马的管理体制，其主要职责是：</w:t>
      </w:r>
    </w:p>
    <w:p>
      <w:pPr>
        <w:adjustRightInd w:val="0"/>
        <w:snapToGrid w:val="0"/>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、按照《森林法》的要求，做好国有林场和森林公园范围内的植树造林、森林防火、森林病虫害防治等工作。</w:t>
      </w:r>
    </w:p>
    <w:p>
      <w:pPr>
        <w:adjustRightInd w:val="0"/>
        <w:snapToGrid w:val="0"/>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、依法保护国有林场和森林公园范围内的森林资源、旅游资源和野生动植物资源，</w:t>
      </w:r>
      <w:r>
        <w:rPr>
          <w:rFonts w:ascii="仿宋_GB2312" w:hAnsi="仿宋_GB2312" w:eastAsia="仿宋_GB2312" w:cs="仿宋_GB2312"/>
          <w:sz w:val="32"/>
          <w:szCs w:val="32"/>
        </w:rPr>
        <w:t xml:space="preserve"> </w:t>
      </w:r>
    </w:p>
    <w:p>
      <w:pPr>
        <w:adjustRightInd w:val="0"/>
        <w:snapToGrid w:val="0"/>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、抓好森林消防专业队伍的培训、森林火灾扑救演练及森林消防器材的保管、维护工作。</w:t>
      </w:r>
    </w:p>
    <w:p>
      <w:pPr>
        <w:adjustRightInd w:val="0"/>
        <w:snapToGrid w:val="0"/>
        <w:spacing w:line="6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4</w:t>
      </w:r>
      <w:r>
        <w:rPr>
          <w:rFonts w:hint="eastAsia" w:ascii="仿宋_GB2312" w:hAnsi="仿宋_GB2312" w:eastAsia="仿宋_GB2312" w:cs="仿宋_GB2312"/>
          <w:sz w:val="32"/>
          <w:szCs w:val="32"/>
        </w:rPr>
        <w:t>、根据国家森林公园总体规划的要求，积极开展森林公园投资兴建等相关工作。</w:t>
      </w:r>
    </w:p>
    <w:p>
      <w:pPr>
        <w:pStyle w:val="2"/>
        <w:adjustRightInd w:val="0"/>
        <w:snapToGrid w:val="0"/>
        <w:spacing w:before="0" w:line="600" w:lineRule="exact"/>
        <w:ind w:left="0" w:firstLine="640" w:firstLineChars="200"/>
        <w:jc w:val="both"/>
        <w:rPr>
          <w:rFonts w:hint="eastAsia" w:ascii="楷体" w:hAnsi="楷体" w:eastAsia="楷体" w:cs="楷体"/>
          <w:b w:val="0"/>
          <w:bCs w:val="0"/>
        </w:rPr>
      </w:pPr>
      <w:r>
        <w:rPr>
          <w:rFonts w:hint="eastAsia" w:ascii="楷体" w:hAnsi="楷体" w:eastAsia="楷体" w:cs="楷体"/>
          <w:b w:val="0"/>
          <w:bCs w:val="0"/>
        </w:rPr>
        <w:t>（二）机构设置</w:t>
      </w:r>
    </w:p>
    <w:p>
      <w:pPr>
        <w:adjustRightInd w:val="0"/>
        <w:snapToGrid w:val="0"/>
        <w:spacing w:line="6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津市市国有林场下设</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个股室，分别是办公室、营林组、森林防火大队</w:t>
      </w:r>
    </w:p>
    <w:p>
      <w:pPr>
        <w:pStyle w:val="8"/>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二、一般公共预算支出情况</w:t>
      </w:r>
    </w:p>
    <w:p>
      <w:pPr>
        <w:pStyle w:val="8"/>
        <w:widowControl/>
        <w:spacing w:line="600" w:lineRule="exact"/>
        <w:ind w:left="640" w:firstLine="0" w:firstLineChars="0"/>
        <w:rPr>
          <w:rFonts w:hint="eastAsia" w:ascii="楷体" w:hAnsi="楷体" w:eastAsia="楷体" w:cs="楷体"/>
          <w:sz w:val="32"/>
          <w:szCs w:val="32"/>
        </w:rPr>
      </w:pPr>
      <w:r>
        <w:rPr>
          <w:rFonts w:hint="eastAsia" w:ascii="楷体" w:hAnsi="楷体" w:eastAsia="楷体" w:cs="楷体"/>
          <w:sz w:val="32"/>
          <w:szCs w:val="32"/>
        </w:rPr>
        <w:t>（一）基本支出情况</w:t>
      </w:r>
    </w:p>
    <w:p>
      <w:pPr>
        <w:snapToGrid w:val="0"/>
        <w:spacing w:line="360" w:lineRule="auto"/>
        <w:ind w:firstLine="640" w:firstLineChars="200"/>
        <w:rPr>
          <w:rFonts w:hint="eastAsia" w:ascii="楷体" w:hAnsi="楷体" w:eastAsia="楷体" w:cs="楷体"/>
          <w:color w:val="222222"/>
          <w:kern w:val="0"/>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color w:val="222222"/>
          <w:kern w:val="0"/>
          <w:sz w:val="32"/>
          <w:szCs w:val="32"/>
        </w:rPr>
        <w:t>部门整体支出情况</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rPr>
      </w:pPr>
      <w:r>
        <w:rPr>
          <w:rFonts w:ascii="仿宋_GB2312" w:hAnsi="仿宋" w:eastAsia="仿宋_GB2312"/>
          <w:sz w:val="32"/>
          <w:szCs w:val="32"/>
        </w:rPr>
        <w:t>2021</w:t>
      </w:r>
      <w:r>
        <w:rPr>
          <w:rFonts w:hint="eastAsia" w:ascii="仿宋_GB2312" w:hAnsi="仿宋" w:eastAsia="仿宋_GB2312"/>
          <w:sz w:val="32"/>
          <w:szCs w:val="32"/>
        </w:rPr>
        <w:t>年总支出</w:t>
      </w:r>
      <w:r>
        <w:rPr>
          <w:rFonts w:hint="eastAsia" w:ascii="仿宋_GB2312" w:hAnsi="仿宋" w:eastAsia="仿宋_GB2312"/>
          <w:sz w:val="32"/>
          <w:szCs w:val="32"/>
          <w:lang w:val="en-US" w:eastAsia="zh-CN"/>
        </w:rPr>
        <w:t>918.43</w:t>
      </w:r>
      <w:r>
        <w:rPr>
          <w:rFonts w:hint="eastAsia" w:ascii="仿宋_GB2312" w:hAnsi="仿宋" w:eastAsia="仿宋_GB2312"/>
          <w:sz w:val="32"/>
          <w:szCs w:val="32"/>
        </w:rPr>
        <w:t>万元，其中人员经费</w:t>
      </w:r>
      <w:r>
        <w:rPr>
          <w:rFonts w:hint="eastAsia" w:ascii="仿宋_GB2312" w:hAnsi="仿宋" w:eastAsia="仿宋_GB2312"/>
          <w:sz w:val="32"/>
          <w:szCs w:val="32"/>
          <w:lang w:val="en-US" w:eastAsia="zh-CN"/>
        </w:rPr>
        <w:t>116.21</w:t>
      </w:r>
      <w:r>
        <w:rPr>
          <w:rFonts w:hint="eastAsia" w:ascii="仿宋_GB2312" w:hAnsi="仿宋" w:eastAsia="仿宋_GB2312"/>
          <w:sz w:val="32"/>
          <w:szCs w:val="32"/>
        </w:rPr>
        <w:t>万元，占基本支出的</w:t>
      </w:r>
      <w:r>
        <w:rPr>
          <w:rFonts w:hint="eastAsia" w:ascii="仿宋_GB2312" w:hAnsi="仿宋" w:eastAsia="仿宋_GB2312"/>
          <w:sz w:val="32"/>
          <w:szCs w:val="32"/>
          <w:lang w:val="en-US" w:eastAsia="zh-CN"/>
        </w:rPr>
        <w:t>87.3</w:t>
      </w:r>
      <w:r>
        <w:rPr>
          <w:rFonts w:ascii="仿宋_GB2312" w:hAnsi="仿宋" w:eastAsia="仿宋_GB2312"/>
          <w:sz w:val="32"/>
          <w:szCs w:val="32"/>
        </w:rPr>
        <w:t>%</w:t>
      </w:r>
      <w:r>
        <w:rPr>
          <w:rFonts w:hint="eastAsia" w:ascii="仿宋_GB2312" w:hAnsi="仿宋" w:eastAsia="仿宋_GB2312"/>
          <w:sz w:val="32"/>
          <w:szCs w:val="32"/>
        </w:rPr>
        <w:t>；日常公用经费</w:t>
      </w:r>
      <w:r>
        <w:rPr>
          <w:rFonts w:hint="eastAsia" w:ascii="仿宋_GB2312" w:hAnsi="仿宋" w:eastAsia="仿宋_GB2312"/>
          <w:sz w:val="32"/>
          <w:szCs w:val="32"/>
          <w:lang w:val="en-US" w:eastAsia="zh-CN"/>
        </w:rPr>
        <w:t>16.9</w:t>
      </w:r>
      <w:r>
        <w:rPr>
          <w:rFonts w:hint="eastAsia" w:ascii="仿宋_GB2312" w:hAnsi="仿宋" w:eastAsia="仿宋_GB2312"/>
          <w:sz w:val="32"/>
          <w:szCs w:val="32"/>
        </w:rPr>
        <w:t>万元，占基本支出的</w:t>
      </w:r>
      <w:r>
        <w:rPr>
          <w:rFonts w:hint="eastAsia" w:ascii="仿宋_GB2312" w:hAnsi="仿宋" w:eastAsia="仿宋_GB2312"/>
          <w:sz w:val="32"/>
          <w:szCs w:val="32"/>
          <w:lang w:val="en-US" w:eastAsia="zh-CN"/>
        </w:rPr>
        <w:t>12.7</w:t>
      </w:r>
      <w:r>
        <w:rPr>
          <w:rFonts w:ascii="仿宋_GB2312" w:hAnsi="仿宋" w:eastAsia="仿宋_GB2312"/>
          <w:sz w:val="32"/>
          <w:szCs w:val="32"/>
        </w:rPr>
        <w:t>%</w:t>
      </w:r>
      <w:r>
        <w:rPr>
          <w:rFonts w:hint="eastAsia" w:ascii="仿宋_GB2312" w:hAnsi="仿宋" w:eastAsia="仿宋_GB2312"/>
          <w:sz w:val="32"/>
          <w:szCs w:val="32"/>
        </w:rPr>
        <w:t>。</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2、部门预算收支决算情况</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20</w:t>
      </w:r>
      <w:r>
        <w:rPr>
          <w:rFonts w:hint="eastAsia" w:ascii="仿宋_GB2312" w:hAnsi="仿宋" w:eastAsia="仿宋_GB2312"/>
          <w:sz w:val="32"/>
          <w:szCs w:val="32"/>
          <w:lang w:val="en-US" w:eastAsia="zh-CN"/>
        </w:rPr>
        <w:t>21</w:t>
      </w:r>
      <w:r>
        <w:rPr>
          <w:rFonts w:hint="eastAsia" w:ascii="仿宋_GB2312" w:hAnsi="仿宋" w:eastAsia="仿宋_GB2312"/>
          <w:sz w:val="32"/>
          <w:szCs w:val="32"/>
        </w:rPr>
        <w:t>年度财政拨款总收入</w:t>
      </w:r>
      <w:r>
        <w:rPr>
          <w:rFonts w:hint="eastAsia" w:ascii="仿宋_GB2312" w:hAnsi="仿宋" w:eastAsia="仿宋_GB2312"/>
          <w:sz w:val="32"/>
          <w:szCs w:val="32"/>
          <w:lang w:val="en-US" w:eastAsia="zh-CN"/>
        </w:rPr>
        <w:t>918.43</w:t>
      </w:r>
      <w:r>
        <w:rPr>
          <w:rFonts w:hint="eastAsia" w:ascii="仿宋_GB2312" w:hAnsi="仿宋" w:eastAsia="仿宋_GB2312"/>
          <w:sz w:val="32"/>
          <w:szCs w:val="32"/>
        </w:rPr>
        <w:t>万元，比上年</w:t>
      </w:r>
      <w:r>
        <w:rPr>
          <w:rFonts w:hint="eastAsia" w:ascii="仿宋_GB2312" w:hAnsi="仿宋" w:eastAsia="仿宋_GB2312"/>
          <w:sz w:val="32"/>
          <w:szCs w:val="32"/>
          <w:lang w:eastAsia="zh-CN"/>
        </w:rPr>
        <w:t>增加</w:t>
      </w:r>
      <w:r>
        <w:rPr>
          <w:rFonts w:hint="eastAsia" w:ascii="仿宋_GB2312" w:hAnsi="仿宋" w:eastAsia="仿宋_GB2312"/>
          <w:sz w:val="32"/>
          <w:szCs w:val="32"/>
          <w:lang w:val="en-US" w:eastAsia="zh-CN"/>
        </w:rPr>
        <w:t>7.9</w:t>
      </w:r>
      <w:r>
        <w:rPr>
          <w:rFonts w:hint="eastAsia" w:ascii="仿宋_GB2312" w:hAnsi="仿宋" w:eastAsia="仿宋_GB2312"/>
          <w:sz w:val="32"/>
          <w:szCs w:val="32"/>
        </w:rPr>
        <w:t>%，其中一般公共预算财政拨款收入</w:t>
      </w:r>
      <w:r>
        <w:rPr>
          <w:rFonts w:hint="eastAsia" w:ascii="仿宋_GB2312" w:hAnsi="仿宋" w:eastAsia="仿宋_GB2312"/>
          <w:sz w:val="32"/>
          <w:szCs w:val="32"/>
          <w:lang w:val="en-US" w:eastAsia="zh-CN"/>
        </w:rPr>
        <w:t>514.11</w:t>
      </w:r>
      <w:r>
        <w:rPr>
          <w:rFonts w:hint="eastAsia" w:ascii="仿宋_GB2312" w:hAnsi="仿宋" w:eastAsia="仿宋_GB2312"/>
          <w:sz w:val="32"/>
          <w:szCs w:val="32"/>
        </w:rPr>
        <w:t>万元</w:t>
      </w:r>
      <w:r>
        <w:rPr>
          <w:rFonts w:hint="eastAsia" w:ascii="仿宋_GB2312" w:hAnsi="仿宋" w:eastAsia="仿宋_GB2312"/>
          <w:sz w:val="32"/>
          <w:szCs w:val="32"/>
          <w:lang w:eastAsia="zh-CN"/>
        </w:rPr>
        <w:t>，年初结转和结余</w:t>
      </w:r>
      <w:r>
        <w:rPr>
          <w:rFonts w:hint="eastAsia" w:ascii="仿宋_GB2312" w:hAnsi="仿宋" w:eastAsia="仿宋_GB2312"/>
          <w:sz w:val="32"/>
          <w:szCs w:val="32"/>
          <w:lang w:val="en-US" w:eastAsia="zh-CN"/>
        </w:rPr>
        <w:t>404.32万元</w:t>
      </w:r>
      <w:r>
        <w:rPr>
          <w:rFonts w:hint="eastAsia" w:ascii="仿宋_GB2312" w:hAnsi="仿宋" w:eastAsia="仿宋_GB2312"/>
          <w:sz w:val="32"/>
          <w:szCs w:val="32"/>
        </w:rPr>
        <w:t>。</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val="en-US" w:eastAsia="zh-CN"/>
        </w:rPr>
        <w:t>2021年度</w:t>
      </w:r>
      <w:r>
        <w:rPr>
          <w:rFonts w:hint="eastAsia" w:ascii="仿宋_GB2312" w:hAnsi="仿宋" w:eastAsia="仿宋_GB2312"/>
          <w:sz w:val="32"/>
          <w:szCs w:val="32"/>
        </w:rPr>
        <w:t>财政拨款总支出</w:t>
      </w:r>
      <w:r>
        <w:rPr>
          <w:rFonts w:hint="eastAsia" w:ascii="仿宋_GB2312" w:hAnsi="仿宋" w:eastAsia="仿宋_GB2312"/>
          <w:sz w:val="32"/>
          <w:szCs w:val="32"/>
          <w:lang w:val="en-US" w:eastAsia="zh-CN"/>
        </w:rPr>
        <w:t>918.43</w:t>
      </w:r>
      <w:r>
        <w:rPr>
          <w:rFonts w:hint="eastAsia" w:ascii="仿宋_GB2312" w:hAnsi="仿宋" w:eastAsia="仿宋_GB2312"/>
          <w:sz w:val="32"/>
          <w:szCs w:val="32"/>
        </w:rPr>
        <w:t>万元，比上年</w:t>
      </w:r>
      <w:r>
        <w:rPr>
          <w:rFonts w:hint="eastAsia" w:ascii="仿宋_GB2312" w:hAnsi="仿宋" w:eastAsia="仿宋_GB2312"/>
          <w:sz w:val="32"/>
          <w:szCs w:val="32"/>
          <w:lang w:eastAsia="zh-CN"/>
        </w:rPr>
        <w:t>增加</w:t>
      </w:r>
      <w:r>
        <w:rPr>
          <w:rFonts w:hint="eastAsia" w:ascii="仿宋_GB2312" w:hAnsi="仿宋" w:eastAsia="仿宋_GB2312"/>
          <w:sz w:val="32"/>
          <w:szCs w:val="32"/>
          <w:lang w:val="en-US" w:eastAsia="zh-CN"/>
        </w:rPr>
        <w:t>7.9</w:t>
      </w:r>
      <w:r>
        <w:rPr>
          <w:rFonts w:hint="eastAsia" w:ascii="仿宋_GB2312" w:hAnsi="仿宋" w:eastAsia="仿宋_GB2312"/>
          <w:sz w:val="32"/>
          <w:szCs w:val="32"/>
        </w:rPr>
        <w:t>%，其中一般公共预算财政拨款支出</w:t>
      </w:r>
      <w:r>
        <w:rPr>
          <w:rFonts w:hint="eastAsia" w:ascii="仿宋_GB2312" w:hAnsi="仿宋" w:eastAsia="仿宋_GB2312"/>
          <w:sz w:val="32"/>
          <w:szCs w:val="32"/>
          <w:lang w:val="en-US" w:eastAsia="zh-CN"/>
        </w:rPr>
        <w:t>514.11</w:t>
      </w:r>
      <w:r>
        <w:rPr>
          <w:rFonts w:hint="eastAsia" w:ascii="仿宋_GB2312" w:hAnsi="仿宋" w:eastAsia="仿宋_GB2312"/>
          <w:sz w:val="32"/>
          <w:szCs w:val="32"/>
        </w:rPr>
        <w:t>万元。</w:t>
      </w:r>
    </w:p>
    <w:p>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eastAsia="zh-CN"/>
        </w:rPr>
      </w:pPr>
      <w:r>
        <w:rPr>
          <w:rFonts w:hint="eastAsia" w:ascii="仿宋_GB2312" w:hAnsi="仿宋" w:eastAsia="仿宋_GB2312"/>
          <w:sz w:val="32"/>
          <w:szCs w:val="32"/>
        </w:rPr>
        <w:t>20</w:t>
      </w:r>
      <w:r>
        <w:rPr>
          <w:rFonts w:hint="eastAsia" w:ascii="仿宋_GB2312" w:hAnsi="仿宋" w:eastAsia="仿宋_GB2312"/>
          <w:sz w:val="32"/>
          <w:szCs w:val="32"/>
          <w:lang w:val="en-US" w:eastAsia="zh-CN"/>
        </w:rPr>
        <w:t>21</w:t>
      </w:r>
      <w:r>
        <w:rPr>
          <w:rFonts w:hint="eastAsia" w:ascii="仿宋_GB2312" w:hAnsi="仿宋" w:eastAsia="仿宋_GB2312"/>
          <w:sz w:val="32"/>
          <w:szCs w:val="32"/>
        </w:rPr>
        <w:t>年度支出决算数</w:t>
      </w:r>
      <w:r>
        <w:rPr>
          <w:rFonts w:hint="eastAsia" w:ascii="仿宋_GB2312" w:hAnsi="仿宋" w:eastAsia="仿宋_GB2312"/>
          <w:sz w:val="32"/>
          <w:szCs w:val="32"/>
          <w:lang w:val="en-US" w:eastAsia="zh-CN"/>
        </w:rPr>
        <w:t>918.43</w:t>
      </w:r>
      <w:r>
        <w:rPr>
          <w:rFonts w:hint="eastAsia" w:ascii="仿宋_GB2312" w:hAnsi="仿宋" w:eastAsia="仿宋_GB2312"/>
          <w:sz w:val="32"/>
          <w:szCs w:val="32"/>
        </w:rPr>
        <w:t>万元，比年初预算</w:t>
      </w:r>
      <w:r>
        <w:rPr>
          <w:rFonts w:hint="eastAsia" w:ascii="仿宋_GB2312" w:hAnsi="仿宋" w:eastAsia="仿宋_GB2312"/>
          <w:sz w:val="32"/>
          <w:szCs w:val="32"/>
          <w:lang w:val="en-US" w:eastAsia="zh-CN"/>
        </w:rPr>
        <w:t>968.72</w:t>
      </w:r>
      <w:r>
        <w:rPr>
          <w:rFonts w:hint="eastAsia" w:ascii="仿宋_GB2312" w:hAnsi="仿宋" w:eastAsia="仿宋_GB2312"/>
          <w:sz w:val="32"/>
          <w:szCs w:val="32"/>
        </w:rPr>
        <w:t>万元</w:t>
      </w:r>
      <w:r>
        <w:rPr>
          <w:rFonts w:hint="eastAsia" w:ascii="仿宋_GB2312" w:hAnsi="仿宋" w:eastAsia="仿宋_GB2312"/>
          <w:sz w:val="32"/>
          <w:szCs w:val="32"/>
          <w:lang w:eastAsia="zh-CN"/>
        </w:rPr>
        <w:t>减少</w:t>
      </w:r>
      <w:r>
        <w:rPr>
          <w:rFonts w:hint="eastAsia" w:ascii="仿宋_GB2312" w:hAnsi="仿宋" w:eastAsia="仿宋_GB2312"/>
          <w:sz w:val="32"/>
          <w:szCs w:val="32"/>
          <w:lang w:val="en-US" w:eastAsia="zh-CN"/>
        </w:rPr>
        <w:t>5.47</w:t>
      </w:r>
      <w:r>
        <w:rPr>
          <w:rFonts w:hint="eastAsia" w:ascii="仿宋_GB2312" w:hAnsi="仿宋" w:eastAsia="仿宋_GB2312"/>
          <w:sz w:val="32"/>
          <w:szCs w:val="32"/>
        </w:rPr>
        <w:t>%。</w:t>
      </w:r>
    </w:p>
    <w:p>
      <w:pPr>
        <w:keepNext w:val="0"/>
        <w:keepLines w:val="0"/>
        <w:pageBreakBefore w:val="0"/>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val="en-US" w:eastAsia="zh-CN"/>
        </w:rPr>
        <w:t>3、</w:t>
      </w:r>
      <w:r>
        <w:rPr>
          <w:rFonts w:hint="eastAsia" w:ascii="仿宋_GB2312" w:hAnsi="仿宋" w:eastAsia="仿宋_GB2312"/>
          <w:sz w:val="32"/>
          <w:szCs w:val="32"/>
        </w:rPr>
        <w:t>“三公”经费支出情况：</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ascii="Times New Roman" w:hAnsi="Times New Roman" w:eastAsia="黑体"/>
          <w:sz w:val="32"/>
          <w:szCs w:val="32"/>
        </w:rPr>
      </w:pPr>
      <w:r>
        <w:rPr>
          <w:rFonts w:hint="eastAsia" w:ascii="仿宋_GB2312" w:hAnsi="仿宋" w:eastAsia="仿宋_GB2312"/>
          <w:sz w:val="32"/>
          <w:szCs w:val="32"/>
          <w:lang w:val="en-US" w:eastAsia="zh-CN"/>
        </w:rPr>
        <w:t>2021年我场“三公”经费总额为0.15万元，其中因公出国（境）费0万元；公务用车购置及运行费0万元；公务用车购置费0万元；2021年我单位新购置公务用车0辆，我单位公务用车保有量为0辆。与上年相比无变动；公务接待费0.15万元，公务接待批次2个，接待人次17人。与上年相比增加100%，主要是我场森林精准体质，需要公务接待支出等。</w:t>
      </w:r>
    </w:p>
    <w:p>
      <w:pPr>
        <w:pStyle w:val="8"/>
        <w:widowControl/>
        <w:spacing w:line="600" w:lineRule="exact"/>
        <w:ind w:left="640" w:firstLine="0" w:firstLineChars="0"/>
        <w:rPr>
          <w:rFonts w:ascii="Times New Roman" w:hAnsi="Times New Roman" w:eastAsia="黑体"/>
          <w:sz w:val="32"/>
          <w:szCs w:val="32"/>
        </w:rPr>
      </w:pPr>
      <w:r>
        <w:rPr>
          <w:rFonts w:hint="eastAsia" w:ascii="Times New Roman" w:hAnsi="Times New Roman" w:eastAsia="黑体"/>
          <w:sz w:val="32"/>
          <w:szCs w:val="32"/>
        </w:rPr>
        <w:t>（二）项目支出情况</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eastAsia" w:ascii="楷体" w:hAnsi="楷体" w:eastAsia="楷体" w:cs="楷体"/>
          <w:sz w:val="32"/>
          <w:szCs w:val="32"/>
          <w:lang w:val="en-US" w:eastAsia="zh-CN"/>
        </w:rPr>
        <w:t>一是2021年度专项资金安排和使用管理情况。</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default" w:ascii="仿宋_GB2312" w:hAnsi="仿宋" w:eastAsia="仿宋_GB2312"/>
          <w:sz w:val="32"/>
          <w:szCs w:val="32"/>
          <w:lang w:val="en-US" w:eastAsia="zh-CN"/>
        </w:rPr>
      </w:pPr>
      <w:r>
        <w:rPr>
          <w:rFonts w:hint="eastAsia" w:ascii="仿宋_GB2312" w:hAnsi="仿宋" w:eastAsia="仿宋_GB2312"/>
          <w:sz w:val="32"/>
          <w:szCs w:val="32"/>
          <w:lang w:val="en-US" w:eastAsia="zh-CN"/>
        </w:rPr>
        <w:t>2021年度新增专项项目收入为341.71万元，年初结转合结余404.32万元。2021年项目专项总支出费用为746.03万元，包括场部通建设660.03万元；森林质量精准提升项目86万元。</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16" w:firstLineChars="200"/>
        <w:textAlignment w:val="auto"/>
        <w:rPr>
          <w:rFonts w:hint="eastAsia" w:ascii="仿宋" w:hAnsi="仿宋" w:eastAsia="仿宋" w:cs="宋体"/>
          <w:spacing w:val="-6"/>
          <w:sz w:val="32"/>
          <w:szCs w:val="32"/>
          <w:lang w:val="zh-CN" w:bidi="zh-CN"/>
        </w:rPr>
      </w:pPr>
      <w:r>
        <w:rPr>
          <w:rFonts w:hint="eastAsia" w:ascii="仿宋" w:hAnsi="仿宋" w:eastAsia="仿宋" w:cs="宋体"/>
          <w:spacing w:val="-6"/>
          <w:sz w:val="32"/>
          <w:szCs w:val="32"/>
          <w:lang w:val="zh-CN" w:bidi="zh-CN"/>
        </w:rPr>
        <w:t>①场部通建设</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16" w:firstLineChars="200"/>
        <w:textAlignment w:val="auto"/>
        <w:rPr>
          <w:rFonts w:hint="eastAsia" w:ascii="仿宋" w:hAnsi="仿宋" w:eastAsia="仿宋" w:cs="宋体"/>
          <w:spacing w:val="-6"/>
          <w:sz w:val="32"/>
          <w:szCs w:val="32"/>
          <w:lang w:val="zh-CN" w:eastAsia="zh-CN" w:bidi="zh-CN"/>
        </w:rPr>
      </w:pPr>
      <w:r>
        <w:rPr>
          <w:rFonts w:hint="eastAsia" w:ascii="仿宋" w:hAnsi="仿宋" w:eastAsia="仿宋" w:cs="宋体"/>
          <w:spacing w:val="-6"/>
          <w:sz w:val="32"/>
          <w:szCs w:val="32"/>
          <w:lang w:val="zh-CN" w:bidi="zh-CN"/>
        </w:rPr>
        <w:t>高标准完成了重点项目工程津市市国有林场林区场部通硬化路建设，</w:t>
      </w:r>
      <w:r>
        <w:rPr>
          <w:rFonts w:hint="eastAsia" w:ascii="仿宋" w:hAnsi="仿宋" w:eastAsia="仿宋" w:cs="宋体"/>
          <w:spacing w:val="-6"/>
          <w:sz w:val="32"/>
          <w:szCs w:val="32"/>
          <w:lang w:val="en-US" w:eastAsia="zh-CN" w:bidi="zh-CN"/>
        </w:rPr>
        <w:t>2021</w:t>
      </w:r>
      <w:r>
        <w:rPr>
          <w:rFonts w:hint="eastAsia" w:ascii="仿宋" w:hAnsi="仿宋" w:eastAsia="仿宋" w:cs="宋体"/>
          <w:spacing w:val="-6"/>
          <w:sz w:val="32"/>
          <w:szCs w:val="32"/>
          <w:lang w:val="zh-CN" w:eastAsia="zh-CN" w:bidi="zh-CN"/>
        </w:rPr>
        <w:t>年投入</w:t>
      </w:r>
      <w:r>
        <w:rPr>
          <w:rFonts w:hint="eastAsia" w:ascii="仿宋" w:hAnsi="仿宋" w:eastAsia="仿宋" w:cs="宋体"/>
          <w:spacing w:val="-6"/>
          <w:sz w:val="32"/>
          <w:szCs w:val="32"/>
          <w:lang w:val="en-US" w:eastAsia="zh-CN" w:bidi="zh-CN"/>
        </w:rPr>
        <w:t>660.03万元，</w:t>
      </w:r>
      <w:r>
        <w:rPr>
          <w:rFonts w:hint="eastAsia" w:ascii="仿宋" w:hAnsi="仿宋" w:eastAsia="仿宋" w:cs="宋体"/>
          <w:spacing w:val="-6"/>
          <w:sz w:val="32"/>
          <w:szCs w:val="32"/>
          <w:lang w:val="zh-CN" w:bidi="zh-CN"/>
        </w:rPr>
        <w:t>建设里程13公里，建设标准为全线沥青铺设，并在道路两旁栽植了景观树，极大的改善了林场经营生产及生态旅游环境</w:t>
      </w:r>
      <w:r>
        <w:rPr>
          <w:rFonts w:hint="eastAsia" w:ascii="仿宋" w:hAnsi="仿宋" w:eastAsia="仿宋" w:cs="宋体"/>
          <w:spacing w:val="-6"/>
          <w:sz w:val="32"/>
          <w:szCs w:val="32"/>
          <w:lang w:val="zh-CN" w:eastAsia="zh-CN" w:bidi="zh-CN"/>
        </w:rPr>
        <w:t>。</w:t>
      </w:r>
    </w:p>
    <w:p>
      <w:pPr>
        <w:spacing w:line="360" w:lineRule="auto"/>
        <w:ind w:firstLine="480"/>
        <w:rPr>
          <w:rFonts w:hint="eastAsia" w:ascii="仿宋" w:hAnsi="仿宋" w:eastAsia="仿宋" w:cs="宋体"/>
          <w:spacing w:val="-6"/>
          <w:sz w:val="32"/>
          <w:szCs w:val="32"/>
          <w:lang w:val="zh-CN" w:bidi="zh-CN"/>
        </w:rPr>
      </w:pPr>
      <w:r>
        <w:rPr>
          <w:rFonts w:hint="eastAsia" w:ascii="仿宋" w:hAnsi="仿宋" w:eastAsia="仿宋" w:cs="宋体"/>
          <w:spacing w:val="-6"/>
          <w:sz w:val="32"/>
          <w:szCs w:val="32"/>
          <w:lang w:val="en-US" w:bidi="zh-CN"/>
        </w:rPr>
        <w:t>②</w:t>
      </w:r>
      <w:r>
        <w:rPr>
          <w:rFonts w:hint="eastAsia" w:ascii="仿宋" w:hAnsi="仿宋" w:eastAsia="仿宋" w:cs="宋体"/>
          <w:spacing w:val="-6"/>
          <w:sz w:val="32"/>
          <w:szCs w:val="32"/>
          <w:lang w:val="zh-CN" w:bidi="zh-CN"/>
        </w:rPr>
        <w:t>森林质量精准提升项目</w:t>
      </w:r>
    </w:p>
    <w:p>
      <w:pPr>
        <w:spacing w:line="360" w:lineRule="auto"/>
        <w:ind w:firstLine="480"/>
        <w:rPr>
          <w:rFonts w:hint="eastAsia" w:eastAsia="仿宋_GB2312"/>
          <w:color w:val="000000"/>
          <w:sz w:val="32"/>
          <w:szCs w:val="32"/>
        </w:rPr>
      </w:pPr>
      <w:r>
        <w:rPr>
          <w:rFonts w:hint="eastAsia" w:ascii="仿宋" w:hAnsi="仿宋" w:eastAsia="仿宋" w:cs="宋体"/>
          <w:spacing w:val="-6"/>
          <w:sz w:val="32"/>
          <w:szCs w:val="32"/>
          <w:lang w:val="zh-CN" w:bidi="zh-CN"/>
        </w:rPr>
        <w:t>为提高森林质量和林地生产力，培育健康稳定高效的森林生态系统，</w:t>
      </w:r>
      <w:r>
        <w:rPr>
          <w:rFonts w:hint="eastAsia" w:ascii="仿宋" w:hAnsi="仿宋" w:eastAsia="仿宋" w:cs="宋体"/>
          <w:spacing w:val="-6"/>
          <w:sz w:val="32"/>
          <w:szCs w:val="32"/>
          <w:lang w:val="en-US" w:bidi="zh-CN"/>
        </w:rPr>
        <w:t>2021年累计投入86万元</w:t>
      </w:r>
      <w:r>
        <w:rPr>
          <w:rFonts w:hint="eastAsia" w:ascii="仿宋" w:hAnsi="仿宋" w:eastAsia="仿宋" w:cs="宋体"/>
          <w:spacing w:val="-6"/>
          <w:sz w:val="32"/>
          <w:szCs w:val="32"/>
          <w:lang w:val="zh-CN" w:bidi="zh-CN"/>
        </w:rPr>
        <w:t>对3000亩林区进行森林质量精准提升。栽植美国红枫、榉树、银杏、樱花、桃花、青冈栎等多个品种共计5000余株。形成了“结构优、景观美，功能强、效益高”的生态景观林。</w:t>
      </w:r>
    </w:p>
    <w:p>
      <w:pPr>
        <w:keepNext w:val="0"/>
        <w:keepLines w:val="0"/>
        <w:pageBreakBefore w:val="0"/>
        <w:widowControl/>
        <w:kinsoku/>
        <w:wordWrap/>
        <w:overflowPunct/>
        <w:topLinePunct w:val="0"/>
        <w:autoSpaceDE/>
        <w:autoSpaceDN/>
        <w:bidi w:val="0"/>
        <w:adjustRightInd/>
        <w:spacing w:line="360" w:lineRule="auto"/>
        <w:ind w:firstLine="640" w:firstLineChars="200"/>
        <w:jc w:val="left"/>
        <w:textAlignment w:val="auto"/>
        <w:rPr>
          <w:rFonts w:hint="default" w:eastAsia="仿宋_GB2312"/>
          <w:sz w:val="32"/>
          <w:szCs w:val="32"/>
          <w:lang w:val="en-US" w:eastAsia="zh-CN"/>
        </w:rPr>
      </w:pPr>
      <w:r>
        <w:rPr>
          <w:rFonts w:hint="eastAsia" w:ascii="楷体" w:hAnsi="楷体" w:eastAsia="楷体" w:cs="楷体"/>
          <w:sz w:val="32"/>
          <w:szCs w:val="32"/>
        </w:rPr>
        <w:t>二是除专项资金以外的其他项目支出情况</w:t>
      </w:r>
      <w:r>
        <w:rPr>
          <w:rFonts w:hint="eastAsia" w:eastAsia="仿宋_GB2312"/>
          <w:sz w:val="32"/>
          <w:szCs w:val="32"/>
          <w:lang w:eastAsia="zh-CN"/>
        </w:rPr>
        <w:t>：林区资源管护费用</w:t>
      </w:r>
      <w:r>
        <w:rPr>
          <w:rFonts w:hint="eastAsia" w:eastAsia="仿宋_GB2312"/>
          <w:sz w:val="32"/>
          <w:szCs w:val="32"/>
          <w:lang w:val="en-US" w:eastAsia="zh-CN"/>
        </w:rPr>
        <w:t>39.3万元，包括病虫害控制费用15.5万元；森林防灭火费用13.8万元；森林抚育10万元。</w:t>
      </w:r>
    </w:p>
    <w:p>
      <w:pPr>
        <w:pStyle w:val="8"/>
        <w:widowControl/>
        <w:spacing w:line="600" w:lineRule="exact"/>
        <w:ind w:left="0" w:leftChars="0" w:firstLine="640" w:firstLineChars="200"/>
        <w:jc w:val="left"/>
        <w:rPr>
          <w:rFonts w:ascii="Times New Roman" w:hAnsi="Times New Roman" w:eastAsia="黑体"/>
          <w:sz w:val="32"/>
          <w:szCs w:val="32"/>
        </w:rPr>
      </w:pPr>
      <w:r>
        <w:rPr>
          <w:rFonts w:hint="eastAsia" w:ascii="Times New Roman" w:hAnsi="Times New Roman" w:eastAsia="黑体"/>
          <w:sz w:val="32"/>
          <w:szCs w:val="32"/>
        </w:rPr>
        <w:t>三、政府性基金预算支出情况</w:t>
      </w:r>
    </w:p>
    <w:p>
      <w:pPr>
        <w:widowControl/>
        <w:spacing w:line="600" w:lineRule="exact"/>
        <w:ind w:firstLine="645"/>
        <w:jc w:val="left"/>
        <w:rPr>
          <w:rFonts w:hint="eastAsia" w:eastAsia="仿宋_GB2312"/>
          <w:color w:val="000000"/>
          <w:sz w:val="32"/>
          <w:szCs w:val="32"/>
          <w:lang w:eastAsia="zh-CN"/>
        </w:rPr>
      </w:pPr>
      <w:r>
        <w:rPr>
          <w:rFonts w:hint="eastAsia" w:eastAsia="仿宋_GB2312"/>
          <w:color w:val="000000"/>
          <w:sz w:val="32"/>
          <w:szCs w:val="32"/>
          <w:lang w:eastAsia="zh-CN"/>
        </w:rPr>
        <w:t>无</w:t>
      </w:r>
    </w:p>
    <w:p>
      <w:pPr>
        <w:widowControl/>
        <w:spacing w:line="600" w:lineRule="exact"/>
        <w:ind w:firstLine="645"/>
        <w:jc w:val="left"/>
        <w:rPr>
          <w:rFonts w:eastAsia="黑体"/>
          <w:sz w:val="32"/>
          <w:szCs w:val="32"/>
        </w:rPr>
      </w:pPr>
      <w:r>
        <w:rPr>
          <w:rFonts w:hint="eastAsia" w:eastAsia="黑体"/>
          <w:sz w:val="32"/>
          <w:szCs w:val="32"/>
        </w:rPr>
        <w:t>四、部门整体支出绩效情况</w:t>
      </w:r>
    </w:p>
    <w:p>
      <w:pPr>
        <w:widowControl/>
        <w:spacing w:line="600" w:lineRule="exact"/>
        <w:ind w:firstLine="645"/>
        <w:jc w:val="left"/>
        <w:rPr>
          <w:rFonts w:hint="eastAsia" w:eastAsia="仿宋_GB2312"/>
          <w:color w:val="000000"/>
          <w:sz w:val="32"/>
          <w:szCs w:val="32"/>
        </w:rPr>
      </w:pPr>
      <w:r>
        <w:rPr>
          <w:rFonts w:hint="eastAsia" w:eastAsia="仿宋_GB2312"/>
          <w:color w:val="000000"/>
          <w:sz w:val="32"/>
          <w:szCs w:val="32"/>
        </w:rPr>
        <w:t>总结归纳本部门</w:t>
      </w:r>
      <w:r>
        <w:rPr>
          <w:rFonts w:eastAsia="仿宋_GB2312"/>
          <w:color w:val="000000"/>
          <w:sz w:val="32"/>
          <w:szCs w:val="32"/>
        </w:rPr>
        <w:t>“</w:t>
      </w:r>
      <w:r>
        <w:rPr>
          <w:rFonts w:hint="eastAsia" w:eastAsia="仿宋_GB2312"/>
          <w:color w:val="000000"/>
          <w:sz w:val="32"/>
          <w:szCs w:val="32"/>
        </w:rPr>
        <w:t>四本预算</w:t>
      </w:r>
      <w:r>
        <w:rPr>
          <w:rFonts w:eastAsia="仿宋_GB2312"/>
          <w:color w:val="000000"/>
          <w:sz w:val="32"/>
          <w:szCs w:val="32"/>
        </w:rPr>
        <w:t>”</w:t>
      </w:r>
      <w:r>
        <w:rPr>
          <w:rFonts w:hint="eastAsia" w:eastAsia="仿宋_GB2312"/>
          <w:color w:val="000000"/>
          <w:sz w:val="32"/>
          <w:szCs w:val="32"/>
        </w:rPr>
        <w:t>支出的绩效目标完成情况，实现产出和取得效益的情况。围绕部门职责、行业发展规划，以预算资金管理为主线，总结部门资产管理和开展业务情况，从运行成本、管理效率、履职效能、社会效应、可持续发展能力和服务对象满意度等方面，衡量部门整体及核心业务实施效果。</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1、党建工作：</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default" w:ascii="仿宋_GB2312" w:hAnsi="仿宋" w:eastAsia="仿宋_GB2312"/>
          <w:sz w:val="32"/>
          <w:szCs w:val="32"/>
          <w:lang w:val="en-US" w:eastAsia="zh-CN"/>
        </w:rPr>
        <w:t>①</w:t>
      </w:r>
      <w:r>
        <w:rPr>
          <w:rFonts w:hint="eastAsia" w:ascii="仿宋_GB2312" w:hAnsi="仿宋" w:eastAsia="仿宋_GB2312"/>
          <w:sz w:val="32"/>
          <w:szCs w:val="32"/>
          <w:lang w:val="en-US" w:eastAsia="zh-CN"/>
        </w:rPr>
        <w:t>严格落实“三会一课”制度，召开支委会13次、党员大会5次、党课1次，组织生活会2次，目标完成率100%；</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_GB2312" w:hAnsi="仿宋" w:eastAsia="仿宋_GB2312"/>
          <w:sz w:val="32"/>
          <w:szCs w:val="32"/>
          <w:lang w:val="en-US" w:eastAsia="zh-CN"/>
        </w:rPr>
      </w:pPr>
      <w:r>
        <w:rPr>
          <w:rFonts w:hint="default" w:ascii="仿宋_GB2312" w:hAnsi="仿宋" w:eastAsia="仿宋_GB2312"/>
          <w:sz w:val="32"/>
          <w:szCs w:val="32"/>
          <w:lang w:val="en-US" w:eastAsia="zh-CN"/>
        </w:rPr>
        <w:t>②</w:t>
      </w:r>
      <w:r>
        <w:rPr>
          <w:rFonts w:hint="eastAsia" w:ascii="仿宋_GB2312" w:hAnsi="仿宋" w:eastAsia="仿宋_GB2312"/>
          <w:sz w:val="32"/>
          <w:szCs w:val="32"/>
          <w:lang w:val="en-US" w:eastAsia="zh-CN"/>
        </w:rPr>
        <w:t>组织主题党日活动12次，目标完成率100%。</w:t>
      </w:r>
      <w:bookmarkStart w:id="0" w:name="_GoBack"/>
      <w:bookmarkEnd w:id="0"/>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2、资源管护与营林生产</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spacing w:val="-6"/>
          <w:sz w:val="32"/>
          <w:szCs w:val="32"/>
        </w:rPr>
      </w:pPr>
      <w:r>
        <w:rPr>
          <w:rFonts w:hint="default" w:ascii="仿宋_GB2312" w:hAnsi="仿宋" w:eastAsia="仿宋_GB2312"/>
          <w:sz w:val="32"/>
          <w:szCs w:val="32"/>
          <w:lang w:val="en-US" w:eastAsia="zh-CN"/>
        </w:rPr>
        <w:t>①</w:t>
      </w:r>
      <w:r>
        <w:rPr>
          <w:rFonts w:hint="eastAsia" w:ascii="仿宋" w:hAnsi="仿宋" w:eastAsia="仿宋"/>
          <w:spacing w:val="-6"/>
          <w:sz w:val="32"/>
          <w:szCs w:val="32"/>
        </w:rPr>
        <w:t>植树造林。</w:t>
      </w:r>
      <w:r>
        <w:rPr>
          <w:rFonts w:hint="eastAsia" w:ascii="仿宋" w:hAnsi="仿宋" w:eastAsia="仿宋"/>
          <w:bCs/>
          <w:spacing w:val="-6"/>
          <w:sz w:val="32"/>
          <w:szCs w:val="32"/>
        </w:rPr>
        <w:t>今年我场计划新造林300亩，实际完成造林300亩，完成率100%,完成植树补绿5000棵，完成森林抚育1500亩。</w:t>
      </w:r>
      <w:r>
        <w:rPr>
          <w:rFonts w:hint="default" w:ascii="仿宋_GB2312" w:hAnsi="仿宋" w:eastAsia="仿宋_GB2312"/>
          <w:sz w:val="32"/>
          <w:szCs w:val="32"/>
          <w:lang w:val="en-US" w:eastAsia="zh-CN"/>
        </w:rPr>
        <w:t>②</w:t>
      </w:r>
      <w:r>
        <w:rPr>
          <w:rFonts w:hint="eastAsia" w:ascii="仿宋" w:hAnsi="仿宋" w:eastAsia="仿宋"/>
          <w:spacing w:val="-6"/>
          <w:sz w:val="32"/>
          <w:szCs w:val="32"/>
        </w:rPr>
        <w:t>森林防火与资源管护</w:t>
      </w:r>
      <w:r>
        <w:rPr>
          <w:rFonts w:hint="eastAsia" w:ascii="仿宋" w:hAnsi="仿宋" w:eastAsia="仿宋"/>
          <w:spacing w:val="-6"/>
          <w:sz w:val="32"/>
          <w:szCs w:val="32"/>
          <w:lang w:eastAsia="zh-CN"/>
        </w:rPr>
        <w:t>。</w:t>
      </w:r>
      <w:r>
        <w:rPr>
          <w:rFonts w:hint="eastAsia" w:ascii="仿宋" w:hAnsi="仿宋" w:eastAsia="仿宋"/>
          <w:spacing w:val="-6"/>
          <w:sz w:val="32"/>
          <w:szCs w:val="32"/>
        </w:rPr>
        <w:t>对14公里防火隔离带进行三次砍割，消除火灾隐患。并加大在防火期的宣传力度，在林区主要路口新增固定防火警示牌及车辆禁行牌15块、更新宣传标语50块、更新防火宣传牌35块、发放防火宣传单3.5万份。</w:t>
      </w:r>
    </w:p>
    <w:p>
      <w:pPr>
        <w:keepNext w:val="0"/>
        <w:keepLines w:val="0"/>
        <w:pageBreakBefore w:val="0"/>
        <w:numPr>
          <w:ilvl w:val="0"/>
          <w:numId w:val="2"/>
        </w:numPr>
        <w:kinsoku/>
        <w:wordWrap/>
        <w:overflowPunct/>
        <w:topLinePunct w:val="0"/>
        <w:autoSpaceDE/>
        <w:autoSpaceDN/>
        <w:bidi w:val="0"/>
        <w:adjustRightInd/>
        <w:snapToGrid w:val="0"/>
        <w:spacing w:line="360" w:lineRule="auto"/>
        <w:ind w:firstLine="640" w:firstLineChars="200"/>
        <w:textAlignment w:val="auto"/>
        <w:rPr>
          <w:rFonts w:hint="eastAsia" w:ascii="楷体" w:hAnsi="楷体" w:eastAsia="楷体" w:cs="楷体"/>
          <w:sz w:val="32"/>
          <w:szCs w:val="32"/>
          <w:lang w:val="zh-CN" w:eastAsia="zh-CN"/>
        </w:rPr>
      </w:pPr>
      <w:r>
        <w:rPr>
          <w:rFonts w:hint="eastAsia" w:ascii="楷体" w:hAnsi="楷体" w:eastAsia="楷体" w:cs="楷体"/>
          <w:sz w:val="32"/>
          <w:szCs w:val="32"/>
          <w:lang w:val="zh-CN" w:eastAsia="zh-CN"/>
        </w:rPr>
        <w:t>秀美林场建设项目</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16" w:firstLineChars="200"/>
        <w:textAlignment w:val="auto"/>
        <w:rPr>
          <w:rFonts w:hint="eastAsia" w:ascii="仿宋" w:hAnsi="仿宋" w:eastAsia="仿宋" w:cs="宋体"/>
          <w:spacing w:val="-6"/>
          <w:sz w:val="32"/>
          <w:szCs w:val="32"/>
          <w:lang w:val="zh-CN" w:bidi="zh-CN"/>
        </w:rPr>
      </w:pPr>
      <w:r>
        <w:rPr>
          <w:rFonts w:hint="eastAsia" w:ascii="仿宋" w:hAnsi="仿宋" w:eastAsia="仿宋" w:cs="宋体"/>
          <w:spacing w:val="-6"/>
          <w:sz w:val="32"/>
          <w:szCs w:val="32"/>
          <w:lang w:val="zh-CN" w:bidi="zh-CN"/>
        </w:rPr>
        <w:t>根据省林业局重点推进秀美林场建设文件精神，对核心景区内的原电子管厂污水坑进行清淤改造，对皇姑山景区的林区道路安装路灯，对林区两条1.1公里的巡山林道进行扫障清理及碎石铺设</w:t>
      </w:r>
    </w:p>
    <w:p>
      <w:pPr>
        <w:keepNext w:val="0"/>
        <w:keepLines w:val="0"/>
        <w:pageBreakBefore w:val="0"/>
        <w:numPr>
          <w:ilvl w:val="0"/>
          <w:numId w:val="0"/>
        </w:numPr>
        <w:kinsoku/>
        <w:wordWrap/>
        <w:overflowPunct/>
        <w:topLinePunct w:val="0"/>
        <w:autoSpaceDE/>
        <w:autoSpaceDN/>
        <w:bidi w:val="0"/>
        <w:adjustRightInd/>
        <w:snapToGrid w:val="0"/>
        <w:spacing w:line="360" w:lineRule="auto"/>
        <w:ind w:firstLine="616" w:firstLineChars="200"/>
        <w:textAlignment w:val="auto"/>
        <w:rPr>
          <w:rFonts w:hint="eastAsia" w:ascii="仿宋" w:hAnsi="仿宋" w:eastAsia="仿宋" w:cs="宋体"/>
          <w:spacing w:val="-6"/>
          <w:sz w:val="32"/>
          <w:szCs w:val="32"/>
          <w:lang w:val="zh-CN" w:bidi="zh-CN"/>
        </w:rPr>
      </w:pPr>
      <w:r>
        <w:rPr>
          <w:rFonts w:hint="eastAsia" w:ascii="楷体" w:hAnsi="楷体" w:eastAsia="楷体" w:cs="楷体"/>
          <w:b w:val="0"/>
          <w:bCs/>
          <w:spacing w:val="-6"/>
          <w:sz w:val="32"/>
          <w:szCs w:val="32"/>
          <w:lang w:val="en-US" w:bidi="zh-CN"/>
        </w:rPr>
        <w:t>4、</w:t>
      </w:r>
      <w:r>
        <w:rPr>
          <w:rFonts w:hint="eastAsia" w:ascii="楷体" w:hAnsi="楷体" w:eastAsia="楷体" w:cs="楷体"/>
          <w:b w:val="0"/>
          <w:bCs/>
          <w:spacing w:val="-6"/>
          <w:sz w:val="32"/>
          <w:szCs w:val="32"/>
          <w:lang w:val="zh-CN" w:bidi="zh-CN"/>
        </w:rPr>
        <w:t>林道建设项目</w:t>
      </w:r>
      <w:r>
        <w:rPr>
          <w:rFonts w:hint="eastAsia" w:ascii="仿宋" w:hAnsi="仿宋" w:eastAsia="仿宋" w:cs="宋体"/>
          <w:b/>
          <w:spacing w:val="-6"/>
          <w:sz w:val="32"/>
          <w:szCs w:val="32"/>
          <w:lang w:val="zh-CN" w:bidi="zh-CN"/>
        </w:rPr>
        <w:t>：</w:t>
      </w:r>
      <w:r>
        <w:rPr>
          <w:rFonts w:hint="eastAsia" w:ascii="仿宋" w:hAnsi="仿宋" w:eastAsia="仿宋" w:cs="宋体"/>
          <w:spacing w:val="-6"/>
          <w:sz w:val="32"/>
          <w:szCs w:val="32"/>
          <w:lang w:val="zh-CN" w:bidi="zh-CN"/>
        </w:rPr>
        <w:t>高标准完成了重点项目工程津市市国有林场林区场部通硬化路建设，建设里程13公里，建设标准为全线沥青铺设，并在道路两旁栽植了景观树，极大的改善了林场经营生产及生态旅游环境</w:t>
      </w:r>
    </w:p>
    <w:p>
      <w:pPr>
        <w:spacing w:line="360" w:lineRule="auto"/>
        <w:ind w:firstLine="480"/>
        <w:rPr>
          <w:rFonts w:hint="eastAsia" w:eastAsia="仿宋_GB2312"/>
          <w:color w:val="000000"/>
          <w:sz w:val="32"/>
          <w:szCs w:val="32"/>
        </w:rPr>
      </w:pPr>
      <w:r>
        <w:rPr>
          <w:rFonts w:hint="eastAsia" w:ascii="楷体" w:hAnsi="楷体" w:eastAsia="楷体" w:cs="楷体"/>
          <w:b w:val="0"/>
          <w:bCs/>
          <w:spacing w:val="-6"/>
          <w:sz w:val="32"/>
          <w:szCs w:val="32"/>
          <w:lang w:val="en-US" w:bidi="zh-CN"/>
        </w:rPr>
        <w:t>5、</w:t>
      </w:r>
      <w:r>
        <w:rPr>
          <w:rFonts w:hint="eastAsia" w:ascii="楷体" w:hAnsi="楷体" w:eastAsia="楷体" w:cs="楷体"/>
          <w:b w:val="0"/>
          <w:bCs/>
          <w:spacing w:val="-6"/>
          <w:sz w:val="32"/>
          <w:szCs w:val="32"/>
          <w:lang w:val="zh-CN" w:bidi="zh-CN"/>
        </w:rPr>
        <w:t>森林质量精准提升项目</w:t>
      </w:r>
      <w:r>
        <w:rPr>
          <w:rFonts w:hint="eastAsia" w:ascii="仿宋" w:hAnsi="仿宋" w:eastAsia="仿宋" w:cs="宋体"/>
          <w:b/>
          <w:spacing w:val="-6"/>
          <w:sz w:val="32"/>
          <w:szCs w:val="32"/>
          <w:lang w:val="zh-CN" w:bidi="zh-CN"/>
        </w:rPr>
        <w:t>：</w:t>
      </w:r>
      <w:r>
        <w:rPr>
          <w:rFonts w:hint="eastAsia" w:ascii="仿宋" w:hAnsi="仿宋" w:eastAsia="仿宋" w:cs="宋体"/>
          <w:spacing w:val="-6"/>
          <w:sz w:val="32"/>
          <w:szCs w:val="32"/>
          <w:lang w:val="zh-CN" w:bidi="zh-CN"/>
        </w:rPr>
        <w:t>为提高森林质量和林地生产力，培育健康稳定高效的森林生态系统，对3000亩林区进行森林质量精准提升。栽植美国红枫、榉树、银杏、樱花、桃花、青冈栎等多个品种共计5000余株。形成了“结构优、景观美，功能强、效益高”的生态景观林。</w:t>
      </w:r>
    </w:p>
    <w:p>
      <w:pPr>
        <w:pStyle w:val="8"/>
        <w:widowControl/>
        <w:spacing w:line="600" w:lineRule="exact"/>
        <w:ind w:left="640" w:firstLine="0" w:firstLineChars="0"/>
        <w:jc w:val="left"/>
        <w:rPr>
          <w:rFonts w:hint="eastAsia" w:ascii="Times New Roman" w:hAnsi="Times New Roman" w:eastAsia="黑体"/>
          <w:sz w:val="32"/>
          <w:szCs w:val="32"/>
        </w:rPr>
      </w:pPr>
      <w:r>
        <w:rPr>
          <w:rFonts w:hint="eastAsia" w:ascii="Times New Roman" w:hAnsi="Times New Roman" w:eastAsia="黑体"/>
          <w:sz w:val="32"/>
          <w:szCs w:val="32"/>
        </w:rPr>
        <w:t>五、存在的问题及原因分析</w:t>
      </w:r>
    </w:p>
    <w:p>
      <w:pPr>
        <w:pStyle w:val="8"/>
        <w:widowControl/>
        <w:spacing w:line="600" w:lineRule="exact"/>
        <w:ind w:left="640" w:firstLine="0" w:firstLineChars="0"/>
        <w:jc w:val="left"/>
        <w:rPr>
          <w:rFonts w:hint="eastAsia" w:ascii="Times New Roman" w:hAnsi="Times New Roman" w:eastAsia="黑体"/>
          <w:sz w:val="32"/>
          <w:szCs w:val="32"/>
          <w:lang w:eastAsia="zh-CN"/>
        </w:rPr>
      </w:pPr>
      <w:r>
        <w:rPr>
          <w:rFonts w:hint="eastAsia" w:ascii="仿宋_GB2312" w:hAnsi="仿宋" w:eastAsia="仿宋_GB2312"/>
          <w:sz w:val="32"/>
          <w:szCs w:val="32"/>
          <w:lang w:val="en-US" w:eastAsia="zh-CN"/>
        </w:rPr>
        <w:t>部门整体预算指标细化、量化不够</w:t>
      </w:r>
    </w:p>
    <w:p>
      <w:pPr>
        <w:widowControl/>
        <w:numPr>
          <w:ilvl w:val="0"/>
          <w:numId w:val="3"/>
        </w:numPr>
        <w:spacing w:line="600" w:lineRule="exact"/>
        <w:ind w:firstLine="640" w:firstLineChars="200"/>
        <w:jc w:val="left"/>
        <w:rPr>
          <w:rFonts w:hint="eastAsia" w:eastAsia="黑体"/>
          <w:sz w:val="32"/>
          <w:szCs w:val="32"/>
        </w:rPr>
      </w:pPr>
      <w:r>
        <w:rPr>
          <w:rFonts w:hint="eastAsia" w:eastAsia="黑体"/>
          <w:sz w:val="32"/>
          <w:szCs w:val="32"/>
        </w:rPr>
        <w:t>下一步改进措施</w:t>
      </w:r>
    </w:p>
    <w:p>
      <w:pPr>
        <w:keepNext w:val="0"/>
        <w:keepLines w:val="0"/>
        <w:pageBreakBefore w:val="0"/>
        <w:widowControl/>
        <w:kinsoku/>
        <w:wordWrap/>
        <w:overflowPunct/>
        <w:topLinePunct w:val="0"/>
        <w:autoSpaceDE/>
        <w:autoSpaceDN/>
        <w:bidi w:val="0"/>
        <w:adjustRightInd/>
        <w:spacing w:line="360" w:lineRule="auto"/>
        <w:ind w:firstLine="640" w:firstLineChars="200"/>
        <w:jc w:val="left"/>
        <w:textAlignment w:val="auto"/>
        <w:rPr>
          <w:rFonts w:hint="eastAsia" w:eastAsia="黑体"/>
          <w:sz w:val="32"/>
          <w:szCs w:val="32"/>
        </w:rPr>
      </w:pPr>
      <w:r>
        <w:rPr>
          <w:rFonts w:hint="eastAsia" w:eastAsia="仿宋_GB2312"/>
          <w:sz w:val="32"/>
          <w:szCs w:val="32"/>
          <w:lang w:val="en-US" w:eastAsia="zh-CN"/>
        </w:rPr>
        <w:t>细化、量化绩效目标：对预算资金、项目资金全面准确的编制绩效目标，结合本单位职责及年度工作计划和总结对资金的使用设置更具体细化和量化的绩效指标。加强预算执行，有效控制预算调整和追加规模，降低预算执行偏差，提高预算管理水平。健全支出内部控制制度和内部审查制度，完善内部支出管理，强化内部约束，降低单位运行成本。</w:t>
      </w:r>
    </w:p>
    <w:p>
      <w:pPr>
        <w:widowControl/>
        <w:numPr>
          <w:ilvl w:val="0"/>
          <w:numId w:val="3"/>
        </w:numPr>
        <w:spacing w:line="600" w:lineRule="exact"/>
        <w:ind w:left="0" w:leftChars="0" w:firstLine="640" w:firstLineChars="200"/>
        <w:jc w:val="left"/>
        <w:rPr>
          <w:rFonts w:hint="eastAsia" w:eastAsia="黑体"/>
          <w:sz w:val="32"/>
          <w:szCs w:val="32"/>
        </w:rPr>
      </w:pPr>
      <w:r>
        <w:rPr>
          <w:rFonts w:hint="eastAsia" w:eastAsia="黑体"/>
          <w:sz w:val="32"/>
          <w:szCs w:val="32"/>
        </w:rPr>
        <w:t>其他需要说明的情况</w:t>
      </w:r>
    </w:p>
    <w:p>
      <w:pPr>
        <w:keepNext w:val="0"/>
        <w:keepLines w:val="0"/>
        <w:pageBreakBefore w:val="0"/>
        <w:widowControl/>
        <w:kinsoku/>
        <w:wordWrap/>
        <w:overflowPunct/>
        <w:topLinePunct w:val="0"/>
        <w:autoSpaceDE/>
        <w:autoSpaceDN/>
        <w:bidi w:val="0"/>
        <w:adjustRightInd/>
        <w:spacing w:line="360" w:lineRule="auto"/>
        <w:ind w:firstLine="640" w:firstLineChars="200"/>
        <w:jc w:val="left"/>
        <w:textAlignment w:val="auto"/>
        <w:rPr>
          <w:rFonts w:hint="eastAsia" w:eastAsia="仿宋_GB2312"/>
          <w:sz w:val="32"/>
          <w:szCs w:val="32"/>
          <w:lang w:val="en-US" w:eastAsia="zh-CN"/>
        </w:rPr>
      </w:pPr>
      <w:r>
        <w:rPr>
          <w:rFonts w:hint="eastAsia" w:eastAsia="仿宋_GB2312"/>
          <w:sz w:val="32"/>
          <w:szCs w:val="32"/>
          <w:lang w:val="en-US" w:eastAsia="zh-CN"/>
        </w:rPr>
        <w:t>无</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B33BDF"/>
    <w:multiLevelType w:val="singleLevel"/>
    <w:tmpl w:val="E6B33BDF"/>
    <w:lvl w:ilvl="0" w:tentative="0">
      <w:start w:val="6"/>
      <w:numFmt w:val="chineseCounting"/>
      <w:suff w:val="nothing"/>
      <w:lvlText w:val="%1、"/>
      <w:lvlJc w:val="left"/>
      <w:rPr>
        <w:rFonts w:hint="eastAsia"/>
      </w:rPr>
    </w:lvl>
  </w:abstractNum>
  <w:abstractNum w:abstractNumId="1">
    <w:nsid w:val="1809DB85"/>
    <w:multiLevelType w:val="singleLevel"/>
    <w:tmpl w:val="1809DB85"/>
    <w:lvl w:ilvl="0" w:tentative="0">
      <w:start w:val="1"/>
      <w:numFmt w:val="chineseCounting"/>
      <w:suff w:val="nothing"/>
      <w:lvlText w:val="%1、"/>
      <w:lvlJc w:val="left"/>
      <w:rPr>
        <w:rFonts w:hint="eastAsia" w:cs="Times New Roman"/>
      </w:rPr>
    </w:lvl>
  </w:abstractNum>
  <w:abstractNum w:abstractNumId="2">
    <w:nsid w:val="55E51732"/>
    <w:multiLevelType w:val="singleLevel"/>
    <w:tmpl w:val="55E51732"/>
    <w:lvl w:ilvl="0" w:tentative="0">
      <w:start w:val="3"/>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3A076E09"/>
    <w:rsid w:val="00571D50"/>
    <w:rsid w:val="00AB11C1"/>
    <w:rsid w:val="00B90DE9"/>
    <w:rsid w:val="00C14BDF"/>
    <w:rsid w:val="00ED481D"/>
    <w:rsid w:val="3A076E09"/>
    <w:rsid w:val="3B8F3226"/>
    <w:rsid w:val="443B1360"/>
    <w:rsid w:val="537A1D47"/>
    <w:rsid w:val="59E53023"/>
    <w:rsid w:val="5A9D5D9B"/>
    <w:rsid w:val="61FD54FF"/>
    <w:rsid w:val="78F4162D"/>
    <w:rsid w:val="7B3B2289"/>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
    <w:qFormat/>
    <w:locked/>
    <w:uiPriority w:val="99"/>
    <w:pPr>
      <w:autoSpaceDE w:val="0"/>
      <w:autoSpaceDN w:val="0"/>
      <w:spacing w:before="85"/>
      <w:ind w:left="751"/>
      <w:jc w:val="left"/>
      <w:outlineLvl w:val="0"/>
    </w:pPr>
    <w:rPr>
      <w:rFonts w:ascii="Microsoft JhengHei" w:hAnsi="Microsoft JhengHei" w:eastAsia="Microsoft JhengHei" w:cs="Microsoft JhengHei"/>
      <w:b/>
      <w:bCs/>
      <w:kern w:val="0"/>
      <w:sz w:val="32"/>
      <w:szCs w:val="32"/>
    </w:rPr>
  </w:style>
  <w:style w:type="character" w:default="1" w:styleId="6">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Heading 1 Char"/>
    <w:basedOn w:val="6"/>
    <w:link w:val="2"/>
    <w:qFormat/>
    <w:locked/>
    <w:uiPriority w:val="99"/>
    <w:rPr>
      <w:rFonts w:ascii="Microsoft JhengHei" w:hAnsi="Microsoft JhengHei" w:eastAsia="Microsoft JhengHei" w:cs="Microsoft JhengHei"/>
      <w:b/>
      <w:bCs/>
      <w:sz w:val="32"/>
      <w:szCs w:val="32"/>
      <w:lang w:val="en-US" w:eastAsia="zh-CN" w:bidi="ar-SA"/>
    </w:rPr>
  </w:style>
  <w:style w:type="paragraph" w:styleId="8">
    <w:name w:val="List Paragraph"/>
    <w:basedOn w:val="1"/>
    <w:qFormat/>
    <w:uiPriority w:val="99"/>
    <w:pPr>
      <w:ind w:firstLine="420" w:firstLineChars="200"/>
    </w:pPr>
    <w:rPr>
      <w:rFonts w:ascii="Calibri" w:hAnsi="Calibri"/>
      <w:szCs w:val="22"/>
    </w:rPr>
  </w:style>
  <w:style w:type="character" w:customStyle="1" w:styleId="9">
    <w:name w:val="Header Char"/>
    <w:basedOn w:val="6"/>
    <w:link w:val="4"/>
    <w:semiHidden/>
    <w:qFormat/>
    <w:uiPriority w:val="99"/>
    <w:rPr>
      <w:rFonts w:ascii="Times New Roman" w:hAnsi="Times New Roman"/>
      <w:sz w:val="18"/>
      <w:szCs w:val="18"/>
    </w:rPr>
  </w:style>
  <w:style w:type="character" w:customStyle="1" w:styleId="10">
    <w:name w:val="Footer Char"/>
    <w:basedOn w:val="6"/>
    <w:link w:val="3"/>
    <w:semiHidden/>
    <w:qFormat/>
    <w:uiPriority w:val="99"/>
    <w:rPr>
      <w:rFonts w:ascii="Times New Roman" w:hAnsi="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2</Pages>
  <Words>663</Words>
  <Characters>689</Characters>
  <Lines>0</Lines>
  <Paragraphs>0</Paragraphs>
  <TotalTime>17</TotalTime>
  <ScaleCrop>false</ScaleCrop>
  <LinksUpToDate>false</LinksUpToDate>
  <CharactersWithSpaces>690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2021-03-15T06:50:00Z</dcterms:created>
  <dc:creator>Administrator</dc:creator>
  <cp:lastModifiedBy>李锋</cp:lastModifiedBy>
  <dcterms:modified xsi:type="dcterms:W3CDTF">2022-03-28T06:56:11Z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7D43B314F7C24157BF42E5D065D8A65F</vt:lpwstr>
  </property>
</Properties>
</file>