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eastAsia="方正小标宋_GBK"/>
          <w:sz w:val="36"/>
          <w:szCs w:val="36"/>
        </w:rPr>
      </w:pPr>
    </w:p>
    <w:p>
      <w:pPr>
        <w:spacing w:line="600" w:lineRule="exact"/>
        <w:jc w:val="center"/>
        <w:rPr>
          <w:rFonts w:hint="eastAsia" w:eastAsia="方正小标宋_GBK"/>
          <w:sz w:val="36"/>
          <w:szCs w:val="36"/>
        </w:rPr>
      </w:pPr>
      <w:r>
        <w:rPr>
          <w:rFonts w:hint="eastAsia" w:eastAsia="方正小标宋_GBK"/>
          <w:sz w:val="36"/>
          <w:szCs w:val="36"/>
        </w:rPr>
        <w:t>津市市国有林场场部通硬化</w:t>
      </w:r>
      <w:r>
        <w:rPr>
          <w:rFonts w:hint="eastAsia" w:eastAsia="方正小标宋_GBK"/>
          <w:sz w:val="36"/>
          <w:szCs w:val="36"/>
          <w:lang w:eastAsia="zh-CN"/>
        </w:rPr>
        <w:t>路</w:t>
      </w:r>
      <w:r>
        <w:rPr>
          <w:rFonts w:hint="eastAsia" w:eastAsia="方正小标宋_GBK"/>
          <w:sz w:val="36"/>
          <w:szCs w:val="36"/>
        </w:rPr>
        <w:t>建设项目202</w:t>
      </w:r>
      <w:r>
        <w:rPr>
          <w:rFonts w:hint="eastAsia" w:eastAsia="方正小标宋_GBK"/>
          <w:sz w:val="36"/>
          <w:szCs w:val="36"/>
          <w:lang w:val="en-US" w:eastAsia="zh-CN"/>
        </w:rPr>
        <w:t>1</w:t>
      </w:r>
      <w:r>
        <w:rPr>
          <w:rFonts w:hint="eastAsia" w:eastAsia="方正小标宋_GBK"/>
          <w:sz w:val="36"/>
          <w:szCs w:val="36"/>
        </w:rPr>
        <w:t>年度</w:t>
      </w:r>
    </w:p>
    <w:p>
      <w:pPr>
        <w:spacing w:line="600" w:lineRule="exact"/>
        <w:jc w:val="center"/>
        <w:rPr>
          <w:rFonts w:eastAsia="方正小标宋_GBK"/>
          <w:sz w:val="36"/>
          <w:szCs w:val="36"/>
        </w:rPr>
      </w:pPr>
      <w:r>
        <w:rPr>
          <w:rFonts w:hint="eastAsia" w:eastAsia="方正小标宋_GBK"/>
          <w:sz w:val="36"/>
          <w:szCs w:val="36"/>
        </w:rPr>
        <w:t>项目</w:t>
      </w:r>
      <w:r>
        <w:rPr>
          <w:rFonts w:eastAsia="方正小标宋_GBK"/>
          <w:sz w:val="36"/>
          <w:szCs w:val="36"/>
        </w:rPr>
        <w:t>支出绩效报告</w:t>
      </w:r>
    </w:p>
    <w:p>
      <w:pPr>
        <w:adjustRightInd w:val="0"/>
        <w:spacing w:line="600" w:lineRule="exact"/>
        <w:ind w:right="641"/>
        <w:rPr>
          <w:rFonts w:hint="eastAsia" w:eastAsia="仿宋_GB2312"/>
          <w:sz w:val="32"/>
          <w:szCs w:val="32"/>
        </w:rPr>
      </w:pPr>
    </w:p>
    <w:p>
      <w:pPr>
        <w:adjustRightInd w:val="0"/>
        <w:snapToGrid w:val="0"/>
        <w:spacing w:line="600" w:lineRule="exact"/>
        <w:ind w:firstLine="640" w:firstLineChars="200"/>
        <w:rPr>
          <w:rFonts w:hint="eastAsia" w:eastAsia="黑体"/>
          <w:sz w:val="32"/>
          <w:szCs w:val="32"/>
        </w:rPr>
      </w:pPr>
      <w:r>
        <w:rPr>
          <w:rFonts w:eastAsia="黑体"/>
          <w:sz w:val="32"/>
          <w:szCs w:val="32"/>
        </w:rPr>
        <w:t>一、</w:t>
      </w:r>
      <w:r>
        <w:rPr>
          <w:rFonts w:hint="eastAsia" w:eastAsia="黑体"/>
          <w:sz w:val="32"/>
          <w:szCs w:val="32"/>
        </w:rPr>
        <w:t>项目</w:t>
      </w:r>
      <w:r>
        <w:rPr>
          <w:rFonts w:eastAsia="黑体"/>
          <w:sz w:val="32"/>
          <w:szCs w:val="32"/>
        </w:rPr>
        <w:t>支出概况</w:t>
      </w:r>
    </w:p>
    <w:p>
      <w:pPr>
        <w:autoSpaceDE w:val="0"/>
        <w:autoSpaceDN w:val="0"/>
        <w:adjustRightInd w:val="0"/>
        <w:spacing w:line="560" w:lineRule="exact"/>
        <w:ind w:firstLine="640"/>
        <w:rPr>
          <w:rFonts w:hint="eastAsia" w:ascii="楷体" w:hAnsi="楷体" w:eastAsia="楷体" w:cs="楷体"/>
          <w:b/>
          <w:color w:val="000000" w:themeColor="text1"/>
          <w:kern w:val="0"/>
          <w:sz w:val="32"/>
          <w:szCs w:val="32"/>
          <w14:textFill>
            <w14:solidFill>
              <w14:schemeClr w14:val="tx1"/>
            </w14:solidFill>
          </w14:textFill>
        </w:rPr>
      </w:pPr>
      <w:r>
        <w:rPr>
          <w:rFonts w:hint="eastAsia" w:ascii="楷体" w:hAnsi="楷体" w:eastAsia="楷体" w:cs="楷体"/>
          <w:b/>
          <w:color w:val="000000" w:themeColor="text1"/>
          <w:kern w:val="0"/>
          <w:sz w:val="32"/>
          <w:szCs w:val="32"/>
          <w14:textFill>
            <w14:solidFill>
              <w14:schemeClr w14:val="tx1"/>
            </w14:solidFill>
          </w14:textFill>
        </w:rPr>
        <w:t>（一）机构、人员构成</w:t>
      </w:r>
    </w:p>
    <w:p>
      <w:pPr>
        <w:autoSpaceDE w:val="0"/>
        <w:autoSpaceDN w:val="0"/>
        <w:adjustRightInd w:val="0"/>
        <w:spacing w:line="560" w:lineRule="exact"/>
        <w:ind w:firstLine="640"/>
        <w:rPr>
          <w:rFonts w:hint="eastAsia" w:ascii="仿宋" w:eastAsia="仿宋"/>
          <w:sz w:val="32"/>
          <w:szCs w:val="24"/>
          <w:lang w:val="en-US" w:eastAsia="zh-CN"/>
        </w:rPr>
      </w:pPr>
      <w:r>
        <w:rPr>
          <w:rFonts w:hint="eastAsia" w:ascii="仿宋" w:hAnsi="仿宋" w:eastAsia="仿宋"/>
          <w:sz w:val="32"/>
          <w:szCs w:val="32"/>
        </w:rPr>
        <w:t>津市市国有林场（湖南嘉山国家森林公园管理处）现为两块牌子一套人马的副科级公益一类事业单位。</w:t>
      </w:r>
      <w:r>
        <w:rPr>
          <w:rFonts w:hint="eastAsia" w:ascii="仿宋" w:eastAsia="仿宋"/>
          <w:sz w:val="32"/>
          <w:szCs w:val="24"/>
          <w:lang w:val="en-US" w:eastAsia="zh-CN"/>
        </w:rPr>
        <w:t>2021年，</w:t>
      </w:r>
      <w:r>
        <w:rPr>
          <w:rFonts w:hint="eastAsia" w:ascii="仿宋" w:hAnsi="Times New Roman" w:eastAsia="仿宋"/>
          <w:sz w:val="32"/>
          <w:szCs w:val="24"/>
        </w:rPr>
        <w:t>根据编委核定</w:t>
      </w:r>
      <w:r>
        <w:rPr>
          <w:rFonts w:hint="eastAsia" w:ascii="仿宋" w:eastAsia="仿宋"/>
          <w:sz w:val="32"/>
          <w:szCs w:val="24"/>
          <w:lang w:eastAsia="zh-CN"/>
        </w:rPr>
        <w:t>：</w:t>
      </w:r>
      <w:r>
        <w:rPr>
          <w:rFonts w:hint="eastAsia" w:ascii="仿宋" w:hAnsi="Times New Roman" w:eastAsia="仿宋"/>
          <w:sz w:val="32"/>
          <w:szCs w:val="24"/>
        </w:rPr>
        <w:t>下设</w:t>
      </w:r>
      <w:r>
        <w:rPr>
          <w:rFonts w:hint="eastAsia" w:ascii="仿宋" w:eastAsia="仿宋"/>
          <w:sz w:val="32"/>
          <w:szCs w:val="24"/>
          <w:lang w:eastAsia="zh-CN"/>
        </w:rPr>
        <w:t>股室</w:t>
      </w:r>
      <w:r>
        <w:rPr>
          <w:rFonts w:hint="eastAsia" w:ascii="仿宋" w:hAnsi="Times New Roman" w:eastAsia="仿宋"/>
          <w:sz w:val="32"/>
          <w:szCs w:val="24"/>
        </w:rPr>
        <w:t>3个，为办公室、营林组、森林防火大队。</w:t>
      </w:r>
      <w:r>
        <w:rPr>
          <w:rFonts w:hint="eastAsia" w:ascii="仿宋" w:eastAsia="仿宋"/>
          <w:sz w:val="32"/>
          <w:szCs w:val="24"/>
          <w:lang w:val="en-US" w:eastAsia="zh-CN"/>
        </w:rPr>
        <w:t>2021年，在编人员10人，在岗在编10人。</w:t>
      </w:r>
    </w:p>
    <w:p>
      <w:pPr>
        <w:adjustRightInd w:val="0"/>
        <w:spacing w:line="560" w:lineRule="exact"/>
        <w:ind w:firstLine="482" w:firstLineChars="150"/>
        <w:rPr>
          <w:rFonts w:hint="eastAsia" w:ascii="楷体" w:hAnsi="楷体" w:eastAsia="楷体" w:cs="楷体"/>
          <w:b/>
          <w:color w:val="000000" w:themeColor="text1"/>
          <w:kern w:val="0"/>
          <w:sz w:val="32"/>
          <w:szCs w:val="32"/>
          <w14:textFill>
            <w14:solidFill>
              <w14:schemeClr w14:val="tx1"/>
            </w14:solidFill>
          </w14:textFill>
        </w:rPr>
      </w:pPr>
      <w:r>
        <w:rPr>
          <w:rFonts w:hint="eastAsia" w:ascii="仿宋_GB2312" w:hAnsi="楷体" w:eastAsia="仿宋_GB2312" w:cs="仿宋"/>
          <w:b/>
          <w:color w:val="000000" w:themeColor="text1"/>
          <w:kern w:val="0"/>
          <w:sz w:val="32"/>
          <w:szCs w:val="32"/>
          <w14:textFill>
            <w14:solidFill>
              <w14:schemeClr w14:val="tx1"/>
            </w14:solidFill>
          </w14:textFill>
        </w:rPr>
        <w:t>（</w:t>
      </w:r>
      <w:r>
        <w:rPr>
          <w:rFonts w:hint="eastAsia" w:ascii="楷体" w:hAnsi="楷体" w:eastAsia="楷体" w:cs="楷体"/>
          <w:b/>
          <w:color w:val="000000" w:themeColor="text1"/>
          <w:kern w:val="0"/>
          <w:sz w:val="32"/>
          <w:szCs w:val="32"/>
          <w14:textFill>
            <w14:solidFill>
              <w14:schemeClr w14:val="tx1"/>
            </w14:solidFill>
          </w14:textFill>
        </w:rPr>
        <w:t>二）单位主要职责</w:t>
      </w:r>
    </w:p>
    <w:p>
      <w:pPr>
        <w:autoSpaceDE w:val="0"/>
        <w:autoSpaceDN w:val="0"/>
        <w:adjustRightInd w:val="0"/>
        <w:spacing w:line="560" w:lineRule="exact"/>
        <w:ind w:firstLine="640"/>
        <w:rPr>
          <w:rFonts w:hint="eastAsia" w:ascii="仿宋" w:hAnsi="Times New Roman" w:eastAsia="仿宋"/>
          <w:sz w:val="32"/>
          <w:szCs w:val="24"/>
        </w:rPr>
      </w:pPr>
      <w:r>
        <w:rPr>
          <w:rFonts w:hint="eastAsia" w:ascii="仿宋" w:hAnsi="Times New Roman" w:eastAsia="仿宋"/>
          <w:sz w:val="32"/>
          <w:szCs w:val="24"/>
        </w:rPr>
        <w:t>津市市国有林场与嘉山国家森林公园，现实行两块牌子一套人马的管理体制，其主要职责是：</w:t>
      </w:r>
    </w:p>
    <w:p>
      <w:pPr>
        <w:autoSpaceDE w:val="0"/>
        <w:autoSpaceDN w:val="0"/>
        <w:adjustRightInd w:val="0"/>
        <w:spacing w:line="560" w:lineRule="exact"/>
        <w:ind w:firstLine="640"/>
        <w:rPr>
          <w:rFonts w:hint="eastAsia" w:ascii="仿宋" w:hAnsi="Times New Roman" w:eastAsia="仿宋"/>
          <w:sz w:val="32"/>
          <w:szCs w:val="24"/>
        </w:rPr>
      </w:pPr>
      <w:r>
        <w:rPr>
          <w:rFonts w:hint="eastAsia" w:ascii="仿宋" w:hAnsi="Times New Roman" w:eastAsia="仿宋"/>
          <w:sz w:val="32"/>
          <w:szCs w:val="24"/>
        </w:rPr>
        <w:t>（1）按照《森林法》的要求，做好国有林场和森林公园范围内的植树造林、森林防火、森林病虫害防治等工作。</w:t>
      </w:r>
    </w:p>
    <w:p>
      <w:pPr>
        <w:autoSpaceDE w:val="0"/>
        <w:autoSpaceDN w:val="0"/>
        <w:adjustRightInd w:val="0"/>
        <w:spacing w:line="560" w:lineRule="exact"/>
        <w:ind w:firstLine="640"/>
        <w:rPr>
          <w:rFonts w:hint="eastAsia" w:ascii="仿宋" w:eastAsia="仿宋"/>
          <w:sz w:val="32"/>
          <w:szCs w:val="24"/>
          <w:lang w:val="en-US" w:eastAsia="zh-CN"/>
        </w:rPr>
      </w:pPr>
      <w:r>
        <w:rPr>
          <w:rFonts w:hint="eastAsia" w:ascii="仿宋" w:hAnsi="Times New Roman" w:eastAsia="仿宋"/>
          <w:sz w:val="32"/>
          <w:szCs w:val="24"/>
        </w:rPr>
        <w:t>（2）依法保护国有林场和森林公园范围内的森林资源、旅游资源和野生动植物资源</w:t>
      </w:r>
      <w:r>
        <w:rPr>
          <w:rFonts w:hint="eastAsia" w:ascii="仿宋" w:eastAsia="仿宋"/>
          <w:sz w:val="32"/>
          <w:szCs w:val="24"/>
          <w:lang w:val="en-US" w:eastAsia="zh-CN"/>
        </w:rPr>
        <w:t>。</w:t>
      </w:r>
    </w:p>
    <w:p>
      <w:pPr>
        <w:autoSpaceDE w:val="0"/>
        <w:autoSpaceDN w:val="0"/>
        <w:adjustRightInd w:val="0"/>
        <w:spacing w:line="560" w:lineRule="exact"/>
        <w:ind w:firstLine="640"/>
        <w:rPr>
          <w:rFonts w:hint="eastAsia" w:ascii="仿宋" w:hAnsi="Times New Roman" w:eastAsia="仿宋"/>
          <w:sz w:val="32"/>
          <w:szCs w:val="24"/>
        </w:rPr>
      </w:pPr>
      <w:r>
        <w:rPr>
          <w:rFonts w:hint="eastAsia" w:ascii="仿宋" w:hAnsi="Times New Roman" w:eastAsia="仿宋"/>
          <w:sz w:val="32"/>
          <w:szCs w:val="24"/>
        </w:rPr>
        <w:t>（3）抓好森林消防专业队伍的培训、森林火灾扑救演练及森林消防器材的保管、维护工作。</w:t>
      </w:r>
    </w:p>
    <w:p>
      <w:pPr>
        <w:autoSpaceDE w:val="0"/>
        <w:autoSpaceDN w:val="0"/>
        <w:adjustRightInd w:val="0"/>
        <w:spacing w:line="560" w:lineRule="exact"/>
        <w:ind w:firstLine="640"/>
        <w:rPr>
          <w:rFonts w:hint="eastAsia" w:ascii="仿宋" w:eastAsia="仿宋"/>
          <w:sz w:val="32"/>
          <w:szCs w:val="24"/>
          <w:lang w:val="en-US" w:eastAsia="zh-CN"/>
        </w:rPr>
      </w:pPr>
      <w:r>
        <w:rPr>
          <w:rFonts w:hint="eastAsia" w:ascii="仿宋" w:hAnsi="Times New Roman" w:eastAsia="仿宋"/>
          <w:sz w:val="32"/>
          <w:szCs w:val="24"/>
        </w:rPr>
        <w:t>（4）根据国家森林公园总体规划的要求，积极开展森林公园投资兴建等相关工作。</w:t>
      </w:r>
    </w:p>
    <w:p>
      <w:pPr>
        <w:adjustRightInd w:val="0"/>
        <w:snapToGrid w:val="0"/>
        <w:spacing w:line="600" w:lineRule="exact"/>
        <w:ind w:firstLine="643" w:firstLineChars="20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w:t>
      </w:r>
      <w:r>
        <w:rPr>
          <w:rFonts w:hint="eastAsia" w:ascii="楷体" w:hAnsi="楷体" w:eastAsia="楷体" w:cs="楷体"/>
          <w:b/>
          <w:color w:val="000000" w:themeColor="text1"/>
          <w:sz w:val="32"/>
          <w:szCs w:val="32"/>
          <w:lang w:eastAsia="zh-CN"/>
          <w14:textFill>
            <w14:solidFill>
              <w14:schemeClr w14:val="tx1"/>
            </w14:solidFill>
          </w14:textFill>
        </w:rPr>
        <w:t>三</w:t>
      </w:r>
      <w:r>
        <w:rPr>
          <w:rFonts w:hint="eastAsia" w:ascii="楷体" w:hAnsi="楷体" w:eastAsia="楷体" w:cs="楷体"/>
          <w:b/>
          <w:color w:val="000000" w:themeColor="text1"/>
          <w:sz w:val="32"/>
          <w:szCs w:val="32"/>
          <w14:textFill>
            <w14:solidFill>
              <w14:schemeClr w14:val="tx1"/>
            </w14:solidFill>
          </w14:textFill>
        </w:rPr>
        <w:t>）项目基本情况包括项目基本性质、用途和主要内容、涉及范围等。</w:t>
      </w:r>
    </w:p>
    <w:p>
      <w:pPr>
        <w:ind w:firstLine="640" w:firstLineChars="200"/>
        <w:rPr>
          <w:rFonts w:hint="eastAsia" w:ascii="仿宋" w:hAnsi="仿宋" w:eastAsia="仿宋"/>
          <w:color w:val="000000"/>
          <w:sz w:val="32"/>
          <w:szCs w:val="32"/>
          <w:lang w:eastAsia="zh-CN"/>
        </w:rPr>
      </w:pPr>
      <w:r>
        <w:rPr>
          <w:rFonts w:hint="eastAsia" w:ascii="仿宋" w:hAnsi="仿宋" w:eastAsia="仿宋" w:cs="仿宋"/>
          <w:sz w:val="32"/>
          <w:szCs w:val="32"/>
        </w:rPr>
        <w:t>根据湘交计统</w:t>
      </w:r>
      <w:r>
        <w:rPr>
          <w:rFonts w:hint="eastAsia" w:ascii="仿宋" w:hAnsi="仿宋" w:eastAsia="仿宋" w:cs="仿宋"/>
          <w:spacing w:val="-1"/>
          <w:sz w:val="32"/>
          <w:szCs w:val="32"/>
        </w:rPr>
        <w:t>〔2019〕239号</w:t>
      </w:r>
      <w:r>
        <w:rPr>
          <w:rFonts w:hint="eastAsia" w:ascii="仿宋" w:hAnsi="仿宋" w:eastAsia="仿宋" w:cs="仿宋"/>
          <w:sz w:val="32"/>
          <w:szCs w:val="32"/>
        </w:rPr>
        <w:t>《湖南省交通厅 湖南省林业局下达林场林区场部通硬化路建设计划的通知》</w:t>
      </w:r>
      <w:r>
        <w:rPr>
          <w:rFonts w:hint="eastAsia" w:ascii="仿宋" w:hAnsi="仿宋" w:eastAsia="仿宋"/>
          <w:color w:val="000000"/>
          <w:sz w:val="32"/>
          <w:szCs w:val="32"/>
        </w:rPr>
        <w:t>项目主要内容为：国有林场林区道路建设</w:t>
      </w:r>
      <w:r>
        <w:rPr>
          <w:rFonts w:hint="eastAsia" w:ascii="仿宋" w:hAnsi="仿宋" w:eastAsia="仿宋"/>
          <w:sz w:val="32"/>
          <w:szCs w:val="32"/>
        </w:rPr>
        <w:t>。</w:t>
      </w:r>
      <w:r>
        <w:rPr>
          <w:rFonts w:hint="eastAsia" w:ascii="仿宋" w:hAnsi="仿宋" w:eastAsia="仿宋"/>
          <w:color w:val="000000"/>
          <w:sz w:val="32"/>
          <w:szCs w:val="32"/>
        </w:rPr>
        <w:t>项目资金来源为</w:t>
      </w:r>
      <w:r>
        <w:rPr>
          <w:rFonts w:hint="eastAsia" w:ascii="仿宋" w:hAnsi="仿宋" w:eastAsia="仿宋"/>
          <w:color w:val="000000"/>
          <w:sz w:val="32"/>
          <w:szCs w:val="32"/>
          <w:lang w:eastAsia="zh-CN"/>
        </w:rPr>
        <w:t>中央补助及地方政府支持。</w:t>
      </w:r>
    </w:p>
    <w:p>
      <w:pPr>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1、项目名称：津市市国有林场林区场部通硬化路建设</w:t>
      </w:r>
    </w:p>
    <w:p>
      <w:pPr>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2、建设地点：津市市</w:t>
      </w:r>
      <w:r>
        <w:rPr>
          <w:rFonts w:hint="eastAsia" w:ascii="仿宋" w:hAnsi="仿宋" w:eastAsia="仿宋"/>
          <w:color w:val="000000"/>
          <w:sz w:val="32"/>
          <w:szCs w:val="32"/>
          <w:lang w:eastAsia="zh-CN"/>
        </w:rPr>
        <w:t>国有林场</w:t>
      </w:r>
    </w:p>
    <w:p>
      <w:pPr>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3、项目内容：路基工程，路面工程（沥青），桥梁涵洞工程，交通安全设施。</w:t>
      </w:r>
    </w:p>
    <w:p>
      <w:pPr>
        <w:adjustRightInd w:val="0"/>
        <w:snapToGrid w:val="0"/>
        <w:spacing w:line="600" w:lineRule="exact"/>
        <w:ind w:firstLine="643" w:firstLineChars="200"/>
        <w:rPr>
          <w:rFonts w:hint="eastAsia" w:eastAsia="仿宋_GB2312"/>
          <w:sz w:val="32"/>
          <w:szCs w:val="32"/>
          <w:lang w:eastAsia="zh-CN"/>
        </w:rPr>
      </w:pPr>
      <w:r>
        <w:rPr>
          <w:rFonts w:hint="eastAsia" w:ascii="楷体" w:hAnsi="楷体" w:eastAsia="楷体" w:cs="楷体"/>
          <w:b/>
          <w:color w:val="000000" w:themeColor="text1"/>
          <w:sz w:val="32"/>
          <w:szCs w:val="32"/>
          <w14:textFill>
            <w14:solidFill>
              <w14:schemeClr w14:val="tx1"/>
            </w14:solidFill>
          </w14:textFill>
        </w:rPr>
        <w:t>（</w:t>
      </w:r>
      <w:r>
        <w:rPr>
          <w:rFonts w:hint="eastAsia" w:ascii="楷体" w:hAnsi="楷体" w:eastAsia="楷体" w:cs="楷体"/>
          <w:b/>
          <w:color w:val="000000" w:themeColor="text1"/>
          <w:sz w:val="32"/>
          <w:szCs w:val="32"/>
          <w:lang w:eastAsia="zh-CN"/>
          <w14:textFill>
            <w14:solidFill>
              <w14:schemeClr w14:val="tx1"/>
            </w14:solidFill>
          </w14:textFill>
        </w:rPr>
        <w:t>四</w:t>
      </w:r>
      <w:r>
        <w:rPr>
          <w:rFonts w:hint="eastAsia" w:ascii="楷体" w:hAnsi="楷体" w:eastAsia="楷体" w:cs="楷体"/>
          <w:b/>
          <w:color w:val="000000" w:themeColor="text1"/>
          <w:sz w:val="32"/>
          <w:szCs w:val="32"/>
          <w14:textFill>
            <w14:solidFill>
              <w14:schemeClr w14:val="tx1"/>
            </w14:solidFill>
          </w14:textFill>
        </w:rPr>
        <w:t>）项目绩效目标，包括总体目标和年度目标</w:t>
      </w:r>
      <w:r>
        <w:rPr>
          <w:rFonts w:hint="eastAsia" w:ascii="楷体" w:hAnsi="楷体" w:eastAsia="楷体" w:cs="楷体"/>
          <w:b/>
          <w:color w:val="000000" w:themeColor="text1"/>
          <w:sz w:val="32"/>
          <w:szCs w:val="32"/>
          <w:lang w:eastAsia="zh-CN"/>
          <w14:textFill>
            <w14:solidFill>
              <w14:schemeClr w14:val="tx1"/>
            </w14:solidFill>
          </w14:textFill>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根据湘办发电〔2020〕31号文件，该项目已列为全省重点民生实事项目，同时纳入了全常德市年度绩效考核。</w:t>
      </w:r>
      <w:r>
        <w:rPr>
          <w:rFonts w:hint="eastAsia" w:ascii="仿宋" w:hAnsi="仿宋" w:eastAsia="仿宋" w:cs="仿宋"/>
          <w:sz w:val="32"/>
          <w:szCs w:val="32"/>
          <w:lang w:eastAsia="zh-CN"/>
        </w:rPr>
        <w:t>总体目标为修建合格率为</w:t>
      </w:r>
      <w:r>
        <w:rPr>
          <w:rFonts w:hint="eastAsia" w:ascii="仿宋" w:hAnsi="仿宋" w:eastAsia="仿宋" w:cs="仿宋"/>
          <w:sz w:val="32"/>
          <w:szCs w:val="32"/>
          <w:lang w:val="en-US" w:eastAsia="zh-CN"/>
        </w:rPr>
        <w:t>90%以上的10.83公里的沥青公路，2021年按要求完成全部路段，</w:t>
      </w:r>
      <w:r>
        <w:rPr>
          <w:rFonts w:hint="eastAsia" w:ascii="仿宋" w:hAnsi="仿宋" w:eastAsia="仿宋" w:cs="仿宋"/>
          <w:sz w:val="32"/>
          <w:szCs w:val="32"/>
        </w:rPr>
        <w:t>该工程建设要求在202</w:t>
      </w:r>
      <w:r>
        <w:rPr>
          <w:rFonts w:hint="eastAsia" w:ascii="仿宋" w:hAnsi="仿宋" w:eastAsia="仿宋" w:cs="仿宋"/>
          <w:sz w:val="32"/>
          <w:szCs w:val="32"/>
          <w:lang w:val="en-US" w:eastAsia="zh-CN"/>
        </w:rPr>
        <w:t>1</w:t>
      </w:r>
      <w:r>
        <w:rPr>
          <w:rFonts w:hint="eastAsia" w:ascii="仿宋" w:hAnsi="仿宋" w:eastAsia="仿宋" w:cs="仿宋"/>
          <w:sz w:val="32"/>
          <w:szCs w:val="32"/>
        </w:rPr>
        <w:t>年12月底前完成验收。</w:t>
      </w:r>
    </w:p>
    <w:p>
      <w:pPr>
        <w:adjustRightInd w:val="0"/>
        <w:snapToGrid w:val="0"/>
        <w:spacing w:line="600" w:lineRule="exact"/>
        <w:ind w:firstLine="640" w:firstLineChars="200"/>
        <w:rPr>
          <w:rFonts w:hint="eastAsia" w:eastAsia="黑体"/>
          <w:sz w:val="32"/>
          <w:szCs w:val="32"/>
        </w:rPr>
      </w:pPr>
      <w:r>
        <w:rPr>
          <w:rFonts w:eastAsia="黑体"/>
          <w:sz w:val="32"/>
          <w:szCs w:val="32"/>
        </w:rPr>
        <w:t>二、</w:t>
      </w:r>
      <w:r>
        <w:rPr>
          <w:rFonts w:hint="eastAsia" w:eastAsia="黑体"/>
          <w:sz w:val="32"/>
          <w:szCs w:val="32"/>
        </w:rPr>
        <w:t>项目</w:t>
      </w:r>
      <w:r>
        <w:rPr>
          <w:rFonts w:eastAsia="黑体"/>
          <w:sz w:val="32"/>
          <w:szCs w:val="32"/>
        </w:rPr>
        <w:t>资金使用及管理情况</w:t>
      </w:r>
    </w:p>
    <w:p>
      <w:pPr>
        <w:adjustRightInd w:val="0"/>
        <w:snapToGrid w:val="0"/>
        <w:spacing w:line="600" w:lineRule="exact"/>
        <w:ind w:firstLine="482" w:firstLineChars="150"/>
        <w:rPr>
          <w:rFonts w:hint="eastAsia" w:ascii="楷体" w:hAnsi="楷体" w:eastAsia="楷体" w:cs="楷体"/>
          <w:b/>
          <w:bCs/>
          <w:sz w:val="32"/>
          <w:szCs w:val="32"/>
        </w:rPr>
      </w:pPr>
      <w:r>
        <w:rPr>
          <w:rFonts w:hint="eastAsia" w:ascii="楷体" w:hAnsi="楷体" w:eastAsia="楷体" w:cs="楷体"/>
          <w:b/>
          <w:bCs/>
          <w:sz w:val="32"/>
          <w:szCs w:val="32"/>
        </w:rPr>
        <w:t>（一）项目资金及自筹资金的安排落实、总投入等情况。</w:t>
      </w:r>
    </w:p>
    <w:p>
      <w:pPr>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本次硬化路建设招标金额为1181.85万元。项目资金来源为中央及省级补助资金467万元，其余为政府支持。</w:t>
      </w:r>
    </w:p>
    <w:p>
      <w:pPr>
        <w:adjustRightInd w:val="0"/>
        <w:snapToGrid w:val="0"/>
        <w:spacing w:line="600" w:lineRule="exact"/>
        <w:ind w:firstLine="482" w:firstLineChars="150"/>
        <w:rPr>
          <w:rFonts w:hint="eastAsia" w:ascii="楷体" w:hAnsi="楷体" w:eastAsia="楷体" w:cs="楷体"/>
          <w:b/>
          <w:bCs/>
          <w:sz w:val="32"/>
          <w:szCs w:val="32"/>
        </w:rPr>
      </w:pPr>
      <w:r>
        <w:rPr>
          <w:rFonts w:hint="eastAsia" w:ascii="楷体" w:hAnsi="楷体" w:eastAsia="楷体" w:cs="楷体"/>
          <w:b/>
          <w:bCs/>
          <w:sz w:val="32"/>
          <w:szCs w:val="32"/>
        </w:rPr>
        <w:t>（二）项目资金实际使用情况。</w:t>
      </w:r>
    </w:p>
    <w:p>
      <w:pPr>
        <w:adjustRightInd w:val="0"/>
        <w:snapToGrid w:val="0"/>
        <w:spacing w:line="600" w:lineRule="exact"/>
        <w:ind w:firstLine="630"/>
        <w:rPr>
          <w:rFonts w:hint="default" w:eastAsia="仿宋_GB2312"/>
          <w:sz w:val="32"/>
          <w:szCs w:val="32"/>
          <w:lang w:val="en-US" w:eastAsia="zh-CN"/>
        </w:rPr>
      </w:pPr>
      <w:r>
        <w:rPr>
          <w:rFonts w:hint="eastAsia" w:eastAsia="仿宋_GB2312"/>
          <w:sz w:val="32"/>
          <w:szCs w:val="32"/>
          <w:lang w:eastAsia="zh-CN"/>
        </w:rPr>
        <w:t>此项目为延续性项目。项目自开工截止至</w:t>
      </w:r>
      <w:r>
        <w:rPr>
          <w:rFonts w:hint="eastAsia" w:eastAsia="仿宋_GB2312"/>
          <w:sz w:val="32"/>
          <w:szCs w:val="32"/>
          <w:lang w:val="en-US" w:eastAsia="zh-CN"/>
        </w:rPr>
        <w:t>2021年累计拨付768.2万元。2021年拨付项目工程款617万元。</w:t>
      </w:r>
    </w:p>
    <w:p>
      <w:pPr>
        <w:adjustRightInd w:val="0"/>
        <w:snapToGrid w:val="0"/>
        <w:spacing w:line="600" w:lineRule="exact"/>
        <w:ind w:firstLine="482" w:firstLineChars="150"/>
        <w:rPr>
          <w:rFonts w:hint="eastAsia" w:ascii="楷体" w:hAnsi="楷体" w:eastAsia="楷体" w:cs="楷体"/>
          <w:b/>
          <w:bCs/>
          <w:sz w:val="32"/>
          <w:szCs w:val="32"/>
          <w:lang w:eastAsia="zh-CN"/>
        </w:rPr>
      </w:pPr>
      <w:r>
        <w:rPr>
          <w:rFonts w:hint="eastAsia" w:ascii="楷体" w:hAnsi="楷体" w:eastAsia="楷体" w:cs="楷体"/>
          <w:b/>
          <w:bCs/>
          <w:sz w:val="32"/>
          <w:szCs w:val="32"/>
        </w:rPr>
        <w:t>（三）项目资金管理情况分析</w:t>
      </w:r>
      <w:r>
        <w:rPr>
          <w:rFonts w:hint="eastAsia" w:ascii="楷体" w:hAnsi="楷体" w:eastAsia="楷体" w:cs="楷体"/>
          <w:b/>
          <w:bCs/>
          <w:sz w:val="32"/>
          <w:szCs w:val="32"/>
          <w:lang w:eastAsia="zh-CN"/>
        </w:rPr>
        <w:t>。</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此次项目招标金额为1181.85万元，中央及省级补助467万元。根据津市市人民政府2020年第13次常务会议就要精神，此项目不足部分由市财政局统筹予以保障。根据我场与湖南常德路桥建设集团有限公司签订的合同协议书，付款方式为：</w:t>
      </w:r>
      <w:r>
        <w:rPr>
          <w:rFonts w:hint="eastAsia" w:eastAsia="仿宋_GB2312"/>
          <w:sz w:val="32"/>
          <w:szCs w:val="32"/>
          <w:lang w:eastAsia="zh-CN"/>
        </w:rPr>
        <w:t>按</w:t>
      </w:r>
      <w:r>
        <w:rPr>
          <w:rFonts w:hint="eastAsia" w:eastAsia="仿宋_GB2312"/>
          <w:sz w:val="32"/>
          <w:szCs w:val="32"/>
        </w:rPr>
        <w:t>工程进度付款。全面竣工验收后支付到工程总价的65%，投资评审决算和完成相关资料后支付到工程总价的95%，余款5%用作质保金，24个月后按工程质量情况据实支付。</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rPr>
        <w:t>项目</w:t>
      </w:r>
      <w:r>
        <w:rPr>
          <w:rFonts w:eastAsia="黑体"/>
          <w:sz w:val="32"/>
          <w:szCs w:val="32"/>
        </w:rPr>
        <w:t>支出组织实施情况</w:t>
      </w:r>
    </w:p>
    <w:p>
      <w:pPr>
        <w:adjustRightInd w:val="0"/>
        <w:spacing w:line="600" w:lineRule="exact"/>
        <w:ind w:right="641" w:firstLine="640" w:firstLineChars="200"/>
        <w:rPr>
          <w:rFonts w:hint="default" w:eastAsia="仿宋_GB2312"/>
          <w:sz w:val="32"/>
          <w:szCs w:val="32"/>
          <w:lang w:val="en-US" w:eastAsia="zh-CN"/>
        </w:rPr>
      </w:pPr>
      <w:r>
        <w:rPr>
          <w:rFonts w:hint="eastAsia" w:eastAsia="仿宋_GB2312"/>
          <w:sz w:val="32"/>
          <w:szCs w:val="32"/>
        </w:rPr>
        <w:t>此项目于2020年11月10日通过公开招标程序由湖南常德路桥建设集团有限公司合法中标。</w:t>
      </w:r>
      <w:r>
        <w:rPr>
          <w:rFonts w:hint="eastAsia" w:eastAsia="仿宋_GB2312"/>
          <w:sz w:val="32"/>
          <w:szCs w:val="32"/>
          <w:lang w:val="en-US" w:eastAsia="zh-CN"/>
        </w:rPr>
        <w:t>2021年全部建设完成。</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rPr>
      </w:pPr>
      <w:r>
        <w:rPr>
          <w:rFonts w:hint="eastAsia" w:ascii="仿宋" w:hAnsi="仿宋" w:eastAsia="仿宋" w:cs="仿宋"/>
          <w:sz w:val="32"/>
          <w:szCs w:val="32"/>
        </w:rPr>
        <w:t>津市市国有林场场部通硬化路建设项目是林场建场以来规模最大的民生工程，其修建完成后给林场乃至津市都会带来不可估量的旅游生态效益与经济效益。便于森林资源管护，方便市民及周边县市休闲、健身、游玩。提升我市旅游形象，推动我市旅游业发展，带动周边服务业发展。</w:t>
      </w:r>
    </w:p>
    <w:p>
      <w:pPr>
        <w:adjustRightInd w:val="0"/>
        <w:snapToGrid w:val="0"/>
        <w:spacing w:line="600" w:lineRule="exact"/>
        <w:ind w:firstLine="640" w:firstLineChars="200"/>
        <w:rPr>
          <w:rFonts w:eastAsia="黑体"/>
          <w:sz w:val="32"/>
          <w:szCs w:val="32"/>
        </w:rPr>
      </w:pPr>
      <w:r>
        <w:rPr>
          <w:rFonts w:hint="eastAsia" w:eastAsia="黑体"/>
          <w:sz w:val="32"/>
          <w:szCs w:val="32"/>
        </w:rPr>
        <w:t>五</w:t>
      </w:r>
      <w:r>
        <w:rPr>
          <w:rFonts w:eastAsia="黑体"/>
          <w:sz w:val="32"/>
          <w:szCs w:val="32"/>
        </w:rPr>
        <w:t>、其他需要说明的问题</w:t>
      </w:r>
    </w:p>
    <w:p>
      <w:pPr>
        <w:adjustRightInd w:val="0"/>
        <w:snapToGrid w:val="0"/>
        <w:spacing w:line="600" w:lineRule="exact"/>
        <w:ind w:firstLine="960" w:firstLineChars="300"/>
        <w:rPr>
          <w:rFonts w:hint="eastAsia" w:eastAsia="仿宋_GB2312"/>
          <w:sz w:val="32"/>
          <w:szCs w:val="32"/>
          <w:lang w:eastAsia="zh-CN"/>
        </w:rPr>
      </w:pPr>
      <w:r>
        <w:rPr>
          <w:rFonts w:hint="eastAsia" w:eastAsia="仿宋_GB2312"/>
          <w:sz w:val="32"/>
          <w:szCs w:val="32"/>
          <w:lang w:eastAsia="zh-CN"/>
        </w:rPr>
        <w:t>无</w:t>
      </w: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rPr>
        <w:t>预算支出绩效自评表</w:t>
      </w:r>
    </w:p>
    <w:tbl>
      <w:tblPr>
        <w:tblStyle w:val="4"/>
        <w:tblW w:w="9999" w:type="dxa"/>
        <w:jc w:val="center"/>
        <w:tblLayout w:type="fixed"/>
        <w:tblCellMar>
          <w:top w:w="0" w:type="dxa"/>
          <w:left w:w="108" w:type="dxa"/>
          <w:bottom w:w="0" w:type="dxa"/>
          <w:right w:w="108" w:type="dxa"/>
        </w:tblCellMar>
      </w:tblPr>
      <w:tblGrid>
        <w:gridCol w:w="853"/>
        <w:gridCol w:w="1005"/>
        <w:gridCol w:w="1170"/>
        <w:gridCol w:w="2505"/>
        <w:gridCol w:w="945"/>
        <w:gridCol w:w="1005"/>
        <w:gridCol w:w="600"/>
        <w:gridCol w:w="855"/>
        <w:gridCol w:w="1061"/>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rPr>
                <w:rFonts w:eastAsia="方正小标宋_GBK"/>
                <w:color w:val="000000"/>
                <w:kern w:val="0"/>
                <w:sz w:val="36"/>
                <w:szCs w:val="36"/>
              </w:rPr>
            </w:pPr>
            <w:r>
              <w:rPr>
                <w:rFonts w:hint="eastAsia" w:ascii="黑体" w:hAnsi="黑体" w:eastAsia="黑体" w:cs="黑体"/>
                <w:color w:val="000000"/>
                <w:kern w:val="0"/>
                <w:sz w:val="32"/>
                <w:szCs w:val="32"/>
              </w:rPr>
              <w:t>附件：</w:t>
            </w:r>
            <w:r>
              <w:rPr>
                <w:rFonts w:hint="eastAsia" w:ascii="黑体" w:hAnsi="黑体" w:eastAsia="黑体" w:cs="黑体"/>
                <w:color w:val="000000"/>
                <w:kern w:val="0"/>
                <w:sz w:val="32"/>
                <w:szCs w:val="32"/>
                <w:lang w:val="en-US" w:eastAsia="zh-CN"/>
              </w:rPr>
              <w:t xml:space="preserve">             </w:t>
            </w:r>
            <w:r>
              <w:rPr>
                <w:rFonts w:eastAsia="方正小标宋_GBK"/>
                <w:color w:val="000000"/>
                <w:kern w:val="0"/>
                <w:sz w:val="36"/>
                <w:szCs w:val="36"/>
              </w:rPr>
              <w:t>预算支出绩效自评表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rPr>
              <w:t>202</w:t>
            </w:r>
            <w:r>
              <w:rPr>
                <w:rFonts w:hint="eastAsia"/>
                <w:color w:val="000000"/>
                <w:kern w:val="0"/>
                <w:sz w:val="22"/>
                <w:lang w:val="en-US" w:eastAsia="zh-CN"/>
              </w:rPr>
              <w:t>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853"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146" w:type="dxa"/>
            <w:gridSpan w:val="8"/>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hint="eastAsia" w:eastAsia="仿宋_GB2312"/>
                <w:color w:val="000000"/>
                <w:kern w:val="0"/>
                <w:szCs w:val="21"/>
              </w:rPr>
              <w:t>津市市国有林场林区场部通硬化路建设工程</w:t>
            </w:r>
            <w:r>
              <w:rPr>
                <w:rFonts w:eastAsia="仿宋_GB2312"/>
                <w:color w:val="000000"/>
                <w:kern w:val="0"/>
                <w:szCs w:val="21"/>
              </w:rPr>
              <w:t>　</w:t>
            </w:r>
          </w:p>
        </w:tc>
      </w:tr>
      <w:tr>
        <w:tblPrEx>
          <w:tblCellMar>
            <w:top w:w="0" w:type="dxa"/>
            <w:left w:w="108" w:type="dxa"/>
            <w:bottom w:w="0" w:type="dxa"/>
            <w:right w:w="108" w:type="dxa"/>
          </w:tblCellMar>
        </w:tblPrEx>
        <w:trPr>
          <w:trHeight w:val="444" w:hRule="atLeast"/>
          <w:jc w:val="center"/>
        </w:trPr>
        <w:tc>
          <w:tcPr>
            <w:tcW w:w="853" w:type="dxa"/>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625" w:type="dxa"/>
            <w:gridSpan w:val="4"/>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交通局与林业局</w:t>
            </w:r>
          </w:p>
        </w:tc>
        <w:tc>
          <w:tcPr>
            <w:tcW w:w="1005" w:type="dxa"/>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2516" w:type="dxa"/>
            <w:gridSpan w:val="3"/>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津市市国有林场</w:t>
            </w:r>
          </w:p>
        </w:tc>
      </w:tr>
      <w:tr>
        <w:tblPrEx>
          <w:tblCellMar>
            <w:top w:w="0" w:type="dxa"/>
            <w:left w:w="108" w:type="dxa"/>
            <w:bottom w:w="0" w:type="dxa"/>
            <w:right w:w="108" w:type="dxa"/>
          </w:tblCellMar>
        </w:tblPrEx>
        <w:trPr>
          <w:trHeight w:val="340" w:hRule="atLeast"/>
          <w:jc w:val="center"/>
        </w:trPr>
        <w:tc>
          <w:tcPr>
            <w:tcW w:w="853"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75"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250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94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005" w:type="dxa"/>
            <w:tcBorders>
              <w:top w:val="nil"/>
              <w:left w:val="nil"/>
              <w:bottom w:val="single" w:color="auto" w:sz="4" w:space="0"/>
              <w:right w:val="single" w:color="auto" w:sz="4" w:space="0"/>
            </w:tcBorders>
          </w:tcPr>
          <w:p>
            <w:pPr>
              <w:rPr>
                <w:rFonts w:eastAsia="仿宋_GB2312"/>
                <w:szCs w:val="21"/>
              </w:rPr>
            </w:pPr>
            <w:r>
              <w:rPr>
                <w:rFonts w:eastAsia="仿宋_GB2312"/>
                <w:szCs w:val="21"/>
              </w:rPr>
              <w:t>全年执行数</w:t>
            </w:r>
          </w:p>
        </w:tc>
        <w:tc>
          <w:tcPr>
            <w:tcW w:w="600" w:type="dxa"/>
            <w:tcBorders>
              <w:top w:val="nil"/>
              <w:left w:val="nil"/>
              <w:bottom w:val="single" w:color="auto" w:sz="4" w:space="0"/>
              <w:right w:val="single" w:color="auto" w:sz="4" w:space="0"/>
            </w:tcBorders>
          </w:tcPr>
          <w:p>
            <w:pPr>
              <w:rPr>
                <w:rFonts w:eastAsia="仿宋_GB2312"/>
                <w:szCs w:val="21"/>
              </w:rPr>
            </w:pPr>
            <w:r>
              <w:rPr>
                <w:rFonts w:eastAsia="仿宋_GB2312"/>
                <w:szCs w:val="21"/>
              </w:rPr>
              <w:t>分值</w:t>
            </w:r>
          </w:p>
        </w:tc>
        <w:tc>
          <w:tcPr>
            <w:tcW w:w="855" w:type="dxa"/>
            <w:tcBorders>
              <w:top w:val="nil"/>
              <w:left w:val="nil"/>
              <w:bottom w:val="single" w:color="auto" w:sz="4" w:space="0"/>
              <w:right w:val="single" w:color="auto" w:sz="4" w:space="0"/>
            </w:tcBorders>
          </w:tcPr>
          <w:p>
            <w:pPr>
              <w:rPr>
                <w:rFonts w:eastAsia="仿宋_GB2312"/>
                <w:szCs w:val="21"/>
              </w:rPr>
            </w:pPr>
            <w:r>
              <w:rPr>
                <w:rFonts w:eastAsia="仿宋_GB2312"/>
                <w:szCs w:val="21"/>
              </w:rPr>
              <w:t>执行率</w:t>
            </w:r>
          </w:p>
        </w:tc>
        <w:tc>
          <w:tcPr>
            <w:tcW w:w="1061" w:type="dxa"/>
            <w:tcBorders>
              <w:top w:val="nil"/>
              <w:left w:val="nil"/>
              <w:bottom w:val="single" w:color="auto" w:sz="4" w:space="0"/>
              <w:right w:val="single" w:color="auto" w:sz="4" w:space="0"/>
            </w:tcBorders>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429" w:hRule="atLeast"/>
          <w:jc w:val="center"/>
        </w:trPr>
        <w:tc>
          <w:tcPr>
            <w:tcW w:w="853"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175"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250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1000</w:t>
            </w:r>
          </w:p>
        </w:tc>
        <w:tc>
          <w:tcPr>
            <w:tcW w:w="94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754.32</w:t>
            </w:r>
            <w:r>
              <w:rPr>
                <w:rFonts w:eastAsia="仿宋_GB2312"/>
                <w:color w:val="000000"/>
                <w:kern w:val="0"/>
                <w:szCs w:val="21"/>
              </w:rPr>
              <w:t>　</w:t>
            </w:r>
          </w:p>
        </w:tc>
        <w:tc>
          <w:tcPr>
            <w:tcW w:w="100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617</w:t>
            </w:r>
          </w:p>
        </w:tc>
        <w:tc>
          <w:tcPr>
            <w:tcW w:w="600"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10</w:t>
            </w:r>
          </w:p>
        </w:tc>
        <w:tc>
          <w:tcPr>
            <w:tcW w:w="85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65%</w:t>
            </w:r>
          </w:p>
        </w:tc>
        <w:tc>
          <w:tcPr>
            <w:tcW w:w="1061"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w:t>
            </w:r>
          </w:p>
        </w:tc>
      </w:tr>
      <w:tr>
        <w:tblPrEx>
          <w:tblCellMar>
            <w:top w:w="0" w:type="dxa"/>
            <w:left w:w="108" w:type="dxa"/>
            <w:bottom w:w="0" w:type="dxa"/>
            <w:right w:w="108" w:type="dxa"/>
          </w:tblCellMar>
        </w:tblPrEx>
        <w:trPr>
          <w:trHeight w:val="340" w:hRule="atLeast"/>
          <w:jc w:val="center"/>
        </w:trPr>
        <w:tc>
          <w:tcPr>
            <w:tcW w:w="853"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175"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2505" w:type="dxa"/>
            <w:tcBorders>
              <w:top w:val="nil"/>
              <w:left w:val="nil"/>
              <w:bottom w:val="single" w:color="auto" w:sz="4" w:space="0"/>
              <w:right w:val="single" w:color="auto" w:sz="4" w:space="0"/>
            </w:tcBorders>
            <w:vAlign w:val="center"/>
          </w:tcPr>
          <w:p>
            <w:pPr>
              <w:widowControl/>
              <w:ind w:firstLine="420" w:firstLineChars="200"/>
              <w:jc w:val="left"/>
              <w:rPr>
                <w:rFonts w:hint="default" w:eastAsia="仿宋_GB2312"/>
                <w:color w:val="000000"/>
                <w:kern w:val="0"/>
                <w:szCs w:val="21"/>
                <w:lang w:val="en-US" w:eastAsia="zh-CN"/>
              </w:rPr>
            </w:pPr>
            <w:r>
              <w:rPr>
                <w:rFonts w:hint="eastAsia" w:eastAsia="仿宋_GB2312"/>
                <w:color w:val="000000"/>
                <w:kern w:val="0"/>
                <w:szCs w:val="21"/>
                <w:lang w:val="en-US" w:eastAsia="zh-CN"/>
              </w:rPr>
              <w:t>350</w:t>
            </w:r>
          </w:p>
        </w:tc>
        <w:tc>
          <w:tcPr>
            <w:tcW w:w="94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350</w:t>
            </w:r>
          </w:p>
        </w:tc>
        <w:tc>
          <w:tcPr>
            <w:tcW w:w="100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212.7</w:t>
            </w:r>
          </w:p>
        </w:tc>
        <w:tc>
          <w:tcPr>
            <w:tcW w:w="600"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p>
        </w:tc>
        <w:tc>
          <w:tcPr>
            <w:tcW w:w="855"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061"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355" w:hRule="atLeast"/>
          <w:jc w:val="center"/>
        </w:trPr>
        <w:tc>
          <w:tcPr>
            <w:tcW w:w="853"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175"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250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404.32</w:t>
            </w:r>
          </w:p>
        </w:tc>
        <w:tc>
          <w:tcPr>
            <w:tcW w:w="94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404.32</w:t>
            </w:r>
          </w:p>
        </w:tc>
        <w:tc>
          <w:tcPr>
            <w:tcW w:w="1005"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404.3</w:t>
            </w:r>
          </w:p>
        </w:tc>
        <w:tc>
          <w:tcPr>
            <w:tcW w:w="600" w:type="dxa"/>
            <w:tcBorders>
              <w:top w:val="nil"/>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p>
        </w:tc>
        <w:tc>
          <w:tcPr>
            <w:tcW w:w="85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c>
          <w:tcPr>
            <w:tcW w:w="1061"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340" w:hRule="atLeast"/>
          <w:jc w:val="center"/>
        </w:trPr>
        <w:tc>
          <w:tcPr>
            <w:tcW w:w="853"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175"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250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0</w:t>
            </w:r>
          </w:p>
        </w:tc>
        <w:tc>
          <w:tcPr>
            <w:tcW w:w="94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0</w:t>
            </w:r>
          </w:p>
        </w:tc>
        <w:tc>
          <w:tcPr>
            <w:tcW w:w="100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c>
          <w:tcPr>
            <w:tcW w:w="600"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c>
          <w:tcPr>
            <w:tcW w:w="855"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c>
          <w:tcPr>
            <w:tcW w:w="1061"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340" w:hRule="atLeast"/>
          <w:jc w:val="center"/>
        </w:trPr>
        <w:tc>
          <w:tcPr>
            <w:tcW w:w="853"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5625" w:type="dxa"/>
            <w:gridSpan w:val="4"/>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3521" w:type="dxa"/>
            <w:gridSpan w:val="4"/>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853"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5625" w:type="dxa"/>
            <w:gridSpan w:val="4"/>
            <w:tcBorders>
              <w:top w:val="single" w:color="auto" w:sz="4" w:space="0"/>
              <w:left w:val="nil"/>
              <w:bottom w:val="single" w:color="auto" w:sz="4" w:space="0"/>
              <w:right w:val="single" w:color="000000"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rPr>
              <w:t>202</w:t>
            </w:r>
            <w:r>
              <w:rPr>
                <w:rFonts w:hint="eastAsia" w:eastAsia="仿宋_GB2312"/>
                <w:color w:val="000000"/>
                <w:kern w:val="0"/>
                <w:szCs w:val="21"/>
                <w:lang w:val="en-US" w:eastAsia="zh-CN"/>
              </w:rPr>
              <w:t>1</w:t>
            </w:r>
            <w:r>
              <w:rPr>
                <w:rFonts w:hint="eastAsia" w:eastAsia="仿宋_GB2312"/>
                <w:color w:val="000000"/>
                <w:kern w:val="0"/>
                <w:szCs w:val="21"/>
              </w:rPr>
              <w:t>年</w:t>
            </w:r>
            <w:r>
              <w:rPr>
                <w:rFonts w:hint="eastAsia" w:eastAsia="仿宋_GB2312"/>
                <w:color w:val="000000"/>
                <w:kern w:val="0"/>
                <w:szCs w:val="21"/>
                <w:lang w:eastAsia="zh-CN"/>
              </w:rPr>
              <w:t>完成全路段</w:t>
            </w:r>
            <w:r>
              <w:rPr>
                <w:rFonts w:hint="eastAsia" w:eastAsia="仿宋_GB2312"/>
                <w:color w:val="000000"/>
                <w:kern w:val="0"/>
                <w:szCs w:val="21"/>
                <w:lang w:val="en-US" w:eastAsia="zh-CN"/>
              </w:rPr>
              <w:t>10.83</w:t>
            </w:r>
            <w:bookmarkStart w:id="0" w:name="_GoBack"/>
            <w:bookmarkEnd w:id="0"/>
            <w:r>
              <w:rPr>
                <w:rFonts w:hint="eastAsia" w:eastAsia="仿宋_GB2312"/>
                <w:color w:val="000000"/>
                <w:kern w:val="0"/>
                <w:szCs w:val="21"/>
                <w:lang w:val="en-US" w:eastAsia="zh-CN"/>
              </w:rPr>
              <w:t>公里硬化路</w:t>
            </w:r>
          </w:p>
        </w:tc>
        <w:tc>
          <w:tcPr>
            <w:tcW w:w="3521" w:type="dxa"/>
            <w:gridSpan w:val="4"/>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实际完成全路段的</w:t>
            </w:r>
            <w:r>
              <w:rPr>
                <w:rFonts w:hint="eastAsia" w:eastAsia="仿宋_GB2312"/>
                <w:color w:val="000000"/>
                <w:kern w:val="0"/>
                <w:szCs w:val="21"/>
                <w:lang w:val="en-US" w:eastAsia="zh-CN"/>
              </w:rPr>
              <w:t>100</w:t>
            </w:r>
            <w:r>
              <w:rPr>
                <w:rFonts w:hint="eastAsia" w:eastAsia="仿宋_GB2312"/>
                <w:color w:val="000000"/>
                <w:kern w:val="0"/>
                <w:szCs w:val="21"/>
              </w:rPr>
              <w:t>%</w:t>
            </w:r>
          </w:p>
        </w:tc>
      </w:tr>
      <w:tr>
        <w:tblPrEx>
          <w:tblCellMar>
            <w:top w:w="0" w:type="dxa"/>
            <w:left w:w="108" w:type="dxa"/>
            <w:bottom w:w="0" w:type="dxa"/>
            <w:right w:w="108" w:type="dxa"/>
          </w:tblCellMar>
        </w:tblPrEx>
        <w:trPr>
          <w:trHeight w:val="868" w:hRule="atLeast"/>
          <w:jc w:val="center"/>
        </w:trPr>
        <w:tc>
          <w:tcPr>
            <w:tcW w:w="853" w:type="dxa"/>
            <w:vMerge w:val="restart"/>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1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25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9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6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0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2505" w:type="dxa"/>
            <w:tcBorders>
              <w:top w:val="single" w:color="auto" w:sz="4" w:space="0"/>
              <w:left w:val="nil"/>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工程量的百分比</w:t>
            </w:r>
          </w:p>
        </w:tc>
        <w:tc>
          <w:tcPr>
            <w:tcW w:w="945" w:type="dxa"/>
            <w:tcBorders>
              <w:top w:val="single" w:color="auto" w:sz="4" w:space="0"/>
              <w:left w:val="nil"/>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005" w:type="dxa"/>
            <w:tcBorders>
              <w:top w:val="single" w:color="auto" w:sz="4" w:space="0"/>
              <w:left w:val="nil"/>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12.5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12.5</w:t>
            </w:r>
          </w:p>
        </w:tc>
        <w:tc>
          <w:tcPr>
            <w:tcW w:w="1061" w:type="dxa"/>
            <w:tcBorders>
              <w:top w:val="single" w:color="auto" w:sz="4" w:space="0"/>
              <w:left w:val="nil"/>
              <w:bottom w:val="single" w:color="auto" w:sz="4" w:space="0"/>
              <w:right w:val="single" w:color="auto" w:sz="4" w:space="0"/>
            </w:tcBorders>
            <w:vAlign w:val="center"/>
          </w:tcPr>
          <w:p>
            <w:pPr>
              <w:widowControl/>
              <w:jc w:val="both"/>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625"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项目验收合格率</w:t>
            </w:r>
          </w:p>
        </w:tc>
        <w:tc>
          <w:tcPr>
            <w:tcW w:w="945"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≥80%</w:t>
            </w:r>
          </w:p>
        </w:tc>
        <w:tc>
          <w:tcPr>
            <w:tcW w:w="1005"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80%</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12.5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1</w:t>
            </w:r>
            <w:r>
              <w:rPr>
                <w:rFonts w:hint="eastAsia" w:eastAsia="仿宋_GB2312"/>
                <w:color w:val="000000"/>
                <w:kern w:val="0"/>
                <w:szCs w:val="21"/>
                <w:lang w:val="en-US" w:eastAsia="zh-CN"/>
              </w:rPr>
              <w:t>2</w:t>
            </w:r>
            <w:r>
              <w:rPr>
                <w:rFonts w:hint="eastAsia" w:eastAsia="仿宋_GB2312"/>
                <w:color w:val="000000"/>
                <w:kern w:val="0"/>
                <w:szCs w:val="21"/>
              </w:rPr>
              <w:t>.5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495"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完成工程进度百分比</w:t>
            </w:r>
          </w:p>
        </w:tc>
        <w:tc>
          <w:tcPr>
            <w:tcW w:w="94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100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12.5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12.5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505"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投资金额百分比</w:t>
            </w:r>
          </w:p>
        </w:tc>
        <w:tc>
          <w:tcPr>
            <w:tcW w:w="945"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65%</w:t>
            </w:r>
          </w:p>
        </w:tc>
        <w:tc>
          <w:tcPr>
            <w:tcW w:w="1005"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65%</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12.5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12.5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574"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restart"/>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推动全市旅游业发展，带动周边服务业发展</w:t>
            </w:r>
          </w:p>
        </w:tc>
        <w:tc>
          <w:tcPr>
            <w:tcW w:w="945" w:type="dxa"/>
            <w:tcBorders>
              <w:top w:val="single" w:color="auto" w:sz="4" w:space="0"/>
              <w:left w:val="nil"/>
              <w:bottom w:val="single" w:color="auto" w:sz="4" w:space="0"/>
              <w:right w:val="single" w:color="auto" w:sz="4" w:space="0"/>
            </w:tcBorders>
            <w:vAlign w:val="center"/>
          </w:tcPr>
          <w:p>
            <w:pPr>
              <w:widowControl/>
              <w:ind w:firstLine="210" w:firstLineChars="100"/>
              <w:jc w:val="both"/>
              <w:rPr>
                <w:rFonts w:hint="eastAsia" w:eastAsia="仿宋_GB2312"/>
                <w:color w:val="000000"/>
                <w:kern w:val="0"/>
                <w:szCs w:val="21"/>
                <w:lang w:eastAsia="zh-CN"/>
              </w:rPr>
            </w:pPr>
            <w:r>
              <w:rPr>
                <w:rFonts w:hint="eastAsia" w:eastAsia="仿宋_GB2312"/>
                <w:color w:val="000000"/>
                <w:kern w:val="0"/>
                <w:szCs w:val="21"/>
                <w:lang w:eastAsia="zh-CN"/>
              </w:rPr>
              <w:t>带动</w:t>
            </w:r>
          </w:p>
        </w:tc>
        <w:tc>
          <w:tcPr>
            <w:tcW w:w="1005" w:type="dxa"/>
            <w:tcBorders>
              <w:top w:val="single" w:color="auto" w:sz="4" w:space="0"/>
              <w:left w:val="nil"/>
              <w:bottom w:val="single" w:color="auto" w:sz="4" w:space="0"/>
              <w:right w:val="single" w:color="auto" w:sz="4" w:space="0"/>
            </w:tcBorders>
            <w:vAlign w:val="center"/>
          </w:tcPr>
          <w:p>
            <w:pPr>
              <w:widowControl/>
              <w:ind w:firstLine="210" w:firstLineChars="100"/>
              <w:jc w:val="both"/>
              <w:rPr>
                <w:rFonts w:eastAsia="仿宋_GB2312"/>
                <w:color w:val="000000"/>
                <w:kern w:val="0"/>
                <w:szCs w:val="21"/>
              </w:rPr>
            </w:pPr>
            <w:r>
              <w:rPr>
                <w:rFonts w:hint="eastAsia" w:eastAsia="仿宋_GB2312"/>
                <w:color w:val="000000"/>
                <w:kern w:val="0"/>
                <w:szCs w:val="21"/>
                <w:lang w:eastAsia="zh-CN"/>
              </w:rPr>
              <w:t>带动</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7.5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6.5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719"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1170"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明显方便周边市民健身、游玩</w:t>
            </w:r>
          </w:p>
        </w:tc>
        <w:tc>
          <w:tcPr>
            <w:tcW w:w="945" w:type="dxa"/>
            <w:tcBorders>
              <w:top w:val="single" w:color="auto" w:sz="4" w:space="0"/>
              <w:left w:val="nil"/>
              <w:bottom w:val="single" w:color="auto" w:sz="4" w:space="0"/>
              <w:right w:val="single" w:color="auto" w:sz="4" w:space="0"/>
            </w:tcBorders>
            <w:vAlign w:val="center"/>
          </w:tcPr>
          <w:p>
            <w:pPr>
              <w:widowControl/>
              <w:ind w:firstLine="210" w:firstLineChars="100"/>
              <w:jc w:val="both"/>
              <w:rPr>
                <w:rFonts w:hint="default" w:eastAsia="仿宋_GB2312"/>
                <w:color w:val="000000"/>
                <w:kern w:val="0"/>
                <w:szCs w:val="21"/>
                <w:lang w:val="en-US" w:eastAsia="zh-CN"/>
              </w:rPr>
            </w:pPr>
            <w:r>
              <w:rPr>
                <w:rFonts w:hint="eastAsia" w:eastAsia="仿宋_GB2312"/>
                <w:color w:val="000000"/>
                <w:kern w:val="0"/>
                <w:szCs w:val="21"/>
                <w:lang w:val="en-US" w:eastAsia="zh-CN"/>
              </w:rPr>
              <w:t>明显</w:t>
            </w:r>
          </w:p>
        </w:tc>
        <w:tc>
          <w:tcPr>
            <w:tcW w:w="1005" w:type="dxa"/>
            <w:tcBorders>
              <w:top w:val="single" w:color="auto" w:sz="4" w:space="0"/>
              <w:left w:val="nil"/>
              <w:bottom w:val="single" w:color="auto" w:sz="4" w:space="0"/>
              <w:right w:val="single" w:color="auto" w:sz="4" w:space="0"/>
            </w:tcBorders>
            <w:vAlign w:val="center"/>
          </w:tcPr>
          <w:p>
            <w:pPr>
              <w:widowControl/>
              <w:ind w:firstLine="210" w:firstLineChars="100"/>
              <w:jc w:val="both"/>
              <w:rPr>
                <w:rFonts w:hint="default" w:eastAsia="仿宋_GB2312"/>
                <w:color w:val="000000"/>
                <w:kern w:val="0"/>
                <w:szCs w:val="21"/>
                <w:lang w:val="en-US" w:eastAsia="zh-CN"/>
              </w:rPr>
            </w:pPr>
            <w:r>
              <w:rPr>
                <w:rFonts w:hint="eastAsia" w:eastAsia="仿宋_GB2312"/>
                <w:color w:val="000000"/>
                <w:kern w:val="0"/>
                <w:szCs w:val="21"/>
                <w:lang w:eastAsia="zh-CN"/>
              </w:rPr>
              <w:t>明显</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826" w:hRule="atLeast"/>
          <w:jc w:val="center"/>
        </w:trPr>
        <w:tc>
          <w:tcPr>
            <w:tcW w:w="853"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1005"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1170" w:type="dxa"/>
            <w:tcBorders>
              <w:top w:val="single" w:color="auto" w:sz="4" w:space="0"/>
              <w:left w:val="single" w:color="auto" w:sz="4" w:space="0"/>
              <w:bottom w:val="single" w:color="auto" w:sz="4" w:space="0"/>
              <w:right w:val="single" w:color="auto" w:sz="4" w:space="0"/>
            </w:tcBorders>
            <w:vAlign w:val="center"/>
          </w:tcPr>
          <w:p>
            <w:pPr>
              <w:widowControl/>
              <w:ind w:firstLine="210" w:firstLineChars="100"/>
              <w:jc w:val="left"/>
              <w:rPr>
                <w:rFonts w:hint="eastAsia" w:eastAsia="仿宋_GB2312"/>
                <w:color w:val="000000"/>
                <w:kern w:val="0"/>
                <w:szCs w:val="21"/>
                <w:lang w:eastAsia="zh-CN"/>
              </w:rPr>
            </w:pPr>
            <w:r>
              <w:rPr>
                <w:rFonts w:hint="eastAsia" w:eastAsia="仿宋_GB2312"/>
                <w:color w:val="000000"/>
                <w:kern w:val="0"/>
                <w:szCs w:val="21"/>
                <w:lang w:eastAsia="zh-CN"/>
              </w:rPr>
              <w:t>生态效</w:t>
            </w:r>
          </w:p>
          <w:p>
            <w:pPr>
              <w:widowControl/>
              <w:ind w:firstLine="210" w:firstLineChars="100"/>
              <w:jc w:val="left"/>
              <w:rPr>
                <w:rFonts w:hint="eastAsia" w:eastAsia="仿宋_GB2312"/>
                <w:color w:val="000000"/>
                <w:kern w:val="0"/>
                <w:szCs w:val="21"/>
                <w:lang w:eastAsia="zh-CN"/>
              </w:rPr>
            </w:pPr>
            <w:r>
              <w:rPr>
                <w:rFonts w:hint="eastAsia" w:eastAsia="仿宋_GB2312"/>
                <w:color w:val="000000"/>
                <w:kern w:val="0"/>
                <w:szCs w:val="21"/>
                <w:lang w:eastAsia="zh-CN"/>
              </w:rPr>
              <w:t>益指标</w:t>
            </w:r>
          </w:p>
        </w:tc>
        <w:tc>
          <w:tcPr>
            <w:tcW w:w="250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路况得到明显改善</w:t>
            </w:r>
          </w:p>
        </w:tc>
        <w:tc>
          <w:tcPr>
            <w:tcW w:w="945" w:type="dxa"/>
            <w:tcBorders>
              <w:top w:val="single" w:color="auto" w:sz="4" w:space="0"/>
              <w:left w:val="single" w:color="auto" w:sz="4" w:space="0"/>
              <w:bottom w:val="single" w:color="auto" w:sz="4" w:space="0"/>
              <w:right w:val="single" w:color="auto" w:sz="4" w:space="0"/>
            </w:tcBorders>
            <w:vAlign w:val="center"/>
          </w:tcPr>
          <w:p>
            <w:pPr>
              <w:widowControl/>
              <w:ind w:left="420" w:hanging="420" w:hangingChars="200"/>
              <w:jc w:val="center"/>
              <w:rPr>
                <w:rFonts w:hint="eastAsia" w:eastAsia="仿宋_GB2312"/>
                <w:color w:val="000000"/>
                <w:kern w:val="0"/>
                <w:szCs w:val="21"/>
                <w:lang w:eastAsia="zh-CN"/>
              </w:rPr>
            </w:pPr>
            <w:r>
              <w:rPr>
                <w:rFonts w:hint="eastAsia" w:eastAsia="仿宋_GB2312"/>
                <w:color w:val="000000"/>
                <w:kern w:val="0"/>
                <w:szCs w:val="21"/>
                <w:lang w:eastAsia="zh-CN"/>
              </w:rPr>
              <w:t>明显</w:t>
            </w:r>
          </w:p>
        </w:tc>
        <w:tc>
          <w:tcPr>
            <w:tcW w:w="1005" w:type="dxa"/>
            <w:tcBorders>
              <w:top w:val="single" w:color="auto" w:sz="4" w:space="0"/>
              <w:left w:val="single" w:color="auto" w:sz="4" w:space="0"/>
              <w:bottom w:val="single" w:color="auto" w:sz="4" w:space="0"/>
              <w:right w:val="single" w:color="auto" w:sz="4" w:space="0"/>
            </w:tcBorders>
            <w:vAlign w:val="center"/>
          </w:tcPr>
          <w:p>
            <w:pPr>
              <w:widowControl/>
              <w:ind w:firstLine="210" w:firstLineChars="100"/>
              <w:jc w:val="center"/>
              <w:rPr>
                <w:rFonts w:eastAsia="仿宋_GB2312"/>
                <w:color w:val="000000"/>
                <w:kern w:val="0"/>
                <w:szCs w:val="21"/>
              </w:rPr>
            </w:pPr>
            <w:r>
              <w:rPr>
                <w:rFonts w:hint="eastAsia" w:eastAsia="仿宋_GB2312"/>
                <w:color w:val="000000"/>
                <w:kern w:val="0"/>
                <w:szCs w:val="21"/>
                <w:lang w:eastAsia="zh-CN"/>
              </w:rPr>
              <w:t>明显</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7.5</w:t>
            </w:r>
          </w:p>
        </w:tc>
        <w:tc>
          <w:tcPr>
            <w:tcW w:w="855" w:type="dxa"/>
            <w:tcBorders>
              <w:top w:val="single" w:color="auto" w:sz="4" w:space="0"/>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7.5</w:t>
            </w:r>
          </w:p>
        </w:tc>
        <w:tc>
          <w:tcPr>
            <w:tcW w:w="1061" w:type="dxa"/>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704" w:hRule="atLeast"/>
          <w:jc w:val="center"/>
        </w:trPr>
        <w:tc>
          <w:tcPr>
            <w:tcW w:w="853" w:type="dxa"/>
            <w:vMerge w:val="continue"/>
            <w:tcBorders>
              <w:left w:val="single" w:color="auto" w:sz="4" w:space="0"/>
              <w:right w:val="single" w:color="auto" w:sz="4" w:space="0"/>
            </w:tcBorders>
            <w:vAlign w:val="center"/>
          </w:tcPr>
          <w:p>
            <w:pPr>
              <w:widowControl/>
              <w:jc w:val="center"/>
              <w:rPr>
                <w:rFonts w:eastAsia="仿宋_GB2312"/>
                <w:color w:val="000000"/>
                <w:kern w:val="0"/>
                <w:szCs w:val="21"/>
              </w:rPr>
            </w:pPr>
          </w:p>
        </w:tc>
        <w:tc>
          <w:tcPr>
            <w:tcW w:w="1005" w:type="dxa"/>
            <w:vMerge w:val="continue"/>
            <w:tcBorders>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117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250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改善道路行驶环境</w:t>
            </w:r>
          </w:p>
        </w:tc>
        <w:tc>
          <w:tcPr>
            <w:tcW w:w="945" w:type="dxa"/>
            <w:tcBorders>
              <w:top w:val="single" w:color="auto" w:sz="4" w:space="0"/>
              <w:left w:val="single" w:color="auto" w:sz="4" w:space="0"/>
              <w:bottom w:val="single" w:color="auto" w:sz="4" w:space="0"/>
              <w:right w:val="single" w:color="auto" w:sz="4" w:space="0"/>
            </w:tcBorders>
            <w:vAlign w:val="center"/>
          </w:tcPr>
          <w:p>
            <w:pPr>
              <w:widowControl/>
              <w:ind w:left="420" w:hanging="420" w:hangingChars="200"/>
              <w:jc w:val="center"/>
              <w:rPr>
                <w:rFonts w:hint="eastAsia" w:eastAsia="仿宋_GB2312"/>
                <w:color w:val="000000"/>
                <w:kern w:val="0"/>
                <w:szCs w:val="21"/>
                <w:lang w:eastAsia="zh-CN"/>
              </w:rPr>
            </w:pPr>
            <w:r>
              <w:rPr>
                <w:rFonts w:hint="eastAsia" w:eastAsia="仿宋_GB2312"/>
                <w:color w:val="000000"/>
                <w:kern w:val="0"/>
                <w:szCs w:val="21"/>
                <w:lang w:eastAsia="zh-CN"/>
              </w:rPr>
              <w:t>显著</w:t>
            </w:r>
          </w:p>
          <w:p>
            <w:pPr>
              <w:widowControl/>
              <w:ind w:left="420" w:leftChars="0" w:hanging="420" w:hangingChars="200"/>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提升</w:t>
            </w:r>
          </w:p>
        </w:tc>
        <w:tc>
          <w:tcPr>
            <w:tcW w:w="1005" w:type="dxa"/>
            <w:tcBorders>
              <w:top w:val="single" w:color="auto" w:sz="4" w:space="0"/>
              <w:left w:val="single" w:color="auto" w:sz="4" w:space="0"/>
              <w:bottom w:val="single" w:color="auto" w:sz="4" w:space="0"/>
              <w:right w:val="single" w:color="auto" w:sz="4" w:space="0"/>
            </w:tcBorders>
            <w:vAlign w:val="center"/>
          </w:tcPr>
          <w:p>
            <w:pPr>
              <w:widowControl/>
              <w:ind w:left="420" w:hanging="420" w:hangingChars="200"/>
              <w:jc w:val="center"/>
              <w:rPr>
                <w:rFonts w:hint="eastAsia" w:eastAsia="仿宋_GB2312"/>
                <w:color w:val="000000"/>
                <w:kern w:val="0"/>
                <w:szCs w:val="21"/>
                <w:lang w:eastAsia="zh-CN"/>
              </w:rPr>
            </w:pPr>
            <w:r>
              <w:rPr>
                <w:rFonts w:hint="eastAsia" w:eastAsia="仿宋_GB2312"/>
                <w:color w:val="000000"/>
                <w:kern w:val="0"/>
                <w:szCs w:val="21"/>
                <w:lang w:eastAsia="zh-CN"/>
              </w:rPr>
              <w:t>显著</w:t>
            </w:r>
          </w:p>
          <w:p>
            <w:pPr>
              <w:widowControl/>
              <w:ind w:firstLine="210" w:firstLineChars="100"/>
              <w:jc w:val="both"/>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提升</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7.5</w:t>
            </w:r>
          </w:p>
        </w:tc>
        <w:tc>
          <w:tcPr>
            <w:tcW w:w="8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7.5</w:t>
            </w:r>
          </w:p>
        </w:tc>
        <w:tc>
          <w:tcPr>
            <w:tcW w:w="106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826" w:hRule="atLeast"/>
          <w:jc w:val="center"/>
        </w:trPr>
        <w:tc>
          <w:tcPr>
            <w:tcW w:w="853"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1005" w:type="dxa"/>
            <w:tcBorders>
              <w:top w:val="single" w:color="auto" w:sz="4" w:space="0"/>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170" w:type="dxa"/>
            <w:tcBorders>
              <w:top w:val="single" w:color="auto" w:sz="4" w:space="0"/>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2505"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周边市民及游客满意度（</w:t>
            </w:r>
            <w:r>
              <w:rPr>
                <w:rFonts w:hint="eastAsia" w:eastAsia="仿宋_GB2312"/>
                <w:color w:val="000000"/>
                <w:kern w:val="0"/>
                <w:szCs w:val="21"/>
                <w:lang w:val="en-US" w:eastAsia="zh-CN"/>
              </w:rPr>
              <w:t>≥X%</w:t>
            </w:r>
            <w:r>
              <w:rPr>
                <w:rFonts w:hint="eastAsia" w:eastAsia="仿宋_GB2312"/>
                <w:color w:val="000000"/>
                <w:kern w:val="0"/>
                <w:szCs w:val="21"/>
                <w:lang w:eastAsia="zh-CN"/>
              </w:rPr>
              <w:t>）</w:t>
            </w:r>
          </w:p>
        </w:tc>
        <w:tc>
          <w:tcPr>
            <w:tcW w:w="945"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≥98%</w:t>
            </w:r>
          </w:p>
        </w:tc>
        <w:tc>
          <w:tcPr>
            <w:tcW w:w="1005"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≥98%</w:t>
            </w:r>
          </w:p>
        </w:tc>
        <w:tc>
          <w:tcPr>
            <w:tcW w:w="600" w:type="dxa"/>
            <w:tcBorders>
              <w:top w:val="nil"/>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55" w:type="dxa"/>
            <w:tcBorders>
              <w:top w:val="nil"/>
              <w:left w:val="nil"/>
              <w:bottom w:val="single" w:color="auto" w:sz="4" w:space="0"/>
              <w:right w:val="single" w:color="auto" w:sz="4" w:space="0"/>
            </w:tcBorders>
            <w:vAlign w:val="center"/>
          </w:tcPr>
          <w:p>
            <w:pPr>
              <w:widowControl/>
              <w:ind w:firstLine="210" w:firstLineChars="100"/>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061"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7483"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总分</w:t>
            </w:r>
          </w:p>
        </w:tc>
        <w:tc>
          <w:tcPr>
            <w:tcW w:w="600"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100</w:t>
            </w:r>
          </w:p>
        </w:tc>
        <w:tc>
          <w:tcPr>
            <w:tcW w:w="855" w:type="dxa"/>
            <w:tcBorders>
              <w:top w:val="nil"/>
              <w:left w:val="nil"/>
              <w:bottom w:val="single" w:color="auto" w:sz="4" w:space="0"/>
              <w:right w:val="single" w:color="auto" w:sz="4" w:space="0"/>
            </w:tcBorders>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99</w:t>
            </w:r>
          </w:p>
        </w:tc>
        <w:tc>
          <w:tcPr>
            <w:tcW w:w="1061"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p>
        </w:tc>
      </w:tr>
    </w:tbl>
    <w:p>
      <w:pPr>
        <w:spacing w:before="156" w:beforeLines="50"/>
      </w:pPr>
      <w:r>
        <w:rPr>
          <w:rFonts w:eastAsia="仿宋_GB2312"/>
          <w:sz w:val="24"/>
        </w:rPr>
        <w:t>填表人：</w:t>
      </w:r>
      <w:r>
        <w:rPr>
          <w:rFonts w:hint="eastAsia" w:eastAsia="仿宋_GB2312"/>
          <w:sz w:val="24"/>
          <w:lang w:eastAsia="zh-CN"/>
        </w:rPr>
        <w:t>李锋</w:t>
      </w:r>
      <w:r>
        <w:rPr>
          <w:rFonts w:eastAsia="仿宋_GB2312"/>
          <w:sz w:val="24"/>
        </w:rPr>
        <w:t xml:space="preserve">    填报日期：</w:t>
      </w:r>
      <w:r>
        <w:rPr>
          <w:rFonts w:hint="eastAsia" w:eastAsia="仿宋_GB2312"/>
          <w:sz w:val="24"/>
          <w:lang w:val="en-US" w:eastAsia="zh-CN"/>
        </w:rPr>
        <w:t>2022-3-27</w:t>
      </w:r>
      <w:r>
        <w:rPr>
          <w:rFonts w:eastAsia="仿宋_GB2312"/>
          <w:sz w:val="24"/>
        </w:rPr>
        <w:t xml:space="preserve"> 联系电话：</w:t>
      </w:r>
      <w:r>
        <w:rPr>
          <w:rFonts w:hint="eastAsia" w:eastAsia="仿宋_GB2312"/>
          <w:sz w:val="24"/>
          <w:lang w:val="en-US" w:eastAsia="zh-CN"/>
        </w:rPr>
        <w:t>4213119</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0B6170"/>
    <w:rsid w:val="004233FC"/>
    <w:rsid w:val="00543F21"/>
    <w:rsid w:val="005A5429"/>
    <w:rsid w:val="005D36F2"/>
    <w:rsid w:val="00630906"/>
    <w:rsid w:val="006B7596"/>
    <w:rsid w:val="00783C89"/>
    <w:rsid w:val="00B138F8"/>
    <w:rsid w:val="00B60456"/>
    <w:rsid w:val="00C20E8F"/>
    <w:rsid w:val="00DF44FF"/>
    <w:rsid w:val="0B4528C5"/>
    <w:rsid w:val="17BA6615"/>
    <w:rsid w:val="1FBD66D6"/>
    <w:rsid w:val="245F12B5"/>
    <w:rsid w:val="25252EC7"/>
    <w:rsid w:val="339A269B"/>
    <w:rsid w:val="36F45748"/>
    <w:rsid w:val="3B917A71"/>
    <w:rsid w:val="3C343492"/>
    <w:rsid w:val="3EAE6328"/>
    <w:rsid w:val="487D713D"/>
    <w:rsid w:val="4AB53FA9"/>
    <w:rsid w:val="4AD22B39"/>
    <w:rsid w:val="500138C2"/>
    <w:rsid w:val="50A9714F"/>
    <w:rsid w:val="515A2F75"/>
    <w:rsid w:val="63652952"/>
    <w:rsid w:val="66C61D57"/>
    <w:rsid w:val="6A970FE3"/>
    <w:rsid w:val="6CD83A31"/>
    <w:rsid w:val="736318CE"/>
    <w:rsid w:val="789A3DF0"/>
    <w:rsid w:val="7CE21EFC"/>
    <w:rsid w:val="7F7F4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332</Words>
  <Characters>1899</Characters>
  <Lines>15</Lines>
  <Paragraphs>4</Paragraphs>
  <TotalTime>34</TotalTime>
  <ScaleCrop>false</ScaleCrop>
  <LinksUpToDate>false</LinksUpToDate>
  <CharactersWithSpaces>2227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2021-03-29T03:33:00Z</dcterms:created>
  <dc:creator>Administrator</dc:creator>
  <cp:lastModifiedBy>李锋</cp:lastModifiedBy>
  <cp:lastPrinted>2021-03-31T09:04:00Z</cp:lastPrinted>
  <dcterms:modified xsi:type="dcterms:W3CDTF">2022-03-28T03:27:34Z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5D00064E6E7C46A0AAE3FA552055B773</vt:lpwstr>
  </property>
</Properties>
</file>