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2"/>
          <w:szCs w:val="32"/>
        </w:rPr>
      </w:pPr>
      <w:r>
        <w:rPr>
          <w:rFonts w:hint="eastAsia" w:eastAsia="方正小标宋_GBK"/>
          <w:sz w:val="36"/>
          <w:szCs w:val="36"/>
          <w:lang w:val="en-US" w:eastAsia="zh-CN"/>
        </w:rPr>
        <w:t>津市市城市管理和综合执法局2021年度</w:t>
      </w:r>
      <w:r>
        <w:rPr>
          <w:rFonts w:eastAsia="方正小标宋_GBK"/>
          <w:sz w:val="36"/>
          <w:szCs w:val="36"/>
        </w:rPr>
        <w:t>部门</w:t>
      </w:r>
      <w:r>
        <w:rPr>
          <w:rFonts w:hint="eastAsia" w:eastAsia="方正小标宋_GBK"/>
          <w:sz w:val="36"/>
          <w:szCs w:val="36"/>
          <w:lang w:val="en-US" w:eastAsia="zh-CN"/>
        </w:rPr>
        <w:t xml:space="preserve">      </w:t>
      </w:r>
      <w:r>
        <w:rPr>
          <w:rFonts w:eastAsia="方正小标宋_GBK"/>
          <w:sz w:val="36"/>
          <w:szCs w:val="36"/>
        </w:rPr>
        <w:t>整体</w:t>
      </w:r>
      <w:r>
        <w:rPr>
          <w:rFonts w:hint="eastAsia" w:eastAsia="方正小标宋_GBK"/>
          <w:sz w:val="36"/>
          <w:szCs w:val="36"/>
          <w:lang w:eastAsia="zh-CN"/>
        </w:rPr>
        <w:t>支</w:t>
      </w:r>
      <w:r>
        <w:rPr>
          <w:rFonts w:eastAsia="方正小标宋_GBK"/>
          <w:sz w:val="36"/>
          <w:szCs w:val="36"/>
        </w:rPr>
        <w:t>出绩效报告</w:t>
      </w:r>
    </w:p>
    <w:p>
      <w:pPr>
        <w:spacing w:line="600" w:lineRule="exact"/>
        <w:jc w:val="left"/>
        <w:rPr>
          <w:rFonts w:eastAsia="方正小标宋_GBK"/>
          <w:sz w:val="32"/>
          <w:szCs w:val="32"/>
        </w:rPr>
      </w:pPr>
    </w:p>
    <w:p>
      <w:pPr>
        <w:pStyle w:val="5"/>
        <w:keepNext w:val="0"/>
        <w:keepLines w:val="0"/>
        <w:pageBreakBefore w:val="0"/>
        <w:widowControl/>
        <w:numPr>
          <w:ilvl w:val="0"/>
          <w:numId w:val="1"/>
        </w:numPr>
        <w:tabs>
          <w:tab w:val="left" w:pos="486"/>
        </w:tabs>
        <w:kinsoku/>
        <w:wordWrap/>
        <w:overflowPunct/>
        <w:topLinePunct w:val="0"/>
        <w:autoSpaceDE/>
        <w:autoSpaceDN/>
        <w:bidi w:val="0"/>
        <w:spacing w:line="360" w:lineRule="auto"/>
        <w:ind w:left="640" w:firstLine="0" w:firstLineChars="0"/>
        <w:textAlignment w:val="auto"/>
        <w:rPr>
          <w:rFonts w:ascii="Times New Roman" w:hAnsi="Times New Roman" w:eastAsia="黑体"/>
          <w:sz w:val="32"/>
          <w:szCs w:val="32"/>
        </w:rPr>
      </w:pPr>
      <w:r>
        <w:rPr>
          <w:rFonts w:ascii="Times New Roman" w:hAnsi="Times New Roman" w:eastAsia="黑体"/>
          <w:sz w:val="32"/>
          <w:szCs w:val="32"/>
        </w:rPr>
        <w:t>部门、单位基本情况</w:t>
      </w:r>
    </w:p>
    <w:p>
      <w:pPr>
        <w:pStyle w:val="2"/>
        <w:keepNext w:val="0"/>
        <w:keepLines w:val="0"/>
        <w:pageBreakBefore w:val="0"/>
        <w:kinsoku/>
        <w:wordWrap/>
        <w:overflowPunct/>
        <w:topLinePunct w:val="0"/>
        <w:autoSpaceDE/>
        <w:autoSpaceDN/>
        <w:bidi w:val="0"/>
        <w:adjustRightInd w:val="0"/>
        <w:snapToGrid w:val="0"/>
        <w:spacing w:before="0" w:line="360" w:lineRule="auto"/>
        <w:ind w:left="0" w:firstLine="611" w:firstLineChars="200"/>
        <w:jc w:val="both"/>
        <w:textAlignment w:val="auto"/>
        <w:rPr>
          <w:rFonts w:hint="eastAsia" w:ascii="仿宋_GB2312" w:hAnsi="仿宋_GB2312" w:eastAsia="仿宋_GB2312" w:cs="仿宋_GB2312"/>
          <w:w w:val="95"/>
        </w:rPr>
      </w:pPr>
      <w:r>
        <w:rPr>
          <w:rFonts w:hint="eastAsia" w:ascii="仿宋_GB2312" w:hAnsi="仿宋_GB2312" w:eastAsia="仿宋_GB2312" w:cs="仿宋_GB2312"/>
          <w:w w:val="95"/>
        </w:rPr>
        <w:t>（一）职能职责。</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（1）负责贯彻执行国家、省有关市容环境卫生方面的的法律、法规和政策；强制拆除不符合城市容貌标准、环境卫生标准的违法建筑物或设施。</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（2）负责行使环境保护管理方面法律、法规、规章规定的部分行政处罚权：</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行使工商行政管理方面法律、法规、规章规定的对无照商贩，以及有照但不按执照规定场所经营而进行店外经营、店外作业的商贩的行政处罚权，行使对自产蔬菜和农副产品未进入政府指定地点销售的行政处罚权，行使对违规设置户外广告和户外乱贴乱画广告行为的行政处罚权，行使对破损或残缺等影响市容的广告行为的行政处罚权。</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行使城市公安交通管理方面法律、法规、规章规定的对人行道上车辆乱停乱放、当路摆摊设点、堆物作业等侵占城市道路行为的行政处罚权。负责行使公安管理方面法律、法规、规章规定的对在城区违反烟花爆竹管理规定的行政处罚权。</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（5）履行省、常德市及津市市人民政府依法规定的其他职责。</w:t>
      </w:r>
    </w:p>
    <w:p>
      <w:pPr>
        <w:pStyle w:val="2"/>
        <w:keepNext w:val="0"/>
        <w:keepLines w:val="0"/>
        <w:pageBreakBefore w:val="0"/>
        <w:kinsoku/>
        <w:wordWrap/>
        <w:overflowPunct/>
        <w:topLinePunct w:val="0"/>
        <w:autoSpaceDE/>
        <w:autoSpaceDN/>
        <w:bidi w:val="0"/>
        <w:adjustRightInd w:val="0"/>
        <w:snapToGrid w:val="0"/>
        <w:spacing w:before="0" w:line="360" w:lineRule="auto"/>
        <w:ind w:left="0" w:firstLine="643"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（二）机构设置。</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ascii="Times New Roman" w:hAnsi="Times New Roman" w:eastAsia="黑体"/>
          <w:sz w:val="32"/>
          <w:szCs w:val="32"/>
        </w:rPr>
      </w:pPr>
      <w:r>
        <w:rPr>
          <w:rFonts w:hint="eastAsia" w:ascii="仿宋_GB2312" w:hAnsi="仿宋_GB2312" w:eastAsia="仿宋_GB2312" w:cs="仿宋_GB2312"/>
          <w:sz w:val="32"/>
          <w:szCs w:val="32"/>
        </w:rPr>
        <w:t>津市市城市管理和综合执法局设8个股室，分别是办公室、财务装备股、政工股、党建办、行政审批服务办公室、园林绿化服务中心、澧水大桥管理所、综合执法大队。1个二级机构为环卫处。</w:t>
      </w:r>
    </w:p>
    <w:p>
      <w:pPr>
        <w:pStyle w:val="5"/>
        <w:keepNext w:val="0"/>
        <w:keepLines w:val="0"/>
        <w:pageBreakBefore w:val="0"/>
        <w:widowControl/>
        <w:kinsoku/>
        <w:wordWrap/>
        <w:overflowPunct/>
        <w:topLinePunct w:val="0"/>
        <w:autoSpaceDE/>
        <w:autoSpaceDN/>
        <w:bidi w:val="0"/>
        <w:adjustRightInd/>
        <w:spacing w:line="360" w:lineRule="auto"/>
        <w:ind w:left="640" w:firstLine="0" w:firstLineChars="0"/>
        <w:textAlignment w:val="auto"/>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keepNext w:val="0"/>
        <w:keepLines w:val="0"/>
        <w:pageBreakBefore w:val="0"/>
        <w:widowControl/>
        <w:kinsoku/>
        <w:wordWrap/>
        <w:overflowPunct/>
        <w:topLinePunct w:val="0"/>
        <w:autoSpaceDE/>
        <w:autoSpaceDN/>
        <w:bidi w:val="0"/>
        <w:adjustRightInd/>
        <w:spacing w:line="360" w:lineRule="auto"/>
        <w:ind w:left="640" w:firstLine="0" w:firstLineChars="0"/>
        <w:textAlignment w:val="auto"/>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222222"/>
          <w:kern w:val="0"/>
          <w:sz w:val="32"/>
          <w:szCs w:val="32"/>
        </w:rPr>
      </w:pPr>
      <w:r>
        <w:rPr>
          <w:rFonts w:hint="eastAsia" w:ascii="仿宋_GB2312" w:hAnsi="仿宋" w:eastAsia="仿宋_GB2312"/>
          <w:sz w:val="32"/>
          <w:szCs w:val="32"/>
          <w:lang w:val="en-US" w:eastAsia="zh-CN"/>
        </w:rPr>
        <w:t>1、</w:t>
      </w:r>
      <w:r>
        <w:rPr>
          <w:rFonts w:hint="eastAsia" w:ascii="仿宋" w:hAnsi="仿宋" w:eastAsia="仿宋" w:cs="仿宋"/>
          <w:color w:val="222222"/>
          <w:kern w:val="0"/>
          <w:sz w:val="32"/>
          <w:szCs w:val="32"/>
        </w:rPr>
        <w:t>部门整体支出情况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2021年总支出1107.45万元，其中人员经费798.64万元，占基本支出的72%；日常公用经费308.81万元，</w:t>
      </w:r>
      <w:r>
        <w:rPr>
          <w:rFonts w:hint="eastAsia" w:ascii="仿宋_GB2312" w:hAnsi="仿宋" w:eastAsia="仿宋_GB2312"/>
          <w:sz w:val="32"/>
          <w:szCs w:val="32"/>
        </w:rPr>
        <w:t>占基本支出的</w:t>
      </w:r>
      <w:r>
        <w:rPr>
          <w:rFonts w:hint="eastAsia" w:ascii="仿宋_GB2312" w:hAnsi="仿宋" w:eastAsia="仿宋_GB2312"/>
          <w:sz w:val="32"/>
          <w:szCs w:val="32"/>
          <w:lang w:val="en-US" w:eastAsia="zh-CN"/>
        </w:rPr>
        <w:t>28</w:t>
      </w:r>
      <w:r>
        <w:rPr>
          <w:rFonts w:hint="eastAsia" w:ascii="仿宋_GB2312" w:hAnsi="仿宋" w:eastAsia="仿宋_GB2312"/>
          <w:sz w:val="32"/>
          <w:szCs w:val="32"/>
        </w:rPr>
        <w:t>%。</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2、部门预算收支决算情况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年度财政拨款总收入</w:t>
      </w:r>
      <w:r>
        <w:rPr>
          <w:rFonts w:hint="eastAsia" w:ascii="仿宋_GB2312" w:hAnsi="仿宋" w:eastAsia="仿宋_GB2312"/>
          <w:sz w:val="32"/>
          <w:szCs w:val="32"/>
          <w:lang w:val="en-US" w:eastAsia="zh-CN"/>
        </w:rPr>
        <w:t>1107.45</w:t>
      </w:r>
      <w:r>
        <w:rPr>
          <w:rFonts w:hint="eastAsia" w:ascii="仿宋_GB2312" w:hAnsi="仿宋" w:eastAsia="仿宋_GB2312"/>
          <w:sz w:val="32"/>
          <w:szCs w:val="32"/>
        </w:rPr>
        <w:t>万元，比上年</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14.88</w:t>
      </w:r>
      <w:r>
        <w:rPr>
          <w:rFonts w:hint="eastAsia" w:ascii="仿宋_GB2312" w:hAnsi="仿宋" w:eastAsia="仿宋_GB2312"/>
          <w:sz w:val="32"/>
          <w:szCs w:val="32"/>
        </w:rPr>
        <w:t>%，其中一般公共预算财政拨款收入</w:t>
      </w:r>
      <w:r>
        <w:rPr>
          <w:rFonts w:hint="eastAsia" w:ascii="仿宋_GB2312" w:hAnsi="仿宋" w:eastAsia="仿宋_GB2312"/>
          <w:sz w:val="32"/>
          <w:szCs w:val="32"/>
          <w:lang w:val="en-US" w:eastAsia="zh-CN"/>
        </w:rPr>
        <w:t>1107.45</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2021年度</w:t>
      </w:r>
      <w:r>
        <w:rPr>
          <w:rFonts w:hint="eastAsia" w:ascii="仿宋_GB2312" w:hAnsi="仿宋" w:eastAsia="仿宋_GB2312"/>
          <w:sz w:val="32"/>
          <w:szCs w:val="32"/>
        </w:rPr>
        <w:t>财政拨款总支出</w:t>
      </w:r>
      <w:r>
        <w:rPr>
          <w:rFonts w:hint="eastAsia" w:ascii="仿宋_GB2312" w:hAnsi="仿宋" w:eastAsia="仿宋_GB2312"/>
          <w:sz w:val="32"/>
          <w:szCs w:val="32"/>
          <w:lang w:val="en-US" w:eastAsia="zh-CN"/>
        </w:rPr>
        <w:t>1107.45</w:t>
      </w:r>
      <w:r>
        <w:rPr>
          <w:rFonts w:hint="eastAsia" w:ascii="仿宋_GB2312" w:hAnsi="仿宋" w:eastAsia="仿宋_GB2312"/>
          <w:sz w:val="32"/>
          <w:szCs w:val="32"/>
        </w:rPr>
        <w:t>万元，比上年</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14.88</w:t>
      </w:r>
      <w:r>
        <w:rPr>
          <w:rFonts w:hint="eastAsia" w:ascii="仿宋_GB2312" w:hAnsi="仿宋" w:eastAsia="仿宋_GB2312"/>
          <w:sz w:val="32"/>
          <w:szCs w:val="32"/>
        </w:rPr>
        <w:t>%，其中一般公共预算财政拨款支出</w:t>
      </w:r>
      <w:r>
        <w:rPr>
          <w:rFonts w:hint="eastAsia" w:ascii="仿宋_GB2312" w:hAnsi="仿宋" w:eastAsia="仿宋_GB2312"/>
          <w:sz w:val="32"/>
          <w:szCs w:val="32"/>
          <w:lang w:val="en-US" w:eastAsia="zh-CN"/>
        </w:rPr>
        <w:t>1107.45</w:t>
      </w:r>
      <w:r>
        <w:rPr>
          <w:rFonts w:hint="eastAsia" w:ascii="仿宋_GB2312" w:hAnsi="仿宋" w:eastAsia="仿宋_GB2312"/>
          <w:sz w:val="32"/>
          <w:szCs w:val="32"/>
        </w:rPr>
        <w:t>万元。</w:t>
      </w:r>
    </w:p>
    <w:p>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年度支出决算数</w:t>
      </w:r>
      <w:r>
        <w:rPr>
          <w:rFonts w:hint="eastAsia" w:ascii="仿宋_GB2312" w:hAnsi="仿宋" w:eastAsia="仿宋_GB2312"/>
          <w:sz w:val="32"/>
          <w:szCs w:val="32"/>
          <w:lang w:val="en-US" w:eastAsia="zh-CN"/>
        </w:rPr>
        <w:t>1107.45</w:t>
      </w:r>
      <w:r>
        <w:rPr>
          <w:rFonts w:hint="eastAsia" w:ascii="仿宋_GB2312" w:hAnsi="仿宋" w:eastAsia="仿宋_GB2312"/>
          <w:sz w:val="32"/>
          <w:szCs w:val="32"/>
        </w:rPr>
        <w:t>万元，比年初预算</w:t>
      </w:r>
      <w:r>
        <w:rPr>
          <w:rFonts w:hint="eastAsia" w:ascii="仿宋_GB2312" w:hAnsi="仿宋" w:eastAsia="仿宋_GB2312"/>
          <w:sz w:val="32"/>
          <w:szCs w:val="32"/>
          <w:lang w:val="en-US" w:eastAsia="zh-CN"/>
        </w:rPr>
        <w:t>919.15</w:t>
      </w:r>
      <w:r>
        <w:rPr>
          <w:rFonts w:hint="eastAsia" w:ascii="仿宋_GB2312" w:hAnsi="仿宋" w:eastAsia="仿宋_GB2312"/>
          <w:sz w:val="32"/>
          <w:szCs w:val="32"/>
        </w:rPr>
        <w:t>万元</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20.49</w:t>
      </w:r>
      <w:r>
        <w:rPr>
          <w:rFonts w:hint="eastAsia" w:ascii="仿宋_GB2312" w:hAnsi="仿宋" w:eastAsia="仿宋_GB2312"/>
          <w:sz w:val="32"/>
          <w:szCs w:val="32"/>
        </w:rPr>
        <w:t>%。与年初预算安排差异较大的主要原因是</w:t>
      </w:r>
      <w:r>
        <w:rPr>
          <w:rFonts w:hint="eastAsia" w:ascii="仿宋_GB2312" w:hAnsi="仿宋" w:eastAsia="仿宋_GB2312"/>
          <w:sz w:val="32"/>
          <w:szCs w:val="32"/>
          <w:lang w:eastAsia="zh-CN"/>
        </w:rPr>
        <w:t>：增加了省园林城市复查迎检工作经费和城区大件废弃垃圾清理处置经费。</w:t>
      </w:r>
    </w:p>
    <w:p>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“三公”经费支出情况：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2021年我局“三公”经费总额为0.89万元，其中因公出国（境）费0万元；公务用车购置及运行费0万元；公务用车购置费0万元；2021年我局新购置公务用车0辆，我局公务用车保有量为0辆。与上年相比无变动；公务接待费0.89万元，公务接待批次10个，接待人次73人。与上年相比减少73%，主要是我局严格执行市委市政府有关公务接待的管理规定，减少公务接待支出等。</w:t>
      </w:r>
    </w:p>
    <w:p>
      <w:pPr>
        <w:pStyle w:val="5"/>
        <w:keepNext w:val="0"/>
        <w:keepLines w:val="0"/>
        <w:pageBreakBefore w:val="0"/>
        <w:widowControl/>
        <w:kinsoku/>
        <w:wordWrap/>
        <w:overflowPunct/>
        <w:topLinePunct w:val="0"/>
        <w:autoSpaceDE/>
        <w:autoSpaceDN/>
        <w:bidi w:val="0"/>
        <w:adjustRightInd/>
        <w:spacing w:line="360" w:lineRule="auto"/>
        <w:ind w:left="640" w:firstLine="0" w:firstLineChars="0"/>
        <w:textAlignment w:val="auto"/>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一是2021年度专项资金安排和使用管理情况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1、总体情况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2021年度新增项目总收入307.05万元，其中垃圾焚烧处理费用44.23万元；资产租赁费用229万元；填埋场渗滤液处理费用33.82万元。2021年度项目总支出307.05万元，其中垃圾焚烧处理费用支出44.23万元；资产租赁费用支出229万元；填埋场渗滤液处理费用支出33.82万元。</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2、垃圾焚烧处理</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垃圾焚烧处理经费收入44.23万元，共支出44.23万元。不仅大大减少垃圾掩埋量，节省了垃圾掩埋费和土地征用费，还利于经济发展，能够更好的吸引外商投资，有利于发展旅游业。更让市区环境更加整洁、美观，为居民提供了优美的居住环境。</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3、资产租赁费用</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资产租赁费用收入229万元，共支出229万元。是为了保障职工工作环境，提高工作效率，以及保障人居环境，提高居民生活质量。</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4、填埋场渗滤液处理费用</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default" w:eastAsia="仿宋_GB2312"/>
          <w:sz w:val="32"/>
          <w:szCs w:val="32"/>
          <w:lang w:val="en-US" w:eastAsia="zh-CN"/>
        </w:rPr>
      </w:pPr>
      <w:r>
        <w:rPr>
          <w:rFonts w:hint="eastAsia" w:ascii="仿宋_GB2312" w:hAnsi="仿宋" w:eastAsia="仿宋_GB2312"/>
          <w:sz w:val="32"/>
          <w:szCs w:val="32"/>
          <w:lang w:val="en-US" w:eastAsia="zh-CN"/>
        </w:rPr>
        <w:t>是为了清洁美化城市生活环境,打造城市名片，为群众提供舒适环境，间接推动城市经济发展。改善城市环境，优化城市功能。开发城市无形资产，满足人民群众因生活水平的不断提高对改善生产、生活环境的美好愿望。</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hint="eastAsia" w:eastAsia="仿宋_GB2312"/>
          <w:sz w:val="32"/>
          <w:szCs w:val="32"/>
          <w:lang w:eastAsia="zh-CN"/>
        </w:rPr>
      </w:pPr>
      <w:r>
        <w:rPr>
          <w:rFonts w:eastAsia="仿宋_GB2312"/>
          <w:sz w:val="32"/>
          <w:szCs w:val="32"/>
        </w:rPr>
        <w:t>二是除专项资金以外的其他项目支出情况</w:t>
      </w:r>
      <w:r>
        <w:rPr>
          <w:rFonts w:hint="eastAsia" w:eastAsia="仿宋_GB2312"/>
          <w:sz w:val="32"/>
          <w:szCs w:val="32"/>
          <w:lang w:eastAsia="zh-CN"/>
        </w:rPr>
        <w:t>：无。</w:t>
      </w:r>
    </w:p>
    <w:p>
      <w:pPr>
        <w:pStyle w:val="5"/>
        <w:keepNext w:val="0"/>
        <w:keepLines w:val="0"/>
        <w:pageBreakBefore w:val="0"/>
        <w:widowControl/>
        <w:numPr>
          <w:numId w:val="0"/>
        </w:numPr>
        <w:kinsoku/>
        <w:wordWrap/>
        <w:overflowPunct/>
        <w:topLinePunct w:val="0"/>
        <w:autoSpaceDE/>
        <w:autoSpaceDN/>
        <w:bidi w:val="0"/>
        <w:adjustRightInd/>
        <w:spacing w:line="360" w:lineRule="auto"/>
        <w:ind w:left="640" w:leftChars="0"/>
        <w:jc w:val="left"/>
        <w:textAlignment w:val="auto"/>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5"/>
        <w:keepNext w:val="0"/>
        <w:keepLines w:val="0"/>
        <w:pageBreakBefore w:val="0"/>
        <w:widowControl/>
        <w:numPr>
          <w:numId w:val="0"/>
        </w:numPr>
        <w:kinsoku/>
        <w:wordWrap/>
        <w:overflowPunct/>
        <w:topLinePunct w:val="0"/>
        <w:autoSpaceDE/>
        <w:autoSpaceDN/>
        <w:bidi w:val="0"/>
        <w:adjustRightIn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无</w:t>
      </w:r>
    </w:p>
    <w:p>
      <w:pPr>
        <w:keepNext w:val="0"/>
        <w:keepLines w:val="0"/>
        <w:pageBreakBefore w:val="0"/>
        <w:widowControl/>
        <w:numPr>
          <w:ilvl w:val="0"/>
          <w:numId w:val="2"/>
        </w:numPr>
        <w:kinsoku/>
        <w:wordWrap/>
        <w:overflowPunct/>
        <w:topLinePunct w:val="0"/>
        <w:autoSpaceDE/>
        <w:autoSpaceDN/>
        <w:bidi w:val="0"/>
        <w:adjustRightInd/>
        <w:spacing w:line="360" w:lineRule="auto"/>
        <w:ind w:firstLine="645"/>
        <w:jc w:val="left"/>
        <w:textAlignment w:val="auto"/>
        <w:rPr>
          <w:rFonts w:eastAsia="黑体"/>
          <w:sz w:val="32"/>
          <w:szCs w:val="32"/>
        </w:rPr>
      </w:pPr>
      <w:r>
        <w:rPr>
          <w:rFonts w:eastAsia="黑体"/>
          <w:sz w:val="32"/>
          <w:szCs w:val="32"/>
        </w:rPr>
        <w:t>部门整体支出绩效情况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1、党建工作：</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①</w:t>
      </w:r>
      <w:r>
        <w:rPr>
          <w:rFonts w:hint="eastAsia" w:ascii="仿宋_GB2312" w:hAnsi="仿宋" w:eastAsia="仿宋_GB2312"/>
          <w:sz w:val="32"/>
          <w:szCs w:val="32"/>
          <w:lang w:val="en-US" w:eastAsia="zh-CN"/>
        </w:rPr>
        <w:t>严格落实“三会一课”制度，召开支委会、党员大会、民主生活会17次，目标完成率100%；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②</w:t>
      </w:r>
      <w:r>
        <w:rPr>
          <w:rFonts w:hint="eastAsia" w:ascii="仿宋_GB2312" w:hAnsi="仿宋" w:eastAsia="仿宋_GB2312"/>
          <w:sz w:val="32"/>
          <w:szCs w:val="32"/>
          <w:lang w:val="en-US" w:eastAsia="zh-CN"/>
        </w:rPr>
        <w:t>严格落实“党课”制度。党组书记、党组书记上党课5次，目标完成率100%；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③</w:t>
      </w:r>
      <w:r>
        <w:rPr>
          <w:rFonts w:hint="eastAsia" w:ascii="仿宋_GB2312" w:hAnsi="仿宋" w:eastAsia="仿宋_GB2312"/>
          <w:sz w:val="32"/>
          <w:szCs w:val="32"/>
          <w:lang w:val="en-US" w:eastAsia="zh-CN"/>
        </w:rPr>
        <w:t>严格落实“谈心谈话”制度，开展“两同时”谈话和开展中心组学习，目标完成率100%。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2、市容市貌管理</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每月开展市容市貌集中整治活动1次，共计12次，集中查处、取缔违规占道行为621处，清理横幅、拱门等415处，整治活动目标完成率100%；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采取规范管理、分类指导、依法取缔等方式对三湖公园及周边进行精细化管理，累计出动执法车辆出行次数87台次，出动执法人员300余次，规范清理占道经营、出店经营、流动摊贩281处，目标完成率100%；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坚决取缔占道经营的各类饮食摊点，督促环卫人员及时清理周边生活垃圾，保障师生安全。对城区学校周边地区规范各类摊点77处。在高、中考期间占道经营及各类噪音整治计划进行全天候管控，每天抽调2名执法人员进行管控。保障高、中考期间良好的市容秩序。重点时间段管控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对全市影响市容市貌及存在安全隐患的户外广告进行安全检查，组织专业人员共拆除破损广告9处，整改违规设置招牌12处。拆除临街破损门店招牌28处。协调处理投诉小区及商业步行街违规广告牌5起，全年安全检查拆除违规广告共50处，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当年度发放宣传资料，制作、发布大型立柱公益广告任务共27</w:t>
      </w:r>
      <w:bookmarkStart w:id="0" w:name="_GoBack"/>
      <w:bookmarkEnd w:id="0"/>
      <w:r>
        <w:rPr>
          <w:rFonts w:hint="eastAsia" w:ascii="仿宋_GB2312" w:hAnsi="仿宋" w:eastAsia="仿宋_GB2312"/>
          <w:sz w:val="32"/>
          <w:szCs w:val="32"/>
          <w:lang w:val="en-US" w:eastAsia="zh-CN"/>
        </w:rPr>
        <w:t>件，目标完成率100%。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3、粉尘、油烟、焚烧污染治理</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（1）通过“一摸底、二宣传、三安装、四督促”的方法对餐饮油烟进行排查管控，规范门店20家，目标完成率100%；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（2）采用设置警示牌、机动巡查、蹲点值守等方式对露天焚烧生活和建筑垃圾行为进行全方位管控，全年查处露天焚烧行为4起，目标完成率100%。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4、基础设施建设</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eastAsia="黑体"/>
          <w:sz w:val="32"/>
          <w:szCs w:val="32"/>
        </w:rPr>
      </w:pPr>
      <w:r>
        <w:rPr>
          <w:rFonts w:hint="eastAsia" w:ascii="仿宋_GB2312" w:hAnsi="仿宋" w:eastAsia="仿宋_GB2312"/>
          <w:sz w:val="32"/>
          <w:szCs w:val="32"/>
          <w:lang w:val="en-US" w:eastAsia="zh-CN"/>
        </w:rPr>
        <w:t>加强环卫基础设施日常管理，完成了城区内果皮箱、垃圾绿桶精准收集的整治工作，并及时增补垃圾绿桶284个，安装果皮箱175个，更换餐厨垃圾处理设备6台，目标完成率100%。</w:t>
      </w:r>
    </w:p>
    <w:p>
      <w:pPr>
        <w:pStyle w:val="5"/>
        <w:keepNext w:val="0"/>
        <w:keepLines w:val="0"/>
        <w:pageBreakBefore w:val="0"/>
        <w:widowControl/>
        <w:kinsoku/>
        <w:wordWrap/>
        <w:overflowPunct/>
        <w:topLinePunct w:val="0"/>
        <w:autoSpaceDE/>
        <w:autoSpaceDN/>
        <w:bidi w:val="0"/>
        <w:adjustRightInd/>
        <w:spacing w:line="360" w:lineRule="auto"/>
        <w:ind w:left="640" w:firstLine="0" w:firstLineChars="0"/>
        <w:jc w:val="left"/>
        <w:textAlignment w:val="auto"/>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eastAsia="仿宋_GB2312"/>
          <w:sz w:val="32"/>
          <w:szCs w:val="32"/>
        </w:rPr>
      </w:pPr>
      <w:r>
        <w:rPr>
          <w:rFonts w:hint="eastAsia" w:ascii="仿宋_GB2312" w:hAnsi="仿宋" w:eastAsia="仿宋_GB2312"/>
          <w:sz w:val="32"/>
          <w:szCs w:val="32"/>
          <w:lang w:val="en-US" w:eastAsia="zh-CN"/>
        </w:rPr>
        <w:t>部门整体预算指标细化、量化不够：部门整体目标仅设置渣土运输源头管理和沿途治理，市容市貌综合整治；城市美化亮化整治；餐饮油烟及扬尘治理。未设置执法次数，市容市貌整治方式及整改频率和次数，城市美化的方法方式，</w:t>
      </w:r>
      <w:r>
        <w:rPr>
          <w:rFonts w:hint="eastAsia" w:eastAsia="仿宋_GB2312"/>
          <w:sz w:val="32"/>
          <w:szCs w:val="32"/>
          <w:lang w:val="en-US" w:eastAsia="zh-CN"/>
        </w:rPr>
        <w:t>通过洒水车每日进行高空抑尘的频率等若干项重要指标，未充分发挥绩效目标的导向作用，不便于绩效管理。存此问题原因为绩效管理意识欠缺，对申报资金未同时确定绩效目标。</w:t>
      </w:r>
    </w:p>
    <w:p>
      <w:pPr>
        <w:keepNext w:val="0"/>
        <w:keepLines w:val="0"/>
        <w:pageBreakBefore w:val="0"/>
        <w:widowControl/>
        <w:numPr>
          <w:numId w:val="0"/>
        </w:numPr>
        <w:kinsoku/>
        <w:wordWrap/>
        <w:overflowPunct/>
        <w:topLinePunct w:val="0"/>
        <w:autoSpaceDE/>
        <w:autoSpaceDN/>
        <w:bidi w:val="0"/>
        <w:adjustRightInd/>
        <w:spacing w:line="360" w:lineRule="auto"/>
        <w:ind w:left="645" w:leftChars="0"/>
        <w:jc w:val="left"/>
        <w:textAlignment w:val="auto"/>
        <w:rPr>
          <w:rFonts w:eastAsia="黑体"/>
          <w:sz w:val="32"/>
          <w:szCs w:val="32"/>
        </w:rPr>
      </w:pPr>
      <w:r>
        <w:rPr>
          <w:rFonts w:hint="eastAsia" w:eastAsia="黑体"/>
          <w:sz w:val="32"/>
          <w:szCs w:val="32"/>
          <w:lang w:eastAsia="zh-CN"/>
        </w:rPr>
        <w:t>六、</w:t>
      </w:r>
      <w:r>
        <w:rPr>
          <w:rFonts w:eastAsia="黑体"/>
          <w:sz w:val="32"/>
          <w:szCs w:val="32"/>
        </w:rPr>
        <w:t>下一步改进措施</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eastAsia="黑体"/>
          <w:sz w:val="32"/>
          <w:szCs w:val="32"/>
        </w:rPr>
      </w:pPr>
      <w:r>
        <w:rPr>
          <w:rFonts w:hint="eastAsia" w:eastAsia="仿宋_GB2312"/>
          <w:sz w:val="32"/>
          <w:szCs w:val="32"/>
          <w:lang w:val="en-US" w:eastAsia="zh-CN"/>
        </w:rPr>
        <w:t>细化、量化绩效目标：对预算资金、项目资金全面准确的编制绩效目标，结合本单位职责及年度工作计划和总结对资金的使用设置更具体细化和量化的绩效指标。加强预算执行，有效控制预算调整和追加规模，降低预算执行偏差，提高预算管理水平。健全支出内部控制制度和内部审查制度，完善内部支出管理，强化内部约束，降低单位运行成本。</w:t>
      </w:r>
    </w:p>
    <w:p>
      <w:pPr>
        <w:keepNext w:val="0"/>
        <w:keepLines w:val="0"/>
        <w:pageBreakBefore w:val="0"/>
        <w:widowControl/>
        <w:numPr>
          <w:ilvl w:val="0"/>
          <w:numId w:val="3"/>
        </w:numPr>
        <w:kinsoku/>
        <w:wordWrap/>
        <w:overflowPunct/>
        <w:topLinePunct w:val="0"/>
        <w:autoSpaceDE/>
        <w:autoSpaceDN/>
        <w:bidi w:val="0"/>
        <w:adjustRightInd/>
        <w:spacing w:line="360" w:lineRule="auto"/>
        <w:ind w:firstLine="645"/>
        <w:jc w:val="left"/>
        <w:textAlignment w:val="auto"/>
        <w:rPr>
          <w:rFonts w:eastAsia="黑体"/>
          <w:sz w:val="32"/>
          <w:szCs w:val="32"/>
        </w:rPr>
      </w:pPr>
      <w:r>
        <w:rPr>
          <w:rFonts w:eastAsia="黑体"/>
          <w:sz w:val="32"/>
          <w:szCs w:val="32"/>
        </w:rPr>
        <w:t>其他需要说明的情况</w:t>
      </w:r>
    </w:p>
    <w:p>
      <w:pPr>
        <w:keepNext w:val="0"/>
        <w:keepLines w:val="0"/>
        <w:pageBreakBefore w:val="0"/>
        <w:widowControl/>
        <w:numPr>
          <w:numId w:val="0"/>
        </w:numPr>
        <w:kinsoku/>
        <w:wordWrap/>
        <w:overflowPunct/>
        <w:topLinePunct w:val="0"/>
        <w:autoSpaceDE/>
        <w:autoSpaceDN/>
        <w:bidi w:val="0"/>
        <w:adjustRightInd/>
        <w:spacing w:line="360" w:lineRule="auto"/>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C0FA2"/>
    <w:multiLevelType w:val="singleLevel"/>
    <w:tmpl w:val="D00C0FA2"/>
    <w:lvl w:ilvl="0" w:tentative="0">
      <w:start w:val="4"/>
      <w:numFmt w:val="chineseCounting"/>
      <w:suff w:val="nothing"/>
      <w:lvlText w:val="%1、"/>
      <w:lvlJc w:val="left"/>
      <w:rPr>
        <w:rFonts w:hint="eastAsia"/>
      </w:rPr>
    </w:lvl>
  </w:abstractNum>
  <w:abstractNum w:abstractNumId="1">
    <w:nsid w:val="1A7CE342"/>
    <w:multiLevelType w:val="singleLevel"/>
    <w:tmpl w:val="1A7CE342"/>
    <w:lvl w:ilvl="0" w:tentative="0">
      <w:start w:val="7"/>
      <w:numFmt w:val="chineseCounting"/>
      <w:suff w:val="nothing"/>
      <w:lvlText w:val="%1、"/>
      <w:lvlJc w:val="left"/>
      <w:rPr>
        <w:rFonts w:hint="eastAsia"/>
      </w:rPr>
    </w:lvl>
  </w:abstractNum>
  <w:abstractNum w:abstractNumId="2">
    <w:nsid w:val="1EDD701E"/>
    <w:multiLevelType w:val="singleLevel"/>
    <w:tmpl w:val="1EDD70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6BD160A"/>
    <w:rsid w:val="07A0091C"/>
    <w:rsid w:val="19456EED"/>
    <w:rsid w:val="3A076E09"/>
    <w:rsid w:val="3B8F3226"/>
    <w:rsid w:val="56BE7A10"/>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85"/>
      <w:ind w:left="751"/>
      <w:outlineLvl w:val="0"/>
    </w:pPr>
    <w:rPr>
      <w:rFonts w:ascii="Microsoft JhengHei" w:hAnsi="Microsoft JhengHei" w:eastAsia="Microsoft JhengHei" w:cs="Microsoft JhengHe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一铁匠</cp:lastModifiedBy>
  <dcterms:modified xsi:type="dcterms:W3CDTF">2022-03-21T07:45:08Z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