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城市管理和综合执法局“牛皮癣”清理项目       2021年度</w:t>
      </w:r>
      <w:r>
        <w:rPr>
          <w:rFonts w:hint="eastAsia" w:eastAsia="方正小标宋_GBK"/>
          <w:sz w:val="36"/>
          <w:szCs w:val="36"/>
          <w:lang w:eastAsia="zh-CN"/>
        </w:rPr>
        <w:t>项目</w:t>
      </w:r>
      <w:r>
        <w:rPr>
          <w:rFonts w:eastAsia="方正小标宋_GBK"/>
          <w:sz w:val="36"/>
          <w:szCs w:val="36"/>
        </w:rPr>
        <w:t>支出绩效报告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left="0" w:firstLine="912" w:firstLineChars="3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w w:val="95"/>
        </w:rPr>
      </w:pPr>
      <w:r>
        <w:rPr>
          <w:rFonts w:hint="eastAsia" w:ascii="仿宋_GB2312" w:hAnsi="仿宋_GB2312" w:eastAsia="仿宋_GB2312" w:cs="仿宋_GB2312"/>
          <w:b w:val="0"/>
          <w:bCs w:val="0"/>
          <w:w w:val="95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w w:val="95"/>
        </w:rPr>
        <w:t>职能职责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（1）负责贯彻执行国家、省有关市容环境卫生方面的的法律、法规和政策；强制拆除不符合城市容貌标准、环境卫生标准的违法建筑物或设施。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（2）负责行使环境保护管理方面法律、法规、规章规定的部分行政处罚权：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负责行使工商行政管理方面法律、法规、规章规定的对无照商贩，以及有照但不按执照规定场所经营而进行店外经营、店外作业的商贩的行政处罚权，行使对自产蔬菜和农副产品未进入政府指定地点销售的行政处罚权，行使对违规设置户外广告和户外乱贴乱画广告行为的行政处罚权，行使对破损或残缺等影响市容的广告行为的行政处罚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负责行使城市公安交通管理方面法律、法规、规章规定的对人行道上车辆乱停乱放、当路摆摊设点、堆物作业等侵占城市道路行为的行政处罚权。负责行使公安管理方面法律、法规、规章规定的对在城区违反烟花爆竹管理规定的行政处罚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（5）履行省、常德市及津市市人民政府依法规定的其他职责。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left="0" w:firstLine="960" w:firstLineChars="3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</w:rPr>
        <w:t>机构设置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津市市城市管理和综合执法局设8个股室，分别是办公室、财务装备股、政工股、党建办、行政审批服务办公室、园林绿化服务中心、澧水大桥管理所、综合执法大队。1个二级机构为环卫处。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00" w:leftChars="0" w:firstLine="640" w:firstLineChars="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840" w:leftChars="0" w:firstLineChars="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基本性质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“牛皮癣”清理项目属于延续项目，自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2012年开始延续至今。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840" w:leftChars="0" w:firstLineChars="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用途和主要内容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“牛皮癣”清理项目主要清理：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油墨手笔写的各种办证小广告；各种书法张贴的纸广告；用油漆基涂料书写的各种书法广告；其他各种乱贴、乱涂、乱画等之类的小广告、野广告等。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840" w:leftChars="0" w:firstLineChars="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涉及范围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“牛皮癣”清理范围：城北区所有大街小巷长度约48公里，城南区孟姜女大道、大同路、清远路、丝绢路、开发区主干道长度约29公里。牛皮癣清理费用为31万元。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200" w:leftChars="0" w:firstLine="640" w:firstLineChars="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绩效目标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left="840" w:left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总体目标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通过对津市市城区牛皮癣进行清理等，保障人居环境整洁，达到美化、亮化的目标。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2、年度目标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对城区所有大街小巷长度约48公里，城南区孟姜女大道、大同路、清远路、丝绢路、开发区主干道长度约29公里的牛皮癣、小广告等乱贴行为进行全面清理。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  <w:lang w:val="en-US" w:eastAsia="zh-CN"/>
        </w:rPr>
        <w:t>2021年年初预算安排专</w:t>
      </w:r>
      <w:r>
        <w:rPr>
          <w:rFonts w:hint="eastAsia" w:eastAsia="仿宋_GB2312"/>
          <w:sz w:val="32"/>
          <w:szCs w:val="32"/>
          <w:lang w:eastAsia="zh-CN"/>
        </w:rPr>
        <w:t>项工作经费</w:t>
      </w:r>
      <w:r>
        <w:rPr>
          <w:rFonts w:hint="eastAsia" w:eastAsia="仿宋_GB2312"/>
          <w:sz w:val="32"/>
          <w:szCs w:val="32"/>
          <w:lang w:val="en-US" w:eastAsia="zh-CN"/>
        </w:rPr>
        <w:t>153万元，当年年度预算可用指标组成情况：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djustRightInd w:val="0"/>
              <w:snapToGrid w:val="0"/>
              <w:spacing w:line="600" w:lineRule="exact"/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指标下达日期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spacing w:line="600" w:lineRule="exact"/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项目摘要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spacing w:line="600" w:lineRule="exact"/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0" w:type="dxa"/>
          </w:tcPr>
          <w:p>
            <w:pPr>
              <w:adjustRightInd w:val="0"/>
              <w:snapToGrid w:val="0"/>
              <w:spacing w:line="600" w:lineRule="exact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2021年1月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spacing w:line="600" w:lineRule="exact"/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澧水大桥维护费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spacing w:line="600" w:lineRule="exact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djustRightInd w:val="0"/>
              <w:snapToGrid w:val="0"/>
              <w:spacing w:line="600" w:lineRule="exact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2021年1月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spacing w:line="600" w:lineRule="exact"/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牛皮癣清理费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spacing w:line="600" w:lineRule="exact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djustRightInd w:val="0"/>
              <w:snapToGrid w:val="0"/>
              <w:spacing w:line="600" w:lineRule="exact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2021年1月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spacing w:line="600" w:lineRule="exact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填埋场、低碳生活经费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spacing w:line="600" w:lineRule="exact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djustRightInd w:val="0"/>
              <w:snapToGrid w:val="0"/>
              <w:spacing w:line="600" w:lineRule="exact"/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adjustRightInd w:val="0"/>
              <w:snapToGrid w:val="0"/>
              <w:spacing w:line="600" w:lineRule="exact"/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合计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spacing w:line="600" w:lineRule="exact"/>
              <w:rPr>
                <w:rFonts w:hint="default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vertAlign w:val="baseline"/>
                <w:lang w:val="en-US" w:eastAsia="zh-CN"/>
              </w:rPr>
              <w:t>153</w:t>
            </w:r>
          </w:p>
        </w:tc>
      </w:tr>
    </w:tbl>
    <w:p>
      <w:pPr>
        <w:numPr>
          <w:ilvl w:val="0"/>
          <w:numId w:val="4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资金实际使用情况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对津市城北区所有大街小巷、临行两边立面墙体以及城区内已命名的主巷道两边的墙体、城南区的孟姜女大道、大同路、清远路、丝绢路、开发区主干道、城区内所有环卫、交通、电力、邮电等公用设施、后湖周边、城隍庙步行街、金城银座、护市路、盐矿社区等上的“牛皮癣”进行清理，费用为31万元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按年初预算进行资金管理，设立长效监督机制，每周至少检查辖区内牛皮癣存在现象一次，并纳入台账记录，以作为后期工作开展的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参考。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牛皮癣清理工作按照要求</w:t>
      </w:r>
      <w:r>
        <w:rPr>
          <w:rFonts w:eastAsia="仿宋_GB2312"/>
          <w:sz w:val="32"/>
          <w:szCs w:val="32"/>
        </w:rPr>
        <w:t>招投标、调整等</w:t>
      </w:r>
      <w:r>
        <w:rPr>
          <w:rFonts w:hint="eastAsia" w:eastAsia="仿宋_GB2312"/>
          <w:sz w:val="32"/>
          <w:szCs w:val="32"/>
          <w:lang w:eastAsia="zh-CN"/>
        </w:rPr>
        <w:t>实施完成</w:t>
      </w:r>
      <w:r>
        <w:rPr>
          <w:rFonts w:eastAsia="仿宋_GB2312"/>
          <w:sz w:val="32"/>
          <w:szCs w:val="32"/>
        </w:rPr>
        <w:t>。</w:t>
      </w:r>
    </w:p>
    <w:p>
      <w:pPr>
        <w:numPr>
          <w:ilvl w:val="0"/>
          <w:numId w:val="5"/>
        </w:num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对牛皮癣的清理设立重点巡查路段：津澧大道、七一路、万寿路、人民路。每周至少巡查</w:t>
      </w:r>
      <w:r>
        <w:rPr>
          <w:rFonts w:hint="eastAsia" w:eastAsia="仿宋_GB2312"/>
          <w:sz w:val="32"/>
          <w:szCs w:val="32"/>
          <w:lang w:val="en-US" w:eastAsia="zh-CN"/>
        </w:rPr>
        <w:t>1次，并记入巡查台账，完成率达到100%。</w:t>
      </w:r>
      <w:r>
        <w:rPr>
          <w:rFonts w:hint="eastAsia" w:eastAsia="仿宋_GB2312"/>
          <w:sz w:val="32"/>
          <w:szCs w:val="32"/>
          <w:lang w:eastAsia="zh-CN"/>
        </w:rPr>
        <w:t>津市市城区牛皮癣的清理，不仅有利于人居环境得到整洁美观，更有利于提升居民的的环境卫生</w:t>
      </w:r>
      <w:bookmarkStart w:id="0" w:name="_GoBack"/>
      <w:bookmarkEnd w:id="0"/>
      <w:r>
        <w:rPr>
          <w:rFonts w:hint="eastAsia" w:eastAsia="仿宋_GB2312"/>
          <w:sz w:val="32"/>
          <w:szCs w:val="32"/>
          <w:lang w:eastAsia="zh-CN"/>
        </w:rPr>
        <w:t>意识。加强城市管理，改善城市环境，优化城市功能，实施城市品牌战略，开发城市无形资产，满足人民群众因生活水平的不断提高对生产、生活环境需求提高的美好愿望。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无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tbl>
      <w:tblPr>
        <w:tblStyle w:val="3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290"/>
        <w:gridCol w:w="1068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        </w:t>
            </w: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牛皮癣清理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仿宋_GB2312" w:cs="Arial"/>
                <w:color w:val="000000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abs>
                <w:tab w:val="left" w:pos="735"/>
                <w:tab w:val="center" w:pos="2467"/>
              </w:tabs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对津市市城区牛皮癣进行清理等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完成对牛皮癣的清理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牛皮癣清理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77公里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77公里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市容市貌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整洁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整洁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全年进行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不超过预算评审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城市发展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改善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改善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市容整洁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color w:val="000000"/>
                <w:kern w:val="0"/>
                <w:szCs w:val="21"/>
              </w:rPr>
              <w:t>≥</w:t>
            </w:r>
            <w:r>
              <w:rPr>
                <w:rFonts w:hint="eastAsia" w:eastAsia="仿宋_GB2312" w:cs="Times New Roman"/>
                <w:color w:val="000000"/>
                <w:kern w:val="0"/>
                <w:szCs w:val="21"/>
                <w:lang w:val="en-US" w:eastAsia="zh-CN"/>
              </w:rPr>
              <w:t>98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城市环境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改善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人居环境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提高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提高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26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社会公众满意度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r>
        <w:rPr>
          <w:rFonts w:eastAsia="仿宋_GB2312"/>
          <w:sz w:val="24"/>
        </w:rPr>
        <w:t>填表人：</w:t>
      </w:r>
      <w:r>
        <w:rPr>
          <w:rFonts w:hint="eastAsia" w:eastAsia="仿宋_GB2312"/>
          <w:sz w:val="24"/>
          <w:lang w:eastAsia="zh-CN"/>
        </w:rPr>
        <w:t>罗琳琳</w:t>
      </w:r>
      <w:r>
        <w:rPr>
          <w:rFonts w:eastAsia="仿宋_GB2312"/>
          <w:sz w:val="24"/>
        </w:rPr>
        <w:t>填报日期</w:t>
      </w:r>
      <w:r>
        <w:rPr>
          <w:rFonts w:hint="eastAsia" w:eastAsia="仿宋_GB2312"/>
          <w:sz w:val="24"/>
          <w:lang w:eastAsia="zh-CN"/>
        </w:rPr>
        <w:t>：</w:t>
      </w:r>
      <w:r>
        <w:rPr>
          <w:rFonts w:hint="eastAsia" w:eastAsia="仿宋_GB2312"/>
          <w:sz w:val="24"/>
          <w:lang w:val="en-US" w:eastAsia="zh-CN"/>
        </w:rPr>
        <w:t>2022年3月23日</w:t>
      </w:r>
      <w:r>
        <w:rPr>
          <w:rFonts w:eastAsia="仿宋_GB2312"/>
          <w:sz w:val="24"/>
        </w:rPr>
        <w:t>联系电话：</w:t>
      </w:r>
      <w:r>
        <w:rPr>
          <w:rFonts w:hint="eastAsia" w:eastAsia="仿宋_GB2312"/>
          <w:sz w:val="24"/>
          <w:lang w:val="en-US" w:eastAsia="zh-CN"/>
        </w:rPr>
        <w:t>4220161</w:t>
      </w:r>
      <w:r>
        <w:rPr>
          <w:rFonts w:eastAsia="仿宋_GB2312"/>
          <w:sz w:val="24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4DFC41"/>
    <w:multiLevelType w:val="singleLevel"/>
    <w:tmpl w:val="9B4DFC4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3BE00B3"/>
    <w:multiLevelType w:val="singleLevel"/>
    <w:tmpl w:val="C3BE00B3"/>
    <w:lvl w:ilvl="0" w:tentative="0">
      <w:start w:val="1"/>
      <w:numFmt w:val="decimal"/>
      <w:suff w:val="nothing"/>
      <w:lvlText w:val="%1、"/>
      <w:lvlJc w:val="left"/>
      <w:pPr>
        <w:ind w:left="840"/>
      </w:pPr>
    </w:lvl>
  </w:abstractNum>
  <w:abstractNum w:abstractNumId="2">
    <w:nsid w:val="E0369C93"/>
    <w:multiLevelType w:val="singleLevel"/>
    <w:tmpl w:val="E0369C9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65CA918"/>
    <w:multiLevelType w:val="singleLevel"/>
    <w:tmpl w:val="265CA918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266D6CF3"/>
    <w:multiLevelType w:val="singleLevel"/>
    <w:tmpl w:val="266D6CF3"/>
    <w:lvl w:ilvl="0" w:tentative="0">
      <w:start w:val="2"/>
      <w:numFmt w:val="chineseCounting"/>
      <w:suff w:val="nothing"/>
      <w:lvlText w:val="（%1）"/>
      <w:lvlJc w:val="left"/>
      <w:pPr>
        <w:ind w:left="20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54C658C"/>
    <w:rsid w:val="0CFE4450"/>
    <w:rsid w:val="305B5409"/>
    <w:rsid w:val="32160D50"/>
    <w:rsid w:val="33843A63"/>
    <w:rsid w:val="3B90191B"/>
    <w:rsid w:val="3C343492"/>
    <w:rsid w:val="487D713D"/>
    <w:rsid w:val="4B5C7D5B"/>
    <w:rsid w:val="51081151"/>
    <w:rsid w:val="5D6E0D59"/>
    <w:rsid w:val="62544A8F"/>
    <w:rsid w:val="6AC500B0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85"/>
      <w:ind w:left="751"/>
      <w:outlineLvl w:val="0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Administrator</cp:lastModifiedBy>
  <cp:lastPrinted>2022-03-28T03:17:04Z</cp:lastPrinted>
  <dcterms:modified xsi:type="dcterms:W3CDTF">2022-03-28T03:19:25Z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