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津市市水运事务中心2021年度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部门、单位基本情况</w:t>
      </w:r>
    </w:p>
    <w:p>
      <w:pPr>
        <w:widowControl/>
        <w:spacing w:line="560" w:lineRule="exact"/>
        <w:ind w:firstLine="640"/>
        <w:rPr>
          <w:rFonts w:hint="eastAsia" w:ascii="仿宋" w:hAnsi="仿宋" w:eastAsia="仿宋" w:cs="仿宋"/>
          <w:color w:val="222222"/>
          <w:spacing w:val="-20"/>
          <w:kern w:val="0"/>
          <w:sz w:val="32"/>
          <w:szCs w:val="32"/>
        </w:rPr>
      </w:pPr>
      <w:r>
        <w:rPr>
          <w:rFonts w:hint="eastAsia" w:ascii="仿宋" w:hAnsi="仿宋" w:eastAsia="仿宋" w:cs="仿宋"/>
          <w:color w:val="222222"/>
          <w:spacing w:val="-20"/>
          <w:kern w:val="0"/>
          <w:sz w:val="32"/>
          <w:szCs w:val="32"/>
        </w:rPr>
        <w:t>（一）机构、人员构成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765"/>
        <w:jc w:val="left"/>
        <w:rPr>
          <w:rFonts w:hint="eastAsia" w:ascii="仿宋" w:hAnsi="仿宋" w:eastAsia="仿宋" w:cs="仿宋"/>
          <w:color w:val="333333"/>
          <w:spacing w:val="-20"/>
          <w:sz w:val="32"/>
          <w:szCs w:val="32"/>
          <w:shd w:val="clear" w:color="auto" w:fill="FFFFFF"/>
        </w:rPr>
      </w:pPr>
      <w:r>
        <w:rPr>
          <w:rFonts w:ascii="仿宋" w:hAnsi="仿宋" w:eastAsia="仿宋" w:cs="仿宋"/>
          <w:color w:val="333333"/>
          <w:spacing w:val="-20"/>
          <w:sz w:val="32"/>
          <w:szCs w:val="32"/>
          <w:shd w:val="clear" w:color="auto" w:fill="FFFFFF"/>
        </w:rPr>
        <w:t>根据编委核定，我单位内设科室</w:t>
      </w:r>
      <w:r>
        <w:rPr>
          <w:rFonts w:hint="eastAsia" w:ascii="仿宋" w:hAnsi="仿宋" w:eastAsia="仿宋" w:cs="仿宋"/>
          <w:color w:val="333333"/>
          <w:spacing w:val="-20"/>
          <w:sz w:val="32"/>
          <w:szCs w:val="32"/>
          <w:shd w:val="clear" w:color="auto" w:fill="FFFFFF"/>
        </w:rPr>
        <w:t>6个，全部纳入20</w:t>
      </w:r>
      <w:r>
        <w:rPr>
          <w:rFonts w:hint="eastAsia" w:ascii="仿宋" w:hAnsi="仿宋" w:eastAsia="仿宋" w:cs="仿宋"/>
          <w:color w:val="333333"/>
          <w:spacing w:val="-20"/>
          <w:sz w:val="32"/>
          <w:szCs w:val="32"/>
          <w:shd w:val="clear" w:color="auto" w:fill="FFFFFF"/>
          <w:lang w:val="en-US" w:eastAsia="zh-CN"/>
        </w:rPr>
        <w:t>21</w:t>
      </w:r>
      <w:r>
        <w:rPr>
          <w:rFonts w:hint="eastAsia" w:ascii="仿宋" w:hAnsi="仿宋" w:eastAsia="仿宋" w:cs="仿宋"/>
          <w:color w:val="333333"/>
          <w:spacing w:val="-20"/>
          <w:sz w:val="32"/>
          <w:szCs w:val="32"/>
          <w:shd w:val="clear" w:color="auto" w:fill="FFFFFF"/>
        </w:rPr>
        <w:t>年部门预算编制范围。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765"/>
        <w:jc w:val="left"/>
        <w:rPr>
          <w:rFonts w:hint="eastAsia" w:ascii="仿宋" w:hAnsi="仿宋" w:eastAsia="仿宋" w:cs="仿宋"/>
          <w:color w:val="222222"/>
          <w:spacing w:val="-20"/>
          <w:kern w:val="0"/>
          <w:sz w:val="32"/>
          <w:szCs w:val="32"/>
        </w:rPr>
      </w:pPr>
      <w:r>
        <w:rPr>
          <w:rFonts w:hint="eastAsia" w:ascii="仿宋" w:hAnsi="仿宋" w:eastAsia="仿宋" w:cs="仿宋"/>
          <w:color w:val="333333"/>
          <w:spacing w:val="-20"/>
          <w:sz w:val="32"/>
          <w:szCs w:val="32"/>
          <w:shd w:val="clear" w:color="auto" w:fill="FFFFFF"/>
        </w:rPr>
        <w:t>内设科室室分别是办公室、港航股、财审室、船员科、安全科、稽查队。</w:t>
      </w:r>
    </w:p>
    <w:p>
      <w:pPr>
        <w:widowControl/>
        <w:spacing w:line="560" w:lineRule="exact"/>
        <w:ind w:firstLine="640"/>
        <w:rPr>
          <w:rFonts w:hint="eastAsia" w:ascii="仿宋" w:hAnsi="仿宋" w:eastAsia="仿宋" w:cs="仿宋"/>
          <w:color w:val="222222"/>
          <w:spacing w:val="-20"/>
          <w:kern w:val="0"/>
          <w:sz w:val="32"/>
          <w:szCs w:val="32"/>
        </w:rPr>
      </w:pPr>
      <w:r>
        <w:rPr>
          <w:rFonts w:hint="eastAsia" w:ascii="仿宋" w:hAnsi="仿宋" w:eastAsia="仿宋" w:cs="仿宋"/>
          <w:color w:val="222222"/>
          <w:spacing w:val="-20"/>
          <w:kern w:val="0"/>
          <w:sz w:val="32"/>
          <w:szCs w:val="32"/>
        </w:rPr>
        <w:t>（二）单位主要职责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ascii="仿宋" w:hAnsi="仿宋" w:eastAsia="仿宋" w:cs="仿宋"/>
          <w:color w:val="333333"/>
          <w:spacing w:val="-20"/>
          <w:sz w:val="32"/>
          <w:szCs w:val="32"/>
          <w:shd w:val="clear" w:color="auto" w:fill="FFFFFF"/>
        </w:rPr>
        <w:t>1、贯彻执行国家、省有关港口、水路运输管理的方针、政策和法律、法规，规范港口经营市场和水路运输市场的经营行为，维护平等竞争秩序，指导水路运输行业优化结构、协调发展；结合本市实际，拟订港口、水路运输市场管理规定，经批准后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hint="eastAsia" w:ascii="仿宋" w:hAnsi="仿宋" w:eastAsia="仿宋" w:cs="仿宋"/>
          <w:color w:val="333333"/>
          <w:spacing w:val="-20"/>
          <w:sz w:val="32"/>
          <w:szCs w:val="32"/>
          <w:shd w:val="clear" w:color="auto" w:fill="FFFFFF"/>
        </w:rPr>
        <w:t>2、负责拟订全市港口、水路运输行业的发展战略、中长期规划和年度计划，并组织实施。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hint="eastAsia" w:ascii="仿宋" w:hAnsi="仿宋" w:eastAsia="仿宋" w:cs="仿宋"/>
          <w:color w:val="333333"/>
          <w:spacing w:val="-20"/>
          <w:sz w:val="32"/>
          <w:szCs w:val="32"/>
          <w:shd w:val="clear" w:color="auto" w:fill="FFFFFF"/>
        </w:rPr>
        <w:t>3、监督管理港口经营市场和水路运输市场。负责对全市水路运输及运输服务业市场、港口装卸搬运市场、船舶维修、船舶交易市场、港口砂石产、运、销和水运工程建设市场实施行业管理；负责对港口经营企业及水路运输、水路运输服务业的市场准入的审核或报批；依法负责港区岸线、水域滩地使用权、办理港口经营的审批；对港口和水路运输行业的经营秩序、环境保护等实施监督管理；指导、协调辖区内水运业务，实施水路运输供求关系的调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hint="eastAsia" w:ascii="仿宋" w:hAnsi="仿宋" w:eastAsia="仿宋" w:cs="仿宋"/>
          <w:color w:val="333333"/>
          <w:spacing w:val="-20"/>
          <w:sz w:val="32"/>
          <w:szCs w:val="32"/>
          <w:shd w:val="clear" w:color="auto" w:fill="FFFFFF"/>
        </w:rPr>
        <w:t>4、负责核准全市港口设施建设，搞好港口公用基础设施建设、维护、管理工作；对港口企业的国有资产实施监督，检查、制止和处理侵占港区、破坏港口公用设施等违反《港口法》的行为。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hint="eastAsia" w:ascii="仿宋" w:hAnsi="仿宋" w:eastAsia="仿宋" w:cs="仿宋"/>
          <w:color w:val="333333"/>
          <w:spacing w:val="-20"/>
          <w:sz w:val="32"/>
          <w:szCs w:val="32"/>
          <w:shd w:val="clear" w:color="auto" w:fill="FFFFFF"/>
        </w:rPr>
        <w:t>5、负责指导全市的港口安全生产，依法对港口安全生产情况实施监督检查；负责港口危险货物作业场所的建设审批、港口危险货物作业资质许可，并实施监督。依法制定可能危及社会公共利益的港口危险货物事故应急预案、重大生产安全事故的旅客紧急疏散和救援预案以及预防自然灾害预案，建立健全港口重大生产安全事故的应急救援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hint="eastAsia" w:ascii="仿宋" w:hAnsi="仿宋" w:eastAsia="仿宋" w:cs="仿宋"/>
          <w:color w:val="333333"/>
          <w:spacing w:val="-20"/>
          <w:sz w:val="32"/>
          <w:szCs w:val="32"/>
          <w:shd w:val="clear" w:color="auto" w:fill="FFFFFF"/>
        </w:rPr>
        <w:t>6、负责组织协调重点物资运输、春运、节假日旅游运输和战备军事运输；负责港区防汛抢险物资运输与船舶调度工作。做好水上交通战备工作。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hint="eastAsia" w:ascii="仿宋" w:hAnsi="仿宋" w:eastAsia="仿宋" w:cs="仿宋"/>
          <w:color w:val="333333"/>
          <w:spacing w:val="-20"/>
          <w:sz w:val="32"/>
          <w:szCs w:val="32"/>
          <w:shd w:val="clear" w:color="auto" w:fill="FFFFFF"/>
        </w:rPr>
        <w:t>7、负责全市港口规费的征收和管理。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spacing w:val="-20"/>
          <w:sz w:val="32"/>
          <w:szCs w:val="32"/>
        </w:rPr>
      </w:pPr>
      <w:r>
        <w:rPr>
          <w:rFonts w:hint="eastAsia" w:ascii="仿宋" w:hAnsi="仿宋" w:eastAsia="仿宋" w:cs="仿宋"/>
          <w:color w:val="333333"/>
          <w:spacing w:val="-20"/>
          <w:sz w:val="32"/>
          <w:szCs w:val="32"/>
          <w:shd w:val="clear" w:color="auto" w:fill="FFFFFF"/>
        </w:rPr>
        <w:t>8、负责全市港口和水路运输行业的统计和信息工作。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rFonts w:hint="eastAsia" w:ascii="仿宋" w:hAnsi="仿宋" w:eastAsia="仿宋" w:cs="仿宋"/>
          <w:color w:val="333333"/>
          <w:spacing w:val="-20"/>
          <w:sz w:val="31"/>
          <w:szCs w:val="31"/>
          <w:shd w:val="clear" w:color="auto" w:fill="FFFFFF"/>
        </w:rPr>
      </w:pPr>
      <w:r>
        <w:rPr>
          <w:rFonts w:hint="eastAsia" w:ascii="仿宋" w:hAnsi="仿宋" w:eastAsia="仿宋" w:cs="仿宋"/>
          <w:color w:val="333333"/>
          <w:spacing w:val="-20"/>
          <w:sz w:val="32"/>
          <w:szCs w:val="32"/>
          <w:shd w:val="clear" w:color="auto" w:fill="FFFFFF"/>
        </w:rPr>
        <w:t>9、承办市委、市政府和市交通运输局交办的其他事项。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一般公共预算支出情况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300" w:afterAutospacing="0" w:line="555" w:lineRule="atLeast"/>
        <w:ind w:left="0" w:right="0" w:firstLine="510"/>
        <w:jc w:val="left"/>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ind w:firstLine="566" w:firstLineChars="177"/>
        <w:rPr>
          <w:rFonts w:hint="eastAsia" w:ascii="仿宋" w:hAnsi="仿宋" w:eastAsia="仿宋"/>
          <w:sz w:val="32"/>
          <w:szCs w:val="32"/>
        </w:rPr>
      </w:pPr>
      <w:r>
        <w:rPr>
          <w:rFonts w:hint="eastAsia" w:ascii="仿宋" w:hAnsi="仿宋" w:eastAsia="仿宋"/>
          <w:sz w:val="32"/>
          <w:szCs w:val="32"/>
        </w:rPr>
        <w:t>20</w:t>
      </w:r>
      <w:r>
        <w:rPr>
          <w:rFonts w:hint="eastAsia" w:ascii="仿宋" w:hAnsi="仿宋" w:eastAsia="仿宋"/>
          <w:sz w:val="32"/>
          <w:szCs w:val="32"/>
          <w:lang w:val="en-US" w:eastAsia="zh-CN"/>
        </w:rPr>
        <w:t>21</w:t>
      </w:r>
      <w:r>
        <w:rPr>
          <w:rFonts w:hint="eastAsia" w:ascii="仿宋" w:hAnsi="仿宋" w:eastAsia="仿宋"/>
          <w:sz w:val="32"/>
          <w:szCs w:val="32"/>
        </w:rPr>
        <w:t>年度财政拨款总收入</w:t>
      </w:r>
      <w:r>
        <w:rPr>
          <w:rFonts w:hint="eastAsia" w:eastAsia="仿宋_GB2312"/>
          <w:color w:val="auto"/>
          <w:sz w:val="32"/>
          <w:szCs w:val="32"/>
          <w:lang w:val="en-US" w:eastAsia="zh-CN"/>
        </w:rPr>
        <w:t>447.92</w:t>
      </w:r>
      <w:r>
        <w:rPr>
          <w:rFonts w:hint="eastAsia" w:ascii="仿宋" w:hAnsi="仿宋" w:eastAsia="仿宋"/>
          <w:sz w:val="32"/>
          <w:szCs w:val="32"/>
        </w:rPr>
        <w:t>万元。</w:t>
      </w:r>
    </w:p>
    <w:p>
      <w:pPr>
        <w:pStyle w:val="2"/>
        <w:widowControl/>
        <w:spacing w:beforeAutospacing="0" w:afterAutospacing="0"/>
        <w:ind w:firstLine="566" w:firstLineChars="177"/>
        <w:jc w:val="both"/>
        <w:rPr>
          <w:rFonts w:ascii="仿宋" w:hAnsi="仿宋" w:eastAsia="仿宋" w:cs="Arial"/>
          <w:sz w:val="32"/>
          <w:szCs w:val="32"/>
          <w:shd w:val="clear" w:color="auto" w:fill="auto"/>
        </w:rPr>
      </w:pPr>
      <w:r>
        <w:rPr>
          <w:rFonts w:hint="eastAsia" w:ascii="仿宋" w:hAnsi="仿宋" w:eastAsia="仿宋" w:cs="Arial"/>
          <w:sz w:val="32"/>
          <w:szCs w:val="32"/>
          <w:shd w:val="clear" w:color="auto" w:fill="auto"/>
        </w:rPr>
        <w:t>财政拨款支出决算结构情况。一</w:t>
      </w:r>
      <w:r>
        <w:rPr>
          <w:rFonts w:hint="eastAsia" w:ascii="仿宋" w:hAnsi="仿宋" w:eastAsia="仿宋"/>
          <w:sz w:val="32"/>
          <w:szCs w:val="32"/>
          <w:shd w:val="clear" w:color="auto" w:fill="auto"/>
        </w:rPr>
        <w:t>般公共预算</w:t>
      </w:r>
      <w:r>
        <w:rPr>
          <w:rFonts w:hint="eastAsia" w:ascii="仿宋" w:hAnsi="仿宋" w:eastAsia="仿宋" w:cs="Arial"/>
          <w:sz w:val="32"/>
          <w:szCs w:val="32"/>
          <w:shd w:val="clear" w:color="auto" w:fill="auto"/>
        </w:rPr>
        <w:t>财政拨款支出按功能科目分类，一般公共服务支出</w:t>
      </w:r>
      <w:r>
        <w:rPr>
          <w:rFonts w:hint="eastAsia" w:ascii="仿宋" w:hAnsi="仿宋" w:eastAsia="仿宋" w:cs="Arial"/>
          <w:sz w:val="32"/>
          <w:szCs w:val="32"/>
          <w:shd w:val="clear" w:color="auto" w:fill="auto"/>
          <w:lang w:val="en-US" w:eastAsia="zh-CN"/>
        </w:rPr>
        <w:t>0</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0</w:t>
      </w:r>
      <w:r>
        <w:rPr>
          <w:rFonts w:hint="eastAsia" w:ascii="仿宋" w:hAnsi="仿宋" w:eastAsia="仿宋" w:cs="Arial"/>
          <w:sz w:val="32"/>
          <w:szCs w:val="32"/>
          <w:shd w:val="clear" w:color="auto" w:fill="auto"/>
        </w:rPr>
        <w:t>%；教育支出0万元，占本年财政拨款支出的0%；社会保障和就业支出</w:t>
      </w:r>
      <w:r>
        <w:rPr>
          <w:rFonts w:hint="eastAsia" w:ascii="仿宋" w:hAnsi="仿宋" w:eastAsia="仿宋" w:cs="Arial"/>
          <w:sz w:val="32"/>
          <w:szCs w:val="32"/>
          <w:shd w:val="clear" w:color="auto" w:fill="auto"/>
          <w:lang w:val="en-US" w:eastAsia="zh-CN"/>
        </w:rPr>
        <w:t>17.67</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3.95</w:t>
      </w:r>
      <w:r>
        <w:rPr>
          <w:rFonts w:hint="eastAsia" w:ascii="仿宋" w:hAnsi="仿宋" w:eastAsia="仿宋" w:cs="Arial"/>
          <w:sz w:val="32"/>
          <w:szCs w:val="32"/>
          <w:shd w:val="clear" w:color="auto" w:fill="auto"/>
        </w:rPr>
        <w:t>%；医疗卫生与计划生育支出</w:t>
      </w:r>
      <w:r>
        <w:rPr>
          <w:rFonts w:hint="eastAsia" w:ascii="仿宋" w:hAnsi="仿宋" w:eastAsia="仿宋" w:cs="Arial"/>
          <w:sz w:val="32"/>
          <w:szCs w:val="32"/>
          <w:shd w:val="clear" w:color="auto" w:fill="auto"/>
          <w:lang w:val="en-US" w:eastAsia="zh-CN"/>
        </w:rPr>
        <w:t>8.25</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1.84</w:t>
      </w:r>
      <w:r>
        <w:rPr>
          <w:rFonts w:hint="eastAsia" w:ascii="仿宋" w:hAnsi="仿宋" w:eastAsia="仿宋" w:cs="Arial"/>
          <w:sz w:val="32"/>
          <w:szCs w:val="32"/>
          <w:shd w:val="clear" w:color="auto" w:fill="auto"/>
        </w:rPr>
        <w:t>%；住房保障支出</w:t>
      </w:r>
      <w:r>
        <w:rPr>
          <w:rFonts w:hint="eastAsia" w:ascii="仿宋" w:hAnsi="仿宋" w:eastAsia="仿宋" w:cs="Arial"/>
          <w:sz w:val="32"/>
          <w:szCs w:val="32"/>
          <w:shd w:val="clear" w:color="auto" w:fill="auto"/>
          <w:lang w:val="en-US" w:eastAsia="zh-CN"/>
        </w:rPr>
        <w:t>12.31</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2.75</w:t>
      </w:r>
      <w:r>
        <w:rPr>
          <w:rFonts w:hint="eastAsia" w:ascii="仿宋" w:hAnsi="仿宋" w:eastAsia="仿宋" w:cs="Arial"/>
          <w:sz w:val="32"/>
          <w:szCs w:val="32"/>
          <w:shd w:val="clear" w:color="auto" w:fill="auto"/>
        </w:rPr>
        <w:t>%；农林水支出0万元，占本年财政拨款支出0%；交通运输支出</w:t>
      </w:r>
      <w:r>
        <w:rPr>
          <w:rFonts w:hint="eastAsia" w:eastAsia="仿宋_GB2312"/>
          <w:color w:val="auto"/>
          <w:sz w:val="32"/>
          <w:szCs w:val="32"/>
          <w:lang w:val="en-US" w:eastAsia="zh-CN"/>
        </w:rPr>
        <w:t>409.69</w:t>
      </w:r>
      <w:r>
        <w:rPr>
          <w:rFonts w:hint="eastAsia" w:ascii="仿宋" w:hAnsi="仿宋" w:eastAsia="仿宋" w:cs="Arial"/>
          <w:sz w:val="32"/>
          <w:szCs w:val="32"/>
          <w:shd w:val="clear" w:color="auto" w:fill="auto"/>
        </w:rPr>
        <w:t>万元，占本年财政拨款支出的</w:t>
      </w:r>
      <w:r>
        <w:rPr>
          <w:rFonts w:hint="eastAsia" w:ascii="仿宋" w:hAnsi="仿宋" w:eastAsia="仿宋" w:cs="Arial"/>
          <w:sz w:val="32"/>
          <w:szCs w:val="32"/>
          <w:shd w:val="clear" w:color="auto" w:fill="auto"/>
          <w:lang w:val="en-US" w:eastAsia="zh-CN"/>
        </w:rPr>
        <w:t>91.46</w:t>
      </w:r>
      <w:r>
        <w:rPr>
          <w:rFonts w:hint="eastAsia" w:ascii="仿宋" w:hAnsi="仿宋" w:eastAsia="仿宋" w:cs="Arial"/>
          <w:sz w:val="32"/>
          <w:szCs w:val="32"/>
          <w:shd w:val="clear" w:color="auto" w:fill="auto"/>
        </w:rPr>
        <w:t>%；其他支出0万元，占本年财政拨款支出的0%。</w:t>
      </w:r>
      <w:r>
        <w:rPr>
          <w:rFonts w:hint="eastAsia" w:ascii="Arial" w:hAnsi="Arial" w:eastAsia="仿宋" w:cs="Arial"/>
          <w:sz w:val="32"/>
          <w:szCs w:val="32"/>
          <w:shd w:val="clear" w:color="auto" w:fill="auto"/>
        </w:rPr>
        <w:t> </w:t>
      </w:r>
    </w:p>
    <w:p>
      <w:pPr>
        <w:pStyle w:val="5"/>
        <w:widowControl/>
        <w:spacing w:line="600" w:lineRule="exact"/>
        <w:ind w:left="0" w:leftChars="0" w:firstLine="0" w:firstLineChars="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5"/>
        <w:jc w:val="left"/>
        <w:rPr>
          <w:rFonts w:eastAsia="仿宋_GB2312"/>
          <w:sz w:val="32"/>
          <w:szCs w:val="32"/>
        </w:rPr>
      </w:pPr>
      <w:r>
        <w:rPr>
          <w:rFonts w:eastAsia="仿宋_GB2312"/>
          <w:color w:val="auto"/>
          <w:sz w:val="32"/>
          <w:szCs w:val="32"/>
        </w:rPr>
        <w:t>2021年本部门项目支出预算</w:t>
      </w:r>
      <w:r>
        <w:rPr>
          <w:rFonts w:hint="eastAsia" w:eastAsia="仿宋_GB2312"/>
          <w:color w:val="auto"/>
          <w:sz w:val="32"/>
          <w:szCs w:val="32"/>
          <w:lang w:val="en-US" w:eastAsia="zh-CN"/>
        </w:rPr>
        <w:t>30</w:t>
      </w:r>
      <w:r>
        <w:rPr>
          <w:rFonts w:eastAsia="仿宋_GB2312"/>
          <w:color w:val="auto"/>
          <w:sz w:val="32"/>
          <w:szCs w:val="32"/>
        </w:rPr>
        <w:t>万元，</w:t>
      </w:r>
      <w:r>
        <w:rPr>
          <w:rFonts w:hint="eastAsia" w:eastAsia="仿宋_GB2312"/>
          <w:color w:val="auto"/>
          <w:sz w:val="32"/>
          <w:szCs w:val="32"/>
          <w:lang w:eastAsia="zh-CN"/>
        </w:rPr>
        <w:t>其中航标</w:t>
      </w:r>
      <w:r>
        <w:rPr>
          <w:rFonts w:hint="eastAsia" w:eastAsia="仿宋_GB2312"/>
          <w:color w:val="auto"/>
          <w:sz w:val="32"/>
          <w:szCs w:val="32"/>
        </w:rPr>
        <w:t>维护</w:t>
      </w:r>
      <w:r>
        <w:rPr>
          <w:rFonts w:eastAsia="仿宋_GB2312"/>
          <w:color w:val="auto"/>
          <w:sz w:val="32"/>
          <w:szCs w:val="32"/>
        </w:rPr>
        <w:t>经费支出</w:t>
      </w:r>
      <w:r>
        <w:rPr>
          <w:rFonts w:hint="eastAsia" w:eastAsia="仿宋_GB2312"/>
          <w:color w:val="auto"/>
          <w:sz w:val="32"/>
          <w:szCs w:val="32"/>
          <w:lang w:val="en-US" w:eastAsia="zh-CN"/>
        </w:rPr>
        <w:t>30</w:t>
      </w:r>
      <w:r>
        <w:rPr>
          <w:rFonts w:eastAsia="仿宋_GB2312"/>
          <w:color w:val="auto"/>
          <w:sz w:val="32"/>
          <w:szCs w:val="32"/>
        </w:rPr>
        <w:t>万元，</w:t>
      </w:r>
      <w:r>
        <w:rPr>
          <w:rFonts w:hint="eastAsia" w:eastAsia="仿宋_GB2312"/>
          <w:color w:val="auto"/>
          <w:sz w:val="32"/>
          <w:szCs w:val="32"/>
          <w:lang w:eastAsia="zh-CN"/>
        </w:rPr>
        <w:t>主要</w:t>
      </w:r>
      <w:r>
        <w:rPr>
          <w:rFonts w:hint="eastAsia" w:ascii="仿宋_GB2312" w:eastAsia="仿宋_GB2312"/>
          <w:sz w:val="32"/>
          <w:szCs w:val="32"/>
        </w:rPr>
        <w:t>完成了5处锚地10条航标船及岸标设施的规范投放和专业化日常管理，有效保障进港作业船舶规范、安全锚泊。</w:t>
      </w:r>
    </w:p>
    <w:p>
      <w:pPr>
        <w:pStyle w:val="5"/>
        <w:widowControl/>
        <w:spacing w:line="600" w:lineRule="exact"/>
        <w:ind w:left="0" w:leftChars="0" w:firstLine="0" w:firstLineChars="0"/>
        <w:jc w:val="left"/>
        <w:rPr>
          <w:rFonts w:ascii="Times New Roman" w:hAnsi="Times New Roman" w:eastAsia="黑体"/>
          <w:sz w:val="32"/>
          <w:szCs w:val="32"/>
        </w:rPr>
      </w:pPr>
      <w:r>
        <w:rPr>
          <w:rFonts w:hint="eastAsia" w:ascii="Times New Roman" w:hAnsi="Times New Roman" w:eastAsia="黑体"/>
          <w:sz w:val="32"/>
          <w:szCs w:val="32"/>
        </w:rPr>
        <w:t>三、</w:t>
      </w:r>
      <w:r>
        <w:rPr>
          <w:rFonts w:ascii="Times New Roman" w:hAnsi="Times New Roman" w:eastAsia="黑体"/>
          <w:sz w:val="32"/>
          <w:szCs w:val="32"/>
        </w:rPr>
        <w:t>政府性基金预算支出情况</w:t>
      </w:r>
    </w:p>
    <w:p>
      <w:pPr>
        <w:widowControl/>
        <w:spacing w:line="600" w:lineRule="exact"/>
        <w:ind w:firstLine="645"/>
        <w:jc w:val="left"/>
        <w:rPr>
          <w:rFonts w:hint="eastAsia" w:eastAsia="仿宋_GB2312" w:cs="Times New Roman"/>
          <w:kern w:val="2"/>
          <w:sz w:val="32"/>
          <w:szCs w:val="32"/>
          <w:lang w:val="en-US" w:eastAsia="zh-CN" w:bidi="ar-SA"/>
        </w:rPr>
      </w:pPr>
      <w:r>
        <w:rPr>
          <w:rFonts w:hint="eastAsia" w:eastAsia="仿宋_GB2312" w:cs="Times New Roman"/>
          <w:kern w:val="2"/>
          <w:sz w:val="32"/>
          <w:szCs w:val="32"/>
          <w:lang w:val="en-US" w:eastAsia="zh-CN" w:bidi="ar-SA"/>
        </w:rPr>
        <w:t>我单位无政府性基金预算支出。</w:t>
      </w:r>
    </w:p>
    <w:p>
      <w:pPr>
        <w:widowControl/>
        <w:spacing w:line="600" w:lineRule="exact"/>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spacing w:line="560" w:lineRule="exact"/>
        <w:ind w:firstLine="640" w:firstLineChars="200"/>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rPr>
        <w:t>2021年度，我中心落实责任，扎实做好安全监管基础工作</w:t>
      </w:r>
      <w:r>
        <w:rPr>
          <w:rFonts w:hint="eastAsia" w:ascii="仿宋" w:hAnsi="仿宋" w:eastAsia="仿宋" w:cs="仿宋"/>
          <w:b w:val="0"/>
          <w:bCs w:val="0"/>
          <w:sz w:val="32"/>
          <w:szCs w:val="32"/>
          <w:lang w:eastAsia="zh-CN"/>
        </w:rPr>
        <w:t>，</w:t>
      </w:r>
      <w:r>
        <w:rPr>
          <w:rFonts w:hint="eastAsia" w:ascii="仿宋_GB2312" w:eastAsia="仿宋_GB2312"/>
          <w:sz w:val="32"/>
          <w:szCs w:val="32"/>
        </w:rPr>
        <w:t>取得</w:t>
      </w:r>
      <w:r>
        <w:rPr>
          <w:rFonts w:hint="eastAsia" w:ascii="仿宋_GB2312" w:eastAsia="仿宋_GB2312"/>
          <w:sz w:val="32"/>
          <w:szCs w:val="32"/>
          <w:lang w:eastAsia="zh-CN"/>
        </w:rPr>
        <w:t>了</w:t>
      </w:r>
      <w:r>
        <w:rPr>
          <w:rFonts w:hint="eastAsia" w:ascii="仿宋_GB2312" w:eastAsia="仿宋_GB2312"/>
          <w:sz w:val="32"/>
          <w:szCs w:val="32"/>
        </w:rPr>
        <w:t>一定成效。</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首先是</w:t>
      </w:r>
      <w:r>
        <w:rPr>
          <w:rFonts w:hint="eastAsia" w:ascii="仿宋" w:hAnsi="仿宋" w:eastAsia="仿宋" w:cs="仿宋"/>
          <w:sz w:val="32"/>
          <w:szCs w:val="32"/>
        </w:rPr>
        <w:t>强化安全监管举措。一是在落实企业例行安全检查、签责任状等常规动作的基础上，我中心结合实际梳理制定了37项海事信用信息评价项目，按照五个等级计分标准进行监督评价，并将评价结果上报上级部门。今年我市2家水运企业（一海、万彤）参加了常德市信用办组织的失信企业信用修复培训。二是严格核查企业安全经费的提取、使用情况，特别是企业安责险和船舶船员的保险购买工作，到目前为止，辖区企业安责险、船舶船员保险和渡船购保率达100％。三是强化科技监管手段，逐步推进企业普货运输船舶监控安装工作。目前，久春公司12艘普货船舶已全部安装视频监控。</w:t>
      </w:r>
    </w:p>
    <w:p>
      <w:pPr>
        <w:pStyle w:val="2"/>
        <w:widowControl/>
        <w:numPr>
          <w:ilvl w:val="0"/>
          <w:numId w:val="0"/>
        </w:numPr>
        <w:spacing w:beforeAutospacing="0" w:afterAutospacing="0"/>
        <w:ind w:firstLine="640" w:firstLineChars="200"/>
        <w:jc w:val="both"/>
        <w:rPr>
          <w:rFonts w:hint="eastAsia" w:ascii="仿宋" w:hAnsi="仿宋" w:eastAsia="仿宋" w:cs="仿宋"/>
          <w:b/>
          <w:sz w:val="32"/>
          <w:szCs w:val="32"/>
        </w:rPr>
      </w:pPr>
      <w:r>
        <w:rPr>
          <w:rFonts w:hint="eastAsia" w:ascii="仿宋" w:hAnsi="仿宋" w:eastAsia="仿宋" w:cs="仿宋"/>
          <w:sz w:val="32"/>
          <w:szCs w:val="32"/>
          <w:lang w:eastAsia="zh-CN"/>
        </w:rPr>
        <w:t>其次是</w:t>
      </w:r>
      <w:r>
        <w:rPr>
          <w:rFonts w:hint="eastAsia" w:ascii="仿宋" w:hAnsi="仿宋" w:eastAsia="仿宋" w:cs="仿宋"/>
          <w:sz w:val="32"/>
          <w:szCs w:val="32"/>
        </w:rPr>
        <w:t>加大教育培训力度。一是在积极督促各企业参加常德市线上培训的基础上，我中心采取轮训的方式，组织开展了5期持证船员安全培训班，培训船员630人次，对考试合格的发放了培训合格证。二是协调培训机构来津开展了一期船员适任培训班，80名学员参加培训考试并取得船员适任资格。</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pStyle w:val="2"/>
        <w:widowControl/>
        <w:shd w:val="clear" w:fill="FFFFFF"/>
        <w:spacing w:line="480" w:lineRule="auto"/>
        <w:ind w:left="0" w:firstLine="48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 xml:space="preserve">1、预算编制工作有待细化。预算编制不够明确和细化，预算编制的合理性需要提高，预算执行力度还要进一步加强。            </w:t>
      </w:r>
    </w:p>
    <w:p>
      <w:pPr>
        <w:pStyle w:val="2"/>
        <w:widowControl/>
        <w:shd w:val="clear" w:fill="FFFFFF"/>
        <w:spacing w:line="480" w:lineRule="auto"/>
        <w:ind w:left="0" w:firstLine="480"/>
        <w:jc w:val="both"/>
        <w:rPr>
          <w:rFonts w:eastAsia="仿宋_GB2312"/>
          <w:sz w:val="32"/>
          <w:szCs w:val="32"/>
        </w:rPr>
      </w:pPr>
      <w:r>
        <w:rPr>
          <w:rFonts w:hint="eastAsia" w:ascii="仿宋" w:hAnsi="仿宋" w:eastAsia="仿宋" w:cs="仿宋_GB2312"/>
          <w:kern w:val="2"/>
          <w:sz w:val="32"/>
          <w:szCs w:val="32"/>
          <w:lang w:val="en-US" w:eastAsia="zh-CN" w:bidi="ar-SA"/>
        </w:rPr>
        <w:t>2、公用经费控制有一定难度，基本为刚性支出。</w:t>
      </w:r>
    </w:p>
    <w:p>
      <w:pPr>
        <w:widowControl/>
        <w:spacing w:line="600" w:lineRule="exact"/>
        <w:ind w:firstLine="640" w:firstLineChars="200"/>
        <w:jc w:val="left"/>
        <w:rPr>
          <w:rFonts w:eastAsia="黑体"/>
          <w:sz w:val="32"/>
          <w:szCs w:val="32"/>
        </w:rPr>
      </w:pPr>
      <w:r>
        <w:rPr>
          <w:rFonts w:hint="eastAsia" w:eastAsia="黑体"/>
          <w:sz w:val="32"/>
          <w:szCs w:val="32"/>
          <w:lang w:eastAsia="zh-CN"/>
        </w:rPr>
        <w:t>六</w:t>
      </w:r>
      <w:r>
        <w:rPr>
          <w:rFonts w:eastAsia="黑体"/>
          <w:sz w:val="32"/>
          <w:szCs w:val="32"/>
        </w:rPr>
        <w:t>、下一步改进措施</w:t>
      </w:r>
    </w:p>
    <w:p>
      <w:pPr>
        <w:pStyle w:val="2"/>
        <w:widowControl/>
        <w:shd w:val="clear" w:fill="FFFFFF"/>
        <w:spacing w:line="480" w:lineRule="auto"/>
        <w:ind w:left="0" w:firstLine="48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1、细化预算编制工作，认真做好预算的编制。</w:t>
      </w:r>
    </w:p>
    <w:p>
      <w:pPr>
        <w:pStyle w:val="2"/>
        <w:widowControl/>
        <w:shd w:val="clear" w:fill="FFFFFF"/>
        <w:spacing w:line="480" w:lineRule="auto"/>
        <w:ind w:left="0" w:firstLine="48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2、加强财务管理，严格财务审核。</w:t>
      </w:r>
    </w:p>
    <w:p>
      <w:pPr>
        <w:pStyle w:val="2"/>
        <w:widowControl/>
        <w:shd w:val="clear" w:fill="FFFFFF"/>
        <w:spacing w:line="480" w:lineRule="auto"/>
        <w:ind w:left="0" w:firstLine="480"/>
        <w:jc w:val="both"/>
        <w:rPr>
          <w:rFonts w:hint="eastAsia" w:ascii="仿宋" w:hAnsi="仿宋" w:eastAsia="仿宋" w:cs="仿宋_GB2312"/>
          <w:kern w:val="2"/>
          <w:sz w:val="32"/>
          <w:szCs w:val="32"/>
          <w:lang w:val="en-US" w:eastAsia="zh-CN" w:bidi="ar-SA"/>
        </w:rPr>
      </w:pPr>
      <w:r>
        <w:rPr>
          <w:rFonts w:hint="eastAsia" w:ascii="仿宋" w:hAnsi="仿宋" w:eastAsia="仿宋" w:cs="仿宋_GB2312"/>
          <w:kern w:val="2"/>
          <w:sz w:val="32"/>
          <w:szCs w:val="32"/>
          <w:lang w:val="en-US" w:eastAsia="zh-CN" w:bidi="ar-SA"/>
        </w:rPr>
        <w:t>3、完善资产管理，抓好“三公”经费控制。</w:t>
      </w:r>
    </w:p>
    <w:p>
      <w:pPr>
        <w:pStyle w:val="2"/>
        <w:widowControl/>
        <w:shd w:val="clear" w:fill="FFFFFF"/>
        <w:spacing w:line="480" w:lineRule="auto"/>
        <w:ind w:left="0" w:firstLine="480"/>
        <w:jc w:val="both"/>
        <w:rPr>
          <w:rFonts w:eastAsia="黑体"/>
          <w:sz w:val="32"/>
          <w:szCs w:val="32"/>
        </w:rPr>
      </w:pPr>
      <w:r>
        <w:rPr>
          <w:rFonts w:hint="eastAsia" w:ascii="仿宋" w:hAnsi="仿宋" w:eastAsia="仿宋" w:cs="仿宋_GB2312"/>
          <w:kern w:val="2"/>
          <w:sz w:val="32"/>
          <w:szCs w:val="32"/>
          <w:lang w:val="en-US" w:eastAsia="zh-CN" w:bidi="ar-SA"/>
        </w:rPr>
        <w:t>4、对相关人员加强培训，特别是针对《预算法》《行政事业单位会计制度》等学习培训，规范部门预算收支核算，切实提高部门预算收支管理水平。</w:t>
      </w:r>
    </w:p>
    <w:p>
      <w:pPr>
        <w:widowControl/>
        <w:spacing w:line="600" w:lineRule="exact"/>
        <w:ind w:firstLine="645"/>
        <w:jc w:val="left"/>
      </w:pPr>
      <w:r>
        <w:rPr>
          <w:rFonts w:hint="eastAsia" w:eastAsia="黑体"/>
          <w:sz w:val="32"/>
          <w:szCs w:val="32"/>
          <w:lang w:eastAsia="zh-CN"/>
        </w:rPr>
        <w:t>七</w:t>
      </w:r>
      <w:r>
        <w:rPr>
          <w:rFonts w:eastAsia="黑体"/>
          <w:sz w:val="32"/>
          <w:szCs w:val="32"/>
        </w:rPr>
        <w:t>、其他需要说明的情况</w:t>
      </w:r>
    </w:p>
    <w:p>
      <w:pPr>
        <w:rPr>
          <w:rFonts w:hint="default" w:eastAsia="宋体"/>
          <w:lang w:val="en-US" w:eastAsia="zh-CN"/>
        </w:rPr>
      </w:pPr>
      <w:r>
        <w:rPr>
          <w:rFonts w:hint="eastAsia"/>
          <w:lang w:val="en-US" w:eastAsia="zh-CN"/>
        </w:rPr>
        <w:t xml:space="preserve">     </w:t>
      </w:r>
      <w:r>
        <w:rPr>
          <w:rFonts w:hint="eastAsia" w:ascii="仿宋" w:hAnsi="仿宋" w:eastAsia="仿宋" w:cs="仿宋"/>
          <w:lang w:val="en-US" w:eastAsia="zh-CN"/>
        </w:rPr>
        <w:t xml:space="preserve">  </w:t>
      </w:r>
      <w:r>
        <w:rPr>
          <w:rFonts w:hint="eastAsia" w:ascii="仿宋" w:hAnsi="仿宋" w:eastAsia="仿宋" w:cs="仿宋"/>
          <w:sz w:val="32"/>
          <w:szCs w:val="32"/>
          <w:lang w:val="en-US" w:eastAsia="zh-CN"/>
        </w:rPr>
        <w:t>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EB0D49"/>
    <w:multiLevelType w:val="singleLevel"/>
    <w:tmpl w:val="E4EB0D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275913E4"/>
    <w:rsid w:val="3A076E09"/>
    <w:rsid w:val="3B8F3226"/>
    <w:rsid w:val="5A9D5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Administrator</cp:lastModifiedBy>
  <dcterms:modified xsi:type="dcterms:W3CDTF">2022-03-28T06:39:26Z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