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津市市道路运输服务中心2021年度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5"/>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widowControl/>
        <w:spacing w:line="480" w:lineRule="auto"/>
        <w:ind w:firstLine="640"/>
        <w:rPr>
          <w:rFonts w:ascii="仿宋" w:hAnsi="仿宋" w:eastAsia="仿宋" w:cs="仿宋"/>
          <w:color w:val="222222"/>
          <w:spacing w:val="-20"/>
          <w:kern w:val="0"/>
          <w:sz w:val="32"/>
          <w:szCs w:val="32"/>
        </w:rPr>
      </w:pPr>
      <w:r>
        <w:rPr>
          <w:rFonts w:hint="eastAsia" w:ascii="仿宋" w:hAnsi="仿宋" w:eastAsia="仿宋" w:cs="仿宋"/>
          <w:color w:val="222222"/>
          <w:spacing w:val="-20"/>
          <w:kern w:val="0"/>
          <w:sz w:val="32"/>
          <w:szCs w:val="32"/>
        </w:rPr>
        <w:t>（一）机构、人员构成</w:t>
      </w:r>
    </w:p>
    <w:p>
      <w:pPr>
        <w:spacing w:line="480" w:lineRule="auto"/>
        <w:ind w:firstLine="640" w:firstLineChars="200"/>
        <w:rPr>
          <w:rFonts w:ascii="仿宋" w:hAnsi="仿宋" w:eastAsia="仿宋"/>
          <w:sz w:val="32"/>
          <w:szCs w:val="32"/>
        </w:rPr>
      </w:pPr>
      <w:r>
        <w:rPr>
          <w:rFonts w:hint="eastAsia" w:ascii="仿宋" w:hAnsi="仿宋" w:eastAsia="仿宋"/>
          <w:sz w:val="32"/>
          <w:szCs w:val="32"/>
        </w:rPr>
        <w:t>根据编委核定，我单位内设股室8个，全部纳入20</w:t>
      </w:r>
      <w:r>
        <w:rPr>
          <w:rFonts w:hint="eastAsia" w:ascii="仿宋" w:hAnsi="仿宋" w:eastAsia="仿宋"/>
          <w:sz w:val="32"/>
          <w:szCs w:val="32"/>
          <w:lang w:val="en-US" w:eastAsia="zh-CN"/>
        </w:rPr>
        <w:t>21</w:t>
      </w:r>
      <w:r>
        <w:rPr>
          <w:rFonts w:hint="eastAsia" w:ascii="仿宋" w:hAnsi="仿宋" w:eastAsia="仿宋"/>
          <w:sz w:val="32"/>
          <w:szCs w:val="32"/>
        </w:rPr>
        <w:t>年部门预算编制范围。</w:t>
      </w:r>
    </w:p>
    <w:p>
      <w:pPr>
        <w:spacing w:line="480" w:lineRule="auto"/>
        <w:ind w:firstLine="640" w:firstLineChars="200"/>
        <w:rPr>
          <w:rFonts w:ascii="仿宋" w:hAnsi="仿宋" w:eastAsia="仿宋"/>
          <w:sz w:val="32"/>
          <w:szCs w:val="32"/>
        </w:rPr>
      </w:pPr>
      <w:r>
        <w:rPr>
          <w:rFonts w:hint="eastAsia" w:ascii="仿宋" w:hAnsi="仿宋" w:eastAsia="仿宋"/>
          <w:sz w:val="32"/>
          <w:szCs w:val="32"/>
        </w:rPr>
        <w:t>内设股室分别是：综合办公室、财务股、安全应急服务股、机动车维修及车辆技术服务股、城市公共客运股、道路客运服务股、货运物流服务股、驾培和从业人员服务股等八个内设机构。</w:t>
      </w:r>
    </w:p>
    <w:p>
      <w:pPr>
        <w:widowControl/>
        <w:spacing w:line="480" w:lineRule="auto"/>
        <w:ind w:firstLine="640"/>
        <w:rPr>
          <w:rFonts w:ascii="仿宋" w:hAnsi="仿宋" w:eastAsia="仿宋" w:cs="仿宋"/>
          <w:color w:val="222222"/>
          <w:spacing w:val="-20"/>
          <w:kern w:val="0"/>
          <w:sz w:val="32"/>
          <w:szCs w:val="32"/>
        </w:rPr>
      </w:pPr>
      <w:r>
        <w:rPr>
          <w:rFonts w:hint="eastAsia" w:ascii="仿宋" w:hAnsi="仿宋" w:eastAsia="仿宋" w:cs="仿宋"/>
          <w:color w:val="222222"/>
          <w:spacing w:val="-20"/>
          <w:kern w:val="0"/>
          <w:sz w:val="32"/>
          <w:szCs w:val="32"/>
        </w:rPr>
        <w:t>（二）单位主要职责</w:t>
      </w:r>
    </w:p>
    <w:p>
      <w:pPr>
        <w:spacing w:line="540" w:lineRule="auto"/>
        <w:ind w:firstLine="640" w:firstLineChars="200"/>
        <w:rPr>
          <w:rFonts w:ascii="仿宋" w:hAnsi="仿宋" w:eastAsia="仿宋"/>
          <w:sz w:val="32"/>
          <w:szCs w:val="32"/>
        </w:rPr>
      </w:pPr>
      <w:r>
        <w:rPr>
          <w:rFonts w:hint="eastAsia" w:ascii="仿宋" w:hAnsi="仿宋" w:eastAsia="仿宋"/>
          <w:sz w:val="32"/>
          <w:szCs w:val="32"/>
        </w:rPr>
        <w:t>1、负责国家和省有关道路运输法律法规和方针政策的宣传普及工作。</w:t>
      </w:r>
    </w:p>
    <w:p>
      <w:pPr>
        <w:spacing w:line="540" w:lineRule="auto"/>
        <w:ind w:firstLine="640" w:firstLineChars="200"/>
        <w:rPr>
          <w:rFonts w:ascii="仿宋" w:hAnsi="仿宋" w:eastAsia="仿宋"/>
          <w:sz w:val="32"/>
          <w:szCs w:val="32"/>
        </w:rPr>
      </w:pPr>
      <w:r>
        <w:rPr>
          <w:rFonts w:hint="eastAsia" w:ascii="仿宋" w:hAnsi="仿宋" w:eastAsia="仿宋"/>
          <w:sz w:val="32"/>
          <w:szCs w:val="32"/>
        </w:rPr>
        <w:t>2、参与编制全市道路运输行业中长期发展规划和道路运输、交通物流业等发展专项规划，参与起草道路运输管理规范性文件。</w:t>
      </w:r>
    </w:p>
    <w:p>
      <w:pPr>
        <w:spacing w:line="540" w:lineRule="auto"/>
        <w:ind w:firstLine="640" w:firstLineChars="200"/>
        <w:rPr>
          <w:rFonts w:ascii="仿宋" w:hAnsi="仿宋" w:eastAsia="仿宋"/>
          <w:sz w:val="32"/>
          <w:szCs w:val="32"/>
        </w:rPr>
      </w:pPr>
      <w:r>
        <w:rPr>
          <w:rFonts w:hint="eastAsia" w:ascii="仿宋" w:hAnsi="仿宋" w:eastAsia="仿宋"/>
          <w:sz w:val="32"/>
          <w:szCs w:val="32"/>
        </w:rPr>
        <w:t>3、协助市交通运输局做好市本级及市辖区道路运输经营及道路运输相关业务行政许可申请材料的核查；承担全市道路运输行业运行发展、管理服务等事务性工作；参与相关安全应急事务性工作。</w:t>
      </w:r>
    </w:p>
    <w:p>
      <w:pPr>
        <w:spacing w:line="540" w:lineRule="auto"/>
        <w:ind w:firstLine="640" w:firstLineChars="200"/>
        <w:rPr>
          <w:rFonts w:ascii="仿宋" w:hAnsi="仿宋" w:eastAsia="仿宋"/>
          <w:sz w:val="32"/>
          <w:szCs w:val="32"/>
        </w:rPr>
      </w:pPr>
      <w:r>
        <w:rPr>
          <w:rFonts w:hint="eastAsia" w:ascii="仿宋" w:hAnsi="仿宋" w:eastAsia="仿宋"/>
          <w:sz w:val="32"/>
          <w:szCs w:val="32"/>
        </w:rPr>
        <w:t>4、承担市本级及市辖区道路运输、城市公共客运及相关业务领域的质量信誉考核、信用体系建设等事务性工作。</w:t>
      </w:r>
    </w:p>
    <w:p>
      <w:pPr>
        <w:spacing w:line="540" w:lineRule="auto"/>
        <w:ind w:firstLine="640" w:firstLineChars="200"/>
        <w:rPr>
          <w:rFonts w:ascii="仿宋" w:hAnsi="仿宋" w:eastAsia="仿宋"/>
          <w:sz w:val="32"/>
          <w:szCs w:val="32"/>
        </w:rPr>
      </w:pPr>
      <w:r>
        <w:rPr>
          <w:rFonts w:hint="eastAsia" w:ascii="仿宋" w:hAnsi="仿宋" w:eastAsia="仿宋"/>
          <w:sz w:val="32"/>
          <w:szCs w:val="32"/>
        </w:rPr>
        <w:t>5、参与提出有关道路客货运输、车辆维修、机动车驾驶员培训、城市公共客运价格的调整建议。</w:t>
      </w:r>
    </w:p>
    <w:p>
      <w:pPr>
        <w:spacing w:line="540" w:lineRule="auto"/>
        <w:ind w:firstLine="640" w:firstLineChars="200"/>
        <w:rPr>
          <w:rFonts w:ascii="仿宋" w:hAnsi="仿宋" w:eastAsia="仿宋"/>
          <w:sz w:val="32"/>
          <w:szCs w:val="32"/>
        </w:rPr>
      </w:pPr>
      <w:r>
        <w:rPr>
          <w:rFonts w:hint="eastAsia" w:ascii="仿宋" w:hAnsi="仿宋" w:eastAsia="仿宋"/>
          <w:sz w:val="32"/>
          <w:szCs w:val="32"/>
        </w:rPr>
        <w:t>6、负责道路运输、城市公共客运市场运行监测、</w:t>
      </w:r>
      <w:bookmarkStart w:id="0" w:name="_Hlk10448919"/>
      <w:r>
        <w:rPr>
          <w:rFonts w:hint="eastAsia" w:ascii="仿宋" w:hAnsi="仿宋" w:eastAsia="仿宋"/>
          <w:sz w:val="32"/>
          <w:szCs w:val="32"/>
        </w:rPr>
        <w:t>行业统计分析、政策评估工作；</w:t>
      </w:r>
      <w:bookmarkEnd w:id="0"/>
      <w:r>
        <w:rPr>
          <w:rFonts w:hint="eastAsia" w:ascii="仿宋" w:hAnsi="仿宋" w:eastAsia="仿宋"/>
          <w:sz w:val="32"/>
          <w:szCs w:val="32"/>
        </w:rPr>
        <w:t>承担行业信息化建设工作、道路运输车辆动态监控和联网联控工作。</w:t>
      </w:r>
    </w:p>
    <w:p>
      <w:pPr>
        <w:spacing w:line="540" w:lineRule="auto"/>
        <w:ind w:firstLine="640" w:firstLineChars="200"/>
        <w:rPr>
          <w:rFonts w:ascii="仿宋" w:hAnsi="仿宋" w:eastAsia="仿宋"/>
          <w:sz w:val="32"/>
          <w:szCs w:val="32"/>
        </w:rPr>
      </w:pPr>
      <w:r>
        <w:rPr>
          <w:rFonts w:hint="eastAsia" w:ascii="仿宋" w:hAnsi="仿宋" w:eastAsia="仿宋"/>
          <w:sz w:val="32"/>
          <w:szCs w:val="32"/>
        </w:rPr>
        <w:t>7、负责道路运输从业人员管理的教育培训、诚信考核、权益保障等事务性工作。</w:t>
      </w:r>
    </w:p>
    <w:p>
      <w:pPr>
        <w:spacing w:line="540" w:lineRule="auto"/>
        <w:ind w:firstLine="640" w:firstLineChars="200"/>
        <w:rPr>
          <w:rFonts w:ascii="仿宋" w:hAnsi="仿宋" w:eastAsia="仿宋"/>
          <w:sz w:val="32"/>
          <w:szCs w:val="32"/>
        </w:rPr>
      </w:pPr>
      <w:r>
        <w:rPr>
          <w:rFonts w:hint="eastAsia" w:ascii="仿宋" w:hAnsi="仿宋" w:eastAsia="仿宋"/>
          <w:sz w:val="32"/>
          <w:szCs w:val="32"/>
        </w:rPr>
        <w:t>8、负责道路运输车辆年度审验工作；负责全市道路运输行业环境保护、节能减排、新技术推广等工作。</w:t>
      </w:r>
    </w:p>
    <w:p>
      <w:pPr>
        <w:spacing w:line="540" w:lineRule="auto"/>
        <w:ind w:firstLine="640" w:firstLineChars="200"/>
        <w:rPr>
          <w:rFonts w:ascii="仿宋" w:hAnsi="仿宋" w:eastAsia="仿宋"/>
          <w:sz w:val="32"/>
          <w:szCs w:val="32"/>
        </w:rPr>
      </w:pPr>
      <w:r>
        <w:rPr>
          <w:rFonts w:hint="eastAsia" w:ascii="仿宋" w:hAnsi="仿宋" w:eastAsia="仿宋"/>
          <w:sz w:val="32"/>
          <w:szCs w:val="32"/>
        </w:rPr>
        <w:t>9、负责道路运输行业燃油数据统计核实上报等事务性相关工作。</w:t>
      </w:r>
    </w:p>
    <w:p>
      <w:pPr>
        <w:spacing w:line="540" w:lineRule="auto"/>
        <w:ind w:firstLine="640" w:firstLineChars="200"/>
        <w:rPr>
          <w:rFonts w:hint="eastAsia" w:ascii="仿宋" w:hAnsi="仿宋" w:eastAsia="仿宋"/>
          <w:sz w:val="32"/>
          <w:szCs w:val="32"/>
        </w:rPr>
      </w:pPr>
      <w:r>
        <w:rPr>
          <w:rFonts w:hint="eastAsia" w:ascii="仿宋" w:hAnsi="仿宋" w:eastAsia="仿宋"/>
          <w:sz w:val="32"/>
          <w:szCs w:val="32"/>
        </w:rPr>
        <w:t>10、承办市交通运输局交办的其他工作。</w:t>
      </w:r>
    </w:p>
    <w:p>
      <w:pPr>
        <w:pStyle w:val="5"/>
        <w:widowControl/>
        <w:spacing w:line="600" w:lineRule="exact"/>
        <w:ind w:left="0" w:leftChars="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5"/>
        <w:widowControl/>
        <w:spacing w:line="600" w:lineRule="exact"/>
        <w:ind w:left="0" w:leftChars="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ind w:firstLine="566" w:firstLineChars="177"/>
        <w:rPr>
          <w:rFonts w:hint="eastAsia" w:ascii="仿宋" w:hAnsi="仿宋" w:eastAsia="仿宋" w:cs="仿宋_GB2312"/>
          <w:bCs/>
          <w:sz w:val="32"/>
          <w:szCs w:val="32"/>
        </w:rPr>
      </w:pPr>
      <w:r>
        <w:rPr>
          <w:rFonts w:hint="eastAsia" w:ascii="仿宋" w:hAnsi="仿宋" w:eastAsia="仿宋" w:cs="仿宋_GB2312"/>
          <w:bCs/>
          <w:sz w:val="32"/>
          <w:szCs w:val="32"/>
        </w:rPr>
        <w:t>20</w:t>
      </w:r>
      <w:r>
        <w:rPr>
          <w:rFonts w:hint="eastAsia" w:ascii="仿宋" w:hAnsi="仿宋" w:eastAsia="仿宋" w:cs="仿宋_GB2312"/>
          <w:bCs/>
          <w:sz w:val="32"/>
          <w:szCs w:val="32"/>
          <w:lang w:val="en-US" w:eastAsia="zh-CN"/>
        </w:rPr>
        <w:t>21</w:t>
      </w:r>
      <w:r>
        <w:rPr>
          <w:rFonts w:hint="eastAsia" w:ascii="仿宋" w:hAnsi="仿宋" w:eastAsia="仿宋" w:cs="仿宋_GB2312"/>
          <w:bCs/>
          <w:sz w:val="32"/>
          <w:szCs w:val="32"/>
        </w:rPr>
        <w:t>年本年支出</w:t>
      </w:r>
      <w:r>
        <w:rPr>
          <w:rFonts w:hint="eastAsia" w:ascii="仿宋" w:hAnsi="仿宋" w:eastAsia="仿宋" w:cs="仿宋_GB2312"/>
          <w:bCs/>
          <w:sz w:val="32"/>
          <w:szCs w:val="32"/>
          <w:lang w:val="en-US" w:eastAsia="zh-CN"/>
        </w:rPr>
        <w:t>583.32</w:t>
      </w:r>
      <w:r>
        <w:rPr>
          <w:rFonts w:hint="eastAsia" w:ascii="仿宋" w:hAnsi="仿宋" w:eastAsia="仿宋" w:cs="仿宋_GB2312"/>
          <w:bCs/>
          <w:sz w:val="32"/>
          <w:szCs w:val="32"/>
        </w:rPr>
        <w:t>万元中，</w:t>
      </w:r>
      <w:r>
        <w:rPr>
          <w:rFonts w:hint="eastAsia" w:ascii="仿宋" w:hAnsi="仿宋" w:eastAsia="仿宋" w:cs="仿宋_GB2312"/>
          <w:bCs/>
          <w:sz w:val="32"/>
          <w:szCs w:val="32"/>
          <w:lang w:eastAsia="zh-CN"/>
        </w:rPr>
        <w:t>一般公共预算</w:t>
      </w:r>
      <w:r>
        <w:rPr>
          <w:rFonts w:hint="eastAsia" w:ascii="仿宋" w:hAnsi="仿宋" w:eastAsia="仿宋" w:cs="仿宋_GB2312"/>
          <w:bCs/>
          <w:sz w:val="32"/>
          <w:szCs w:val="32"/>
        </w:rPr>
        <w:t>财政拨款支出</w:t>
      </w:r>
      <w:r>
        <w:rPr>
          <w:rFonts w:hint="eastAsia" w:ascii="仿宋" w:hAnsi="仿宋" w:eastAsia="仿宋" w:cs="仿宋_GB2312"/>
          <w:bCs/>
          <w:sz w:val="32"/>
          <w:szCs w:val="32"/>
          <w:lang w:val="en-US" w:eastAsia="zh-CN"/>
        </w:rPr>
        <w:t>583.32</w:t>
      </w:r>
      <w:r>
        <w:rPr>
          <w:rFonts w:hint="eastAsia" w:ascii="仿宋" w:hAnsi="仿宋" w:eastAsia="仿宋" w:cs="仿宋_GB2312"/>
          <w:bCs/>
          <w:sz w:val="32"/>
          <w:szCs w:val="32"/>
        </w:rPr>
        <w:t>万元，占本年支出的100%</w:t>
      </w:r>
      <w:r>
        <w:rPr>
          <w:rFonts w:hint="eastAsia" w:ascii="仿宋" w:hAnsi="仿宋" w:eastAsia="仿宋" w:cs="仿宋_GB2312"/>
          <w:bCs/>
          <w:sz w:val="32"/>
          <w:szCs w:val="32"/>
          <w:lang w:eastAsia="zh-CN"/>
        </w:rPr>
        <w:t>，其他</w:t>
      </w:r>
      <w:r>
        <w:rPr>
          <w:rFonts w:hint="eastAsia" w:ascii="仿宋" w:hAnsi="仿宋" w:eastAsia="仿宋" w:cs="仿宋_GB2312"/>
          <w:bCs/>
          <w:sz w:val="32"/>
          <w:szCs w:val="32"/>
        </w:rPr>
        <w:t>收入支出0万元，占本年支出的0%。</w:t>
      </w:r>
    </w:p>
    <w:p>
      <w:pPr>
        <w:pStyle w:val="5"/>
        <w:widowControl/>
        <w:spacing w:line="600" w:lineRule="exact"/>
        <w:ind w:left="0" w:leftChars="0" w:firstLine="640" w:firstLineChars="0"/>
        <w:rPr>
          <w:rFonts w:hint="eastAsia" w:ascii="仿宋" w:hAnsi="仿宋" w:eastAsia="仿宋" w:cs="Arial"/>
          <w:sz w:val="32"/>
          <w:szCs w:val="32"/>
          <w:shd w:val="clear" w:color="auto" w:fill="auto"/>
        </w:rPr>
      </w:pPr>
      <w:r>
        <w:rPr>
          <w:rFonts w:hint="eastAsia" w:ascii="仿宋" w:hAnsi="仿宋" w:eastAsia="仿宋" w:cs="Arial"/>
          <w:sz w:val="32"/>
          <w:szCs w:val="32"/>
          <w:shd w:val="clear" w:color="auto" w:fill="auto"/>
        </w:rPr>
        <w:t>财政拨款支出决算结构情况。一</w:t>
      </w:r>
      <w:r>
        <w:rPr>
          <w:rFonts w:hint="eastAsia" w:ascii="仿宋" w:hAnsi="仿宋" w:eastAsia="仿宋"/>
          <w:sz w:val="32"/>
          <w:szCs w:val="32"/>
          <w:shd w:val="clear" w:color="auto" w:fill="auto"/>
        </w:rPr>
        <w:t>般公共预算</w:t>
      </w:r>
      <w:r>
        <w:rPr>
          <w:rFonts w:hint="eastAsia" w:ascii="仿宋" w:hAnsi="仿宋" w:eastAsia="仿宋" w:cs="Arial"/>
          <w:sz w:val="32"/>
          <w:szCs w:val="32"/>
          <w:shd w:val="clear" w:color="auto" w:fill="auto"/>
        </w:rPr>
        <w:t>财政拨款支出按功能科目分类，一般公共服务支出</w:t>
      </w:r>
      <w:r>
        <w:rPr>
          <w:rFonts w:hint="eastAsia" w:ascii="仿宋" w:hAnsi="仿宋" w:eastAsia="仿宋" w:cs="Arial"/>
          <w:sz w:val="32"/>
          <w:szCs w:val="32"/>
          <w:shd w:val="clear" w:color="auto" w:fill="auto"/>
          <w:lang w:val="en-US" w:eastAsia="zh-CN"/>
        </w:rPr>
        <w:t>0</w:t>
      </w:r>
      <w:r>
        <w:rPr>
          <w:rFonts w:hint="eastAsia" w:ascii="仿宋" w:hAnsi="仿宋" w:eastAsia="仿宋" w:cs="Arial"/>
          <w:sz w:val="32"/>
          <w:szCs w:val="32"/>
          <w:shd w:val="clear" w:color="auto" w:fill="auto"/>
        </w:rPr>
        <w:t>万元，占本年财政拨款支出的0%；教育支出0万元，占本年财政拨款支出的0%；社会保障和就业支出</w:t>
      </w:r>
      <w:r>
        <w:rPr>
          <w:rFonts w:hint="eastAsia" w:ascii="仿宋" w:hAnsi="仿宋" w:eastAsia="仿宋" w:cs="Arial"/>
          <w:sz w:val="32"/>
          <w:szCs w:val="32"/>
          <w:shd w:val="clear" w:color="auto" w:fill="auto"/>
          <w:lang w:val="en-US" w:eastAsia="zh-CN"/>
        </w:rPr>
        <w:t>47.03</w:t>
      </w:r>
      <w:r>
        <w:rPr>
          <w:rFonts w:hint="eastAsia" w:ascii="仿宋" w:hAnsi="仿宋" w:eastAsia="仿宋" w:cs="Arial"/>
          <w:sz w:val="32"/>
          <w:szCs w:val="32"/>
          <w:shd w:val="clear" w:color="auto" w:fill="auto"/>
        </w:rPr>
        <w:t>万元，占本年财政拨款支出的</w:t>
      </w:r>
      <w:r>
        <w:rPr>
          <w:rFonts w:hint="eastAsia" w:ascii="仿宋" w:hAnsi="仿宋" w:eastAsia="仿宋" w:cs="Arial"/>
          <w:sz w:val="32"/>
          <w:szCs w:val="32"/>
          <w:shd w:val="clear" w:color="auto" w:fill="auto"/>
          <w:lang w:val="en-US" w:eastAsia="zh-CN"/>
        </w:rPr>
        <w:t>8.06</w:t>
      </w:r>
      <w:r>
        <w:rPr>
          <w:rFonts w:hint="eastAsia" w:ascii="仿宋" w:hAnsi="仿宋" w:eastAsia="仿宋" w:cs="Arial"/>
          <w:sz w:val="32"/>
          <w:szCs w:val="32"/>
          <w:shd w:val="clear" w:color="auto" w:fill="auto"/>
        </w:rPr>
        <w:t>%；医疗卫生与计划生育支出</w:t>
      </w:r>
      <w:r>
        <w:rPr>
          <w:rFonts w:hint="eastAsia" w:ascii="仿宋" w:hAnsi="仿宋" w:eastAsia="仿宋" w:cs="Arial"/>
          <w:sz w:val="32"/>
          <w:szCs w:val="32"/>
          <w:shd w:val="clear" w:color="auto" w:fill="auto"/>
          <w:lang w:val="en-US" w:eastAsia="zh-CN"/>
        </w:rPr>
        <w:t>17.38</w:t>
      </w:r>
      <w:r>
        <w:rPr>
          <w:rFonts w:hint="eastAsia" w:ascii="仿宋" w:hAnsi="仿宋" w:eastAsia="仿宋" w:cs="Arial"/>
          <w:sz w:val="32"/>
          <w:szCs w:val="32"/>
          <w:shd w:val="clear" w:color="auto" w:fill="auto"/>
        </w:rPr>
        <w:t>万元，占本年财政拨款支出的</w:t>
      </w:r>
      <w:r>
        <w:rPr>
          <w:rFonts w:hint="eastAsia" w:ascii="仿宋" w:hAnsi="仿宋" w:eastAsia="仿宋" w:cs="Arial"/>
          <w:sz w:val="32"/>
          <w:szCs w:val="32"/>
          <w:shd w:val="clear" w:color="auto" w:fill="auto"/>
          <w:lang w:val="en-US" w:eastAsia="zh-CN"/>
        </w:rPr>
        <w:t>2.98</w:t>
      </w:r>
      <w:r>
        <w:rPr>
          <w:rFonts w:hint="eastAsia" w:ascii="仿宋" w:hAnsi="仿宋" w:eastAsia="仿宋" w:cs="Arial"/>
          <w:sz w:val="32"/>
          <w:szCs w:val="32"/>
          <w:shd w:val="clear" w:color="auto" w:fill="auto"/>
        </w:rPr>
        <w:t>%；住房保障支出</w:t>
      </w:r>
      <w:r>
        <w:rPr>
          <w:rFonts w:hint="eastAsia" w:ascii="仿宋" w:hAnsi="仿宋" w:eastAsia="仿宋" w:cs="Arial"/>
          <w:sz w:val="32"/>
          <w:szCs w:val="32"/>
          <w:shd w:val="clear" w:color="auto" w:fill="auto"/>
          <w:lang w:val="en-US" w:eastAsia="zh-CN"/>
        </w:rPr>
        <w:t>27.31</w:t>
      </w:r>
      <w:r>
        <w:rPr>
          <w:rFonts w:hint="eastAsia" w:ascii="仿宋" w:hAnsi="仿宋" w:eastAsia="仿宋" w:cs="Arial"/>
          <w:sz w:val="32"/>
          <w:szCs w:val="32"/>
          <w:shd w:val="clear" w:color="auto" w:fill="auto"/>
        </w:rPr>
        <w:t>万元，占本年财政拨款支出的</w:t>
      </w:r>
      <w:r>
        <w:rPr>
          <w:rFonts w:hint="eastAsia" w:ascii="仿宋" w:hAnsi="仿宋" w:eastAsia="仿宋" w:cs="Arial"/>
          <w:sz w:val="32"/>
          <w:szCs w:val="32"/>
          <w:shd w:val="clear" w:color="auto" w:fill="auto"/>
          <w:lang w:val="en-US" w:eastAsia="zh-CN"/>
        </w:rPr>
        <w:t>4.68</w:t>
      </w:r>
      <w:r>
        <w:rPr>
          <w:rFonts w:hint="eastAsia" w:ascii="仿宋" w:hAnsi="仿宋" w:eastAsia="仿宋" w:cs="Arial"/>
          <w:sz w:val="32"/>
          <w:szCs w:val="32"/>
          <w:shd w:val="clear" w:color="auto" w:fill="auto"/>
        </w:rPr>
        <w:t>%；农林水支出0万元，占本年财政拨款支出0%；交通运输支出</w:t>
      </w:r>
      <w:r>
        <w:rPr>
          <w:rFonts w:hint="eastAsia" w:ascii="仿宋" w:hAnsi="仿宋" w:eastAsia="仿宋" w:cs="Arial"/>
          <w:sz w:val="32"/>
          <w:szCs w:val="32"/>
          <w:shd w:val="clear" w:color="auto" w:fill="auto"/>
          <w:lang w:val="en-US" w:eastAsia="zh-CN"/>
        </w:rPr>
        <w:t>491.6</w:t>
      </w:r>
      <w:r>
        <w:rPr>
          <w:rFonts w:hint="eastAsia" w:ascii="仿宋" w:hAnsi="仿宋" w:eastAsia="仿宋" w:cs="Arial"/>
          <w:sz w:val="32"/>
          <w:szCs w:val="32"/>
          <w:shd w:val="clear" w:color="auto" w:fill="auto"/>
        </w:rPr>
        <w:t>万元，占本年财政拨款支出的</w:t>
      </w:r>
      <w:r>
        <w:rPr>
          <w:rFonts w:hint="eastAsia" w:ascii="仿宋" w:hAnsi="仿宋" w:eastAsia="仿宋" w:cs="Arial"/>
          <w:sz w:val="32"/>
          <w:szCs w:val="32"/>
          <w:shd w:val="clear" w:color="auto" w:fill="auto"/>
          <w:lang w:val="en-US" w:eastAsia="zh-CN"/>
        </w:rPr>
        <w:t>84.28</w:t>
      </w:r>
      <w:r>
        <w:rPr>
          <w:rFonts w:hint="eastAsia" w:ascii="仿宋" w:hAnsi="仿宋" w:eastAsia="仿宋" w:cs="Arial"/>
          <w:sz w:val="32"/>
          <w:szCs w:val="32"/>
          <w:shd w:val="clear" w:color="auto" w:fill="auto"/>
        </w:rPr>
        <w:t>%；其他支出0万元，占本年财政拨款支出的0%。</w:t>
      </w:r>
    </w:p>
    <w:p>
      <w:pPr>
        <w:pStyle w:val="5"/>
        <w:widowControl/>
        <w:spacing w:line="600" w:lineRule="exact"/>
        <w:ind w:left="0" w:leftChars="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widowControl/>
        <w:spacing w:line="600" w:lineRule="exact"/>
        <w:ind w:firstLine="645"/>
        <w:jc w:val="left"/>
        <w:rPr>
          <w:rFonts w:eastAsia="仿宋_GB2312"/>
          <w:sz w:val="32"/>
          <w:szCs w:val="32"/>
        </w:rPr>
      </w:pPr>
      <w:r>
        <w:rPr>
          <w:rFonts w:hint="eastAsia" w:eastAsia="仿宋_GB2312" w:cs="Times New Roman"/>
          <w:kern w:val="2"/>
          <w:sz w:val="32"/>
          <w:szCs w:val="32"/>
          <w:lang w:val="en-US" w:eastAsia="zh-CN" w:bidi="ar-SA"/>
        </w:rPr>
        <w:t>我单位</w:t>
      </w:r>
      <w:r>
        <w:rPr>
          <w:rFonts w:hint="eastAsia" w:eastAsia="仿宋_GB2312"/>
          <w:sz w:val="32"/>
          <w:szCs w:val="32"/>
          <w:lang w:eastAsia="zh-CN"/>
        </w:rPr>
        <w:t>无</w:t>
      </w:r>
      <w:r>
        <w:rPr>
          <w:rFonts w:eastAsia="仿宋_GB2312"/>
          <w:sz w:val="32"/>
          <w:szCs w:val="32"/>
        </w:rPr>
        <w:t>项目支出情况。</w:t>
      </w:r>
    </w:p>
    <w:p>
      <w:pPr>
        <w:pStyle w:val="5"/>
        <w:widowControl/>
        <w:spacing w:line="600" w:lineRule="exact"/>
        <w:ind w:left="0" w:leftChars="0" w:firstLine="0" w:firstLineChars="0"/>
        <w:jc w:val="left"/>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widowControl/>
        <w:spacing w:line="600" w:lineRule="exact"/>
        <w:ind w:firstLine="645"/>
        <w:jc w:val="left"/>
        <w:rPr>
          <w:rFonts w:hint="eastAsia" w:ascii="Times New Roman" w:hAnsi="Times New Roman" w:eastAsia="黑体"/>
          <w:sz w:val="32"/>
          <w:szCs w:val="32"/>
          <w:lang w:val="en-US" w:eastAsia="zh-CN"/>
        </w:rPr>
      </w:pPr>
      <w:r>
        <w:rPr>
          <w:rFonts w:hint="eastAsia" w:eastAsia="仿宋_GB2312" w:cs="Times New Roman"/>
          <w:kern w:val="2"/>
          <w:sz w:val="32"/>
          <w:szCs w:val="32"/>
          <w:lang w:val="en-US" w:eastAsia="zh-CN" w:bidi="ar-SA"/>
        </w:rPr>
        <w:t>我单位无政府性基金预算支出。</w:t>
      </w:r>
    </w:p>
    <w:p>
      <w:pPr>
        <w:widowControl/>
        <w:spacing w:line="600" w:lineRule="exact"/>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spacing w:line="560" w:lineRule="exact"/>
        <w:ind w:firstLine="640" w:firstLineChars="200"/>
        <w:rPr>
          <w:rFonts w:hint="eastAsia" w:eastAsia="仿宋_GB2312"/>
          <w:color w:val="000000"/>
          <w:sz w:val="32"/>
          <w:szCs w:val="32"/>
        </w:rPr>
      </w:pPr>
      <w:r>
        <w:rPr>
          <w:rFonts w:hint="eastAsia" w:eastAsia="仿宋_GB2312"/>
          <w:color w:val="000000"/>
          <w:sz w:val="32"/>
          <w:szCs w:val="32"/>
        </w:rPr>
        <w:t>根据年初工作规划和重点性工作，</w:t>
      </w:r>
      <w:r>
        <w:rPr>
          <w:rFonts w:eastAsia="仿宋_GB2312"/>
          <w:color w:val="000000"/>
          <w:sz w:val="32"/>
          <w:szCs w:val="32"/>
        </w:rPr>
        <w:t>围绕部门职责、行业发展规划，以预算资金管理为主线，</w:t>
      </w:r>
      <w:r>
        <w:rPr>
          <w:rFonts w:hint="eastAsia" w:eastAsia="仿宋_GB2312"/>
          <w:color w:val="000000"/>
          <w:sz w:val="32"/>
          <w:szCs w:val="32"/>
        </w:rPr>
        <w:t>通过加强预算收支管理，不断健全内部管理制度，梳理部门流程，部门整体支出管理情况得到提升。</w:t>
      </w:r>
    </w:p>
    <w:p>
      <w:pPr>
        <w:spacing w:line="560" w:lineRule="exact"/>
        <w:ind w:firstLine="640" w:firstLineChars="200"/>
        <w:rPr>
          <w:rFonts w:ascii="仿宋" w:hAnsi="仿宋" w:eastAsia="仿宋"/>
          <w:color w:val="000000"/>
          <w:sz w:val="32"/>
          <w:szCs w:val="32"/>
        </w:rPr>
      </w:pPr>
      <w:r>
        <w:rPr>
          <w:rFonts w:hint="eastAsia" w:ascii="仿宋" w:hAnsi="仿宋" w:eastAsia="仿宋"/>
          <w:sz w:val="32"/>
          <w:szCs w:val="32"/>
        </w:rPr>
        <w:t>（</w:t>
      </w:r>
      <w:r>
        <w:rPr>
          <w:rFonts w:hint="eastAsia" w:ascii="仿宋" w:hAnsi="仿宋" w:eastAsia="仿宋"/>
          <w:sz w:val="32"/>
          <w:szCs w:val="32"/>
          <w:lang w:eastAsia="zh-CN"/>
        </w:rPr>
        <w:t>一</w:t>
      </w:r>
      <w:r>
        <w:rPr>
          <w:rFonts w:hint="eastAsia" w:ascii="仿宋" w:hAnsi="仿宋" w:eastAsia="仿宋"/>
          <w:sz w:val="32"/>
          <w:szCs w:val="32"/>
        </w:rPr>
        <w:t>）</w:t>
      </w:r>
      <w:r>
        <w:rPr>
          <w:rFonts w:hint="eastAsia" w:ascii="仿宋" w:hAnsi="仿宋" w:eastAsia="仿宋"/>
          <w:color w:val="000000"/>
          <w:sz w:val="32"/>
          <w:szCs w:val="32"/>
        </w:rPr>
        <w:t>夯实安全生产基础</w:t>
      </w:r>
      <w:r>
        <w:rPr>
          <w:rFonts w:hint="eastAsia" w:ascii="仿宋" w:hAnsi="仿宋" w:eastAsia="仿宋"/>
          <w:sz w:val="32"/>
          <w:szCs w:val="32"/>
        </w:rPr>
        <w:t>，有效防范和坚决遏制了交通运输重特大事故的发生</w:t>
      </w:r>
      <w:r>
        <w:rPr>
          <w:rFonts w:hint="eastAsia" w:ascii="仿宋" w:hAnsi="仿宋" w:eastAsia="仿宋"/>
          <w:color w:val="000000"/>
          <w:sz w:val="32"/>
          <w:szCs w:val="32"/>
        </w:rPr>
        <w:t>，实现了全市道路运输行业未发生较大及以上安全生产责任事故</w:t>
      </w:r>
      <w:r>
        <w:rPr>
          <w:rFonts w:hint="eastAsia" w:ascii="仿宋" w:hAnsi="仿宋" w:eastAsia="仿宋"/>
          <w:sz w:val="32"/>
          <w:szCs w:val="32"/>
        </w:rPr>
        <w:t>。</w:t>
      </w:r>
      <w:r>
        <w:rPr>
          <w:rFonts w:hint="eastAsia" w:ascii="仿宋" w:hAnsi="仿宋" w:eastAsia="仿宋"/>
          <w:color w:val="000000"/>
          <w:sz w:val="32"/>
          <w:szCs w:val="32"/>
        </w:rPr>
        <w:t>全年共完成上级交办16份，停运违规车辆7台，约谈企业负责人3次，安全及职业教育培训12次，有效</w:t>
      </w:r>
      <w:r>
        <w:rPr>
          <w:rFonts w:hint="eastAsia" w:ascii="仿宋" w:hAnsi="仿宋" w:eastAsia="仿宋"/>
          <w:sz w:val="32"/>
          <w:szCs w:val="32"/>
        </w:rPr>
        <w:t>落实了安全生产监管责任和</w:t>
      </w:r>
      <w:r>
        <w:rPr>
          <w:rFonts w:hint="eastAsia" w:ascii="仿宋" w:hAnsi="仿宋" w:eastAsia="仿宋"/>
          <w:color w:val="000000"/>
          <w:sz w:val="32"/>
          <w:szCs w:val="32"/>
        </w:rPr>
        <w:t>道路运输企业主体责任。</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二</w:t>
      </w:r>
      <w:r>
        <w:rPr>
          <w:rFonts w:hint="eastAsia" w:ascii="仿宋" w:hAnsi="仿宋" w:eastAsia="仿宋"/>
          <w:sz w:val="32"/>
          <w:szCs w:val="32"/>
        </w:rPr>
        <w:t>）结合道路运输行业安全生产“强执法防事故”活动和“扫黑除恶”专项斗争实际，有序开展交通问题“顽瘴痼疾”整治行动，促进了全市道路运输行业高质量发展。截至10月底，</w:t>
      </w:r>
      <w:r>
        <w:rPr>
          <w:rFonts w:ascii="仿宋" w:hAnsi="仿宋" w:eastAsia="仿宋"/>
          <w:sz w:val="32"/>
          <w:szCs w:val="32"/>
        </w:rPr>
        <w:t>对道路运输企业</w:t>
      </w:r>
      <w:r>
        <w:rPr>
          <w:rFonts w:hint="eastAsia" w:ascii="仿宋" w:hAnsi="仿宋" w:eastAsia="仿宋"/>
          <w:sz w:val="32"/>
          <w:szCs w:val="32"/>
        </w:rPr>
        <w:t>进行人员和车辆的安全例检150</w:t>
      </w:r>
      <w:r>
        <w:rPr>
          <w:rFonts w:ascii="仿宋" w:hAnsi="仿宋" w:eastAsia="仿宋"/>
          <w:sz w:val="32"/>
          <w:szCs w:val="32"/>
        </w:rPr>
        <w:t>次</w:t>
      </w:r>
      <w:r>
        <w:rPr>
          <w:rFonts w:hint="eastAsia" w:ascii="仿宋" w:hAnsi="仿宋" w:eastAsia="仿宋"/>
          <w:sz w:val="32"/>
          <w:szCs w:val="32"/>
        </w:rPr>
        <w:t>、</w:t>
      </w:r>
      <w:r>
        <w:rPr>
          <w:rFonts w:ascii="仿宋" w:hAnsi="仿宋" w:eastAsia="仿宋"/>
          <w:sz w:val="32"/>
          <w:szCs w:val="32"/>
        </w:rPr>
        <w:t>机动车维修经营企业开展安全检查</w:t>
      </w:r>
      <w:r>
        <w:rPr>
          <w:rFonts w:hint="eastAsia" w:ascii="仿宋" w:hAnsi="仿宋" w:eastAsia="仿宋"/>
          <w:sz w:val="32"/>
          <w:szCs w:val="32"/>
        </w:rPr>
        <w:t>12</w:t>
      </w:r>
      <w:r>
        <w:rPr>
          <w:rFonts w:ascii="仿宋" w:hAnsi="仿宋" w:eastAsia="仿宋"/>
          <w:sz w:val="32"/>
          <w:szCs w:val="32"/>
        </w:rPr>
        <w:t>次</w:t>
      </w:r>
      <w:r>
        <w:rPr>
          <w:rFonts w:hint="eastAsia" w:ascii="仿宋" w:hAnsi="仿宋" w:eastAsia="仿宋"/>
          <w:sz w:val="32"/>
          <w:szCs w:val="32"/>
        </w:rPr>
        <w:t>、</w:t>
      </w:r>
      <w:r>
        <w:rPr>
          <w:rFonts w:ascii="仿宋" w:hAnsi="仿宋" w:eastAsia="仿宋"/>
          <w:sz w:val="32"/>
          <w:szCs w:val="32"/>
        </w:rPr>
        <w:t>机动车驾驶培训学校开展安全检查</w:t>
      </w:r>
      <w:r>
        <w:rPr>
          <w:rFonts w:hint="eastAsia" w:ascii="仿宋" w:hAnsi="仿宋" w:eastAsia="仿宋"/>
          <w:sz w:val="32"/>
          <w:szCs w:val="32"/>
        </w:rPr>
        <w:t>15</w:t>
      </w:r>
      <w:r>
        <w:rPr>
          <w:rFonts w:ascii="仿宋" w:hAnsi="仿宋" w:eastAsia="仿宋"/>
          <w:sz w:val="32"/>
          <w:szCs w:val="32"/>
        </w:rPr>
        <w:t>次</w:t>
      </w:r>
      <w:r>
        <w:rPr>
          <w:rFonts w:hint="eastAsia" w:ascii="仿宋" w:hAnsi="仿宋" w:eastAsia="仿宋"/>
          <w:sz w:val="32"/>
          <w:szCs w:val="32"/>
        </w:rPr>
        <w:t>、</w:t>
      </w:r>
      <w:r>
        <w:rPr>
          <w:rFonts w:ascii="仿宋" w:hAnsi="仿宋" w:eastAsia="仿宋"/>
          <w:sz w:val="32"/>
          <w:szCs w:val="32"/>
        </w:rPr>
        <w:t>检查各类车辆累计</w:t>
      </w:r>
      <w:r>
        <w:rPr>
          <w:rFonts w:hint="eastAsia" w:ascii="仿宋" w:hAnsi="仿宋" w:eastAsia="仿宋"/>
          <w:sz w:val="32"/>
          <w:szCs w:val="32"/>
        </w:rPr>
        <w:t>1500余</w:t>
      </w:r>
      <w:r>
        <w:rPr>
          <w:rFonts w:ascii="仿宋" w:hAnsi="仿宋" w:eastAsia="仿宋"/>
          <w:sz w:val="32"/>
          <w:szCs w:val="32"/>
        </w:rPr>
        <w:t>台次，查处</w:t>
      </w:r>
      <w:r>
        <w:rPr>
          <w:rFonts w:hint="eastAsia" w:ascii="仿宋" w:hAnsi="仿宋" w:eastAsia="仿宋"/>
          <w:sz w:val="32"/>
          <w:szCs w:val="32"/>
        </w:rPr>
        <w:t>客运车辆不按规定站点上下旅客9起、营运车辆无道路运输证或使用无效道路运输证从事运输经营活动11起、从业人员无资格证或使用无效资格证从事运输经营活动6起、没有采取必要措施防止货物脱落或扬撒从事运输经营活动20起、“黑的”“黑摩”非法营运31起。</w:t>
      </w:r>
    </w:p>
    <w:p>
      <w:pPr>
        <w:spacing w:line="560" w:lineRule="exact"/>
        <w:ind w:firstLine="640" w:firstLineChars="200"/>
        <w:rPr>
          <w:rFonts w:ascii="仿宋" w:hAnsi="仿宋" w:eastAsia="仿宋" w:cs="宋体"/>
          <w:color w:val="000000"/>
          <w:kern w:val="0"/>
          <w:sz w:val="32"/>
          <w:szCs w:val="32"/>
        </w:rPr>
      </w:pPr>
      <w:r>
        <w:rPr>
          <w:rFonts w:hint="eastAsia" w:ascii="仿宋" w:hAnsi="仿宋" w:eastAsia="仿宋"/>
          <w:sz w:val="32"/>
          <w:szCs w:val="32"/>
        </w:rPr>
        <w:t>（</w:t>
      </w:r>
      <w:r>
        <w:rPr>
          <w:rFonts w:hint="eastAsia" w:ascii="仿宋" w:hAnsi="仿宋" w:eastAsia="仿宋"/>
          <w:sz w:val="32"/>
          <w:szCs w:val="32"/>
          <w:lang w:eastAsia="zh-CN"/>
        </w:rPr>
        <w:t>三</w:t>
      </w:r>
      <w:r>
        <w:rPr>
          <w:rFonts w:hint="eastAsia" w:ascii="仿宋" w:hAnsi="仿宋" w:eastAsia="仿宋"/>
          <w:sz w:val="32"/>
          <w:szCs w:val="32"/>
        </w:rPr>
        <w:t>）</w:t>
      </w:r>
      <w:r>
        <w:rPr>
          <w:rFonts w:hint="eastAsia" w:ascii="仿宋" w:hAnsi="仿宋" w:eastAsia="仿宋" w:cs="宋体"/>
          <w:color w:val="000000"/>
          <w:kern w:val="0"/>
          <w:sz w:val="32"/>
          <w:szCs w:val="32"/>
        </w:rPr>
        <w:t>进行出租汽车市场秩序专项整治，规范出租车经营行为，促进了行业健康发展，实现了营运秩序明显好转，服务质量明显提升。今年</w:t>
      </w:r>
      <w:r>
        <w:rPr>
          <w:rFonts w:hint="eastAsia" w:ascii="仿宋" w:hAnsi="仿宋" w:eastAsia="仿宋"/>
          <w:sz w:val="32"/>
          <w:szCs w:val="32"/>
        </w:rPr>
        <w:t>共计出动执法人员 400余人次，检查</w:t>
      </w:r>
      <w:r>
        <w:rPr>
          <w:rFonts w:hint="eastAsia" w:ascii="仿宋" w:hAnsi="仿宋" w:eastAsia="仿宋" w:cs="宋体"/>
          <w:color w:val="000000"/>
          <w:kern w:val="0"/>
          <w:sz w:val="32"/>
          <w:szCs w:val="32"/>
        </w:rPr>
        <w:t>出租车</w:t>
      </w:r>
      <w:r>
        <w:rPr>
          <w:rFonts w:hint="eastAsia" w:ascii="仿宋" w:hAnsi="仿宋" w:eastAsia="仿宋"/>
          <w:sz w:val="32"/>
          <w:szCs w:val="32"/>
        </w:rPr>
        <w:t>200余台次，处罚违法车辆11台，处理乘客投诉</w:t>
      </w:r>
      <w:r>
        <w:rPr>
          <w:rFonts w:hint="eastAsia" w:ascii="仿宋" w:hAnsi="仿宋" w:eastAsia="仿宋" w:cs="宋体"/>
          <w:color w:val="000000"/>
          <w:kern w:val="0"/>
          <w:sz w:val="32"/>
          <w:szCs w:val="32"/>
        </w:rPr>
        <w:t>出租车</w:t>
      </w:r>
      <w:r>
        <w:rPr>
          <w:rFonts w:hint="eastAsia" w:ascii="仿宋" w:hAnsi="仿宋" w:eastAsia="仿宋"/>
          <w:sz w:val="32"/>
          <w:szCs w:val="32"/>
        </w:rPr>
        <w:t>55起、公交车31起，换发出租汽车驾驶员从业资格证353个。</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四</w:t>
      </w:r>
      <w:r>
        <w:rPr>
          <w:rFonts w:hint="eastAsia" w:ascii="仿宋" w:hAnsi="仿宋" w:eastAsia="仿宋"/>
          <w:sz w:val="32"/>
          <w:szCs w:val="32"/>
        </w:rPr>
        <w:t>）完善全市城市公交线路6条72标台车辆驾驶区安全防护栏的修缮及城市公交车辆防撞系统的安装。充分发挥“两客”智能监管系统预警功能，严格落实“三十个一律”措施，坚持日报、周报、月报制度，落实企业主体责任，完善“两客”车辆动态监控奖惩制度。今年，已纠正湖南龙运交通运输集团有限公司津市分公司19台、湖南常德欣运集团股份有限公司津市分公司49台县际、市际班线驾驶员违规行为17517起。</w:t>
      </w:r>
    </w:p>
    <w:p>
      <w:pPr>
        <w:widowControl/>
        <w:spacing w:line="600" w:lineRule="exact"/>
        <w:ind w:firstLine="645"/>
        <w:jc w:val="left"/>
        <w:rPr>
          <w:rFonts w:hint="eastAsia" w:eastAsia="仿宋_GB2312"/>
          <w:color w:val="000000"/>
          <w:sz w:val="32"/>
          <w:szCs w:val="32"/>
          <w:lang w:eastAsia="zh-CN"/>
        </w:rPr>
      </w:pPr>
    </w:p>
    <w:p>
      <w:pPr>
        <w:pStyle w:val="5"/>
        <w:widowControl/>
        <w:numPr>
          <w:ilvl w:val="0"/>
          <w:numId w:val="2"/>
        </w:numPr>
        <w:spacing w:line="600" w:lineRule="exact"/>
        <w:ind w:left="640" w:firstLine="0" w:firstLineChars="0"/>
        <w:jc w:val="both"/>
        <w:rPr>
          <w:rFonts w:ascii="Times New Roman" w:hAnsi="Times New Roman" w:eastAsia="黑体"/>
          <w:sz w:val="32"/>
          <w:szCs w:val="32"/>
        </w:rPr>
      </w:pPr>
      <w:r>
        <w:rPr>
          <w:rFonts w:ascii="Times New Roman" w:hAnsi="Times New Roman" w:eastAsia="黑体"/>
          <w:sz w:val="32"/>
          <w:szCs w:val="32"/>
        </w:rPr>
        <w:t>存在的问题及原因分析</w:t>
      </w:r>
    </w:p>
    <w:p>
      <w:pPr>
        <w:pStyle w:val="5"/>
        <w:widowControl/>
        <w:numPr>
          <w:ilvl w:val="0"/>
          <w:numId w:val="0"/>
        </w:numPr>
        <w:spacing w:line="600" w:lineRule="exact"/>
        <w:ind w:firstLine="640" w:firstLineChars="200"/>
        <w:jc w:val="left"/>
        <w:rPr>
          <w:rFonts w:hint="eastAsia" w:ascii="仿宋" w:hAnsi="仿宋" w:eastAsia="仿宋" w:cs="仿宋_GB2312"/>
          <w:kern w:val="2"/>
          <w:sz w:val="32"/>
          <w:szCs w:val="32"/>
          <w:lang w:val="en-US" w:eastAsia="zh-CN" w:bidi="ar-SA"/>
        </w:rPr>
      </w:pPr>
      <w:r>
        <w:rPr>
          <w:rFonts w:hint="eastAsia" w:ascii="仿宋" w:hAnsi="仿宋" w:eastAsia="仿宋" w:cs="仿宋_GB2312"/>
          <w:kern w:val="2"/>
          <w:sz w:val="32"/>
          <w:szCs w:val="32"/>
          <w:lang w:val="en-US" w:eastAsia="zh-CN" w:bidi="ar-SA"/>
        </w:rPr>
        <w:t xml:space="preserve">1、预算编制工作有待细化。预算编制不够明确和细化，预算编制的合理性需要提高，预算执行力度还要进一步加强。            </w:t>
      </w:r>
    </w:p>
    <w:p>
      <w:pPr>
        <w:pStyle w:val="2"/>
        <w:widowControl/>
        <w:shd w:val="clear" w:fill="FFFFFF"/>
        <w:spacing w:line="480" w:lineRule="auto"/>
        <w:ind w:firstLine="640" w:firstLineChars="200"/>
        <w:jc w:val="both"/>
        <w:rPr>
          <w:rFonts w:eastAsia="仿宋_GB2312"/>
          <w:sz w:val="32"/>
          <w:szCs w:val="32"/>
        </w:rPr>
      </w:pPr>
      <w:r>
        <w:rPr>
          <w:rFonts w:hint="eastAsia" w:ascii="仿宋" w:hAnsi="仿宋" w:eastAsia="仿宋" w:cs="仿宋_GB2312"/>
          <w:kern w:val="2"/>
          <w:sz w:val="32"/>
          <w:szCs w:val="32"/>
          <w:lang w:val="en-US" w:eastAsia="zh-CN" w:bidi="ar-SA"/>
        </w:rPr>
        <w:t>2、公用经费控制有一定难度，基本为刚性支出。</w:t>
      </w:r>
    </w:p>
    <w:p>
      <w:pPr>
        <w:widowControl/>
        <w:spacing w:line="600" w:lineRule="exact"/>
        <w:ind w:firstLine="640" w:firstLineChars="200"/>
        <w:jc w:val="left"/>
        <w:rPr>
          <w:rFonts w:eastAsia="黑体"/>
          <w:sz w:val="32"/>
          <w:szCs w:val="32"/>
        </w:rPr>
      </w:pPr>
      <w:r>
        <w:rPr>
          <w:rFonts w:hint="eastAsia" w:eastAsia="黑体"/>
          <w:sz w:val="32"/>
          <w:szCs w:val="32"/>
          <w:lang w:eastAsia="zh-CN"/>
        </w:rPr>
        <w:t>六</w:t>
      </w:r>
      <w:r>
        <w:rPr>
          <w:rFonts w:eastAsia="黑体"/>
          <w:sz w:val="32"/>
          <w:szCs w:val="32"/>
        </w:rPr>
        <w:t>、下一步改进措施</w:t>
      </w:r>
    </w:p>
    <w:p>
      <w:pPr>
        <w:pStyle w:val="2"/>
        <w:widowControl/>
        <w:shd w:val="clear" w:fill="FFFFFF"/>
        <w:spacing w:line="480" w:lineRule="auto"/>
        <w:ind w:left="0" w:firstLine="480"/>
        <w:jc w:val="both"/>
        <w:rPr>
          <w:rFonts w:hint="eastAsia" w:ascii="仿宋" w:hAnsi="仿宋" w:eastAsia="仿宋" w:cs="仿宋_GB2312"/>
          <w:kern w:val="2"/>
          <w:sz w:val="32"/>
          <w:szCs w:val="32"/>
          <w:lang w:val="en-US" w:eastAsia="zh-CN" w:bidi="ar-SA"/>
        </w:rPr>
      </w:pPr>
      <w:r>
        <w:rPr>
          <w:rFonts w:hint="eastAsia" w:ascii="仿宋" w:hAnsi="仿宋" w:eastAsia="仿宋" w:cs="仿宋_GB2312"/>
          <w:kern w:val="2"/>
          <w:sz w:val="32"/>
          <w:szCs w:val="32"/>
          <w:lang w:val="en-US" w:eastAsia="zh-CN" w:bidi="ar-SA"/>
        </w:rPr>
        <w:t>1、细化预算编制工作，认真做好预算的编制。</w:t>
      </w:r>
    </w:p>
    <w:p>
      <w:pPr>
        <w:pStyle w:val="2"/>
        <w:widowControl/>
        <w:shd w:val="clear" w:fill="FFFFFF"/>
        <w:spacing w:line="480" w:lineRule="auto"/>
        <w:ind w:left="0" w:firstLine="480"/>
        <w:jc w:val="both"/>
        <w:rPr>
          <w:rFonts w:hint="eastAsia" w:ascii="仿宋" w:hAnsi="仿宋" w:eastAsia="仿宋" w:cs="仿宋_GB2312"/>
          <w:kern w:val="2"/>
          <w:sz w:val="32"/>
          <w:szCs w:val="32"/>
          <w:lang w:val="en-US" w:eastAsia="zh-CN" w:bidi="ar-SA"/>
        </w:rPr>
      </w:pPr>
      <w:r>
        <w:rPr>
          <w:rFonts w:hint="eastAsia" w:ascii="仿宋" w:hAnsi="仿宋" w:eastAsia="仿宋" w:cs="仿宋_GB2312"/>
          <w:kern w:val="2"/>
          <w:sz w:val="32"/>
          <w:szCs w:val="32"/>
          <w:lang w:val="en-US" w:eastAsia="zh-CN" w:bidi="ar-SA"/>
        </w:rPr>
        <w:t>2、加强财务管理，严格财务审核。</w:t>
      </w:r>
    </w:p>
    <w:p>
      <w:pPr>
        <w:pStyle w:val="2"/>
        <w:widowControl/>
        <w:shd w:val="clear" w:fill="FFFFFF"/>
        <w:spacing w:line="480" w:lineRule="auto"/>
        <w:ind w:left="0" w:firstLine="480"/>
        <w:jc w:val="both"/>
        <w:rPr>
          <w:rFonts w:hint="eastAsia" w:ascii="仿宋" w:hAnsi="仿宋" w:eastAsia="仿宋" w:cs="仿宋_GB2312"/>
          <w:kern w:val="2"/>
          <w:sz w:val="32"/>
          <w:szCs w:val="32"/>
          <w:lang w:val="en-US" w:eastAsia="zh-CN" w:bidi="ar-SA"/>
        </w:rPr>
      </w:pPr>
      <w:r>
        <w:rPr>
          <w:rFonts w:hint="eastAsia" w:ascii="仿宋" w:hAnsi="仿宋" w:eastAsia="仿宋" w:cs="仿宋_GB2312"/>
          <w:kern w:val="2"/>
          <w:sz w:val="32"/>
          <w:szCs w:val="32"/>
          <w:lang w:val="en-US" w:eastAsia="zh-CN" w:bidi="ar-SA"/>
        </w:rPr>
        <w:t>3、完善资产管理，抓好“三公”经费控制。</w:t>
      </w:r>
    </w:p>
    <w:p>
      <w:pPr>
        <w:pStyle w:val="2"/>
        <w:widowControl/>
        <w:shd w:val="clear" w:fill="FFFFFF"/>
        <w:spacing w:line="480" w:lineRule="auto"/>
        <w:ind w:left="0" w:firstLine="480"/>
        <w:jc w:val="both"/>
        <w:rPr>
          <w:rFonts w:eastAsia="黑体"/>
          <w:sz w:val="32"/>
          <w:szCs w:val="32"/>
        </w:rPr>
      </w:pPr>
      <w:r>
        <w:rPr>
          <w:rFonts w:hint="eastAsia" w:ascii="仿宋" w:hAnsi="仿宋" w:eastAsia="仿宋" w:cs="仿宋_GB2312"/>
          <w:kern w:val="2"/>
          <w:sz w:val="32"/>
          <w:szCs w:val="32"/>
          <w:lang w:val="en-US" w:eastAsia="zh-CN" w:bidi="ar-SA"/>
        </w:rPr>
        <w:t>4、对相关人员加强培训，特别是针对《预算法》《行政事业单位会计制度》等学习培训，规范部门预算收支核算，切实提高部门预算收支管理水平。</w:t>
      </w:r>
    </w:p>
    <w:p>
      <w:pPr>
        <w:widowControl/>
        <w:spacing w:line="600" w:lineRule="exact"/>
        <w:ind w:firstLine="645"/>
        <w:jc w:val="left"/>
      </w:pPr>
      <w:r>
        <w:rPr>
          <w:rFonts w:hint="eastAsia" w:eastAsia="黑体"/>
          <w:sz w:val="32"/>
          <w:szCs w:val="32"/>
          <w:lang w:eastAsia="zh-CN"/>
        </w:rPr>
        <w:t>七</w:t>
      </w:r>
      <w:r>
        <w:rPr>
          <w:rFonts w:eastAsia="黑体"/>
          <w:sz w:val="32"/>
          <w:szCs w:val="32"/>
        </w:rPr>
        <w:t>、其他需要说明的情况</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601B31"/>
    <w:multiLevelType w:val="singleLevel"/>
    <w:tmpl w:val="C1601B31"/>
    <w:lvl w:ilvl="0" w:tentative="0">
      <w:start w:val="5"/>
      <w:numFmt w:val="chineseCounting"/>
      <w:suff w:val="nothing"/>
      <w:lvlText w:val="%1、"/>
      <w:lvlJc w:val="left"/>
      <w:rPr>
        <w:rFonts w:hint="eastAsia"/>
      </w:rPr>
    </w:lvl>
  </w:abstractNum>
  <w:abstractNum w:abstractNumId="1">
    <w:nsid w:val="C66650A0"/>
    <w:multiLevelType w:val="singleLevel"/>
    <w:tmpl w:val="C66650A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105835BE"/>
    <w:rsid w:val="3A076E09"/>
    <w:rsid w:val="3B8F3226"/>
    <w:rsid w:val="5A9D5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ascii="Calibri" w:hAnsi="Calibri"/>
      <w:kern w:val="0"/>
      <w:sz w:val="24"/>
    </w:rPr>
  </w:style>
  <w:style w:type="paragraph" w:styleId="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dcterms:modified xsi:type="dcterms:W3CDTF">2022-03-28T03:07:11Z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