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eastAsia="方正小标宋_GBK"/>
          <w:sz w:val="36"/>
          <w:szCs w:val="36"/>
        </w:rPr>
      </w:pPr>
      <w:r>
        <w:rPr>
          <w:rFonts w:hint="eastAsia" w:eastAsia="方正小标宋_GBK"/>
          <w:sz w:val="36"/>
          <w:szCs w:val="36"/>
          <w:lang w:val="en-US" w:eastAsia="zh-CN"/>
        </w:rPr>
        <w:t>房地产交易所2021年度</w:t>
      </w:r>
      <w:r>
        <w:rPr>
          <w:rFonts w:eastAsia="方正小标宋_GBK"/>
          <w:sz w:val="36"/>
          <w:szCs w:val="36"/>
        </w:rPr>
        <w:t>部门整体支出</w:t>
      </w:r>
    </w:p>
    <w:p>
      <w:pPr>
        <w:spacing w:line="600" w:lineRule="exact"/>
        <w:jc w:val="center"/>
        <w:rPr>
          <w:rFonts w:eastAsia="方正小标宋_GBK"/>
          <w:sz w:val="32"/>
          <w:szCs w:val="32"/>
        </w:rPr>
      </w:pPr>
      <w:r>
        <w:rPr>
          <w:rFonts w:eastAsia="方正小标宋_GBK"/>
          <w:sz w:val="36"/>
          <w:szCs w:val="36"/>
        </w:rPr>
        <w:t>绩效报告</w:t>
      </w:r>
    </w:p>
    <w:p>
      <w:pPr>
        <w:spacing w:line="600" w:lineRule="exact"/>
        <w:jc w:val="center"/>
        <w:rPr>
          <w:rFonts w:eastAsia="方正小标宋_GBK"/>
          <w:sz w:val="32"/>
          <w:szCs w:val="32"/>
        </w:rPr>
      </w:pPr>
    </w:p>
    <w:p>
      <w:pPr>
        <w:pStyle w:val="4"/>
        <w:widowControl/>
        <w:numPr>
          <w:ilvl w:val="0"/>
          <w:numId w:val="1"/>
        </w:numPr>
        <w:spacing w:line="600" w:lineRule="exact"/>
        <w:ind w:left="640" w:firstLine="0" w:firstLineChars="0"/>
        <w:rPr>
          <w:rFonts w:ascii="Times New Roman" w:hAnsi="Times New Roman" w:eastAsia="黑体"/>
          <w:sz w:val="32"/>
          <w:szCs w:val="32"/>
        </w:rPr>
      </w:pPr>
      <w:r>
        <w:rPr>
          <w:rFonts w:ascii="Times New Roman" w:hAnsi="Times New Roman" w:eastAsia="黑体"/>
          <w:sz w:val="32"/>
          <w:szCs w:val="32"/>
        </w:rPr>
        <w:t>部门、单位基本情况</w:t>
      </w:r>
    </w:p>
    <w:p>
      <w:pPr>
        <w:pStyle w:val="4"/>
        <w:widowControl/>
        <w:numPr>
          <w:numId w:val="0"/>
        </w:numPr>
        <w:spacing w:line="600" w:lineRule="exact"/>
        <w:ind w:firstLine="320" w:firstLineChars="100"/>
        <w:rPr>
          <w:rFonts w:hint="eastAsia" w:ascii="Times New Roman" w:hAnsi="Times New Roman" w:eastAsia="黑体"/>
          <w:sz w:val="32"/>
          <w:szCs w:val="32"/>
          <w:lang w:val="en-US" w:eastAsia="zh-CN"/>
        </w:rPr>
      </w:pPr>
      <w:r>
        <w:rPr>
          <w:rFonts w:hint="eastAsia" w:ascii="Times New Roman" w:hAnsi="Times New Roman" w:eastAsia="黑体"/>
          <w:sz w:val="32"/>
          <w:szCs w:val="32"/>
          <w:lang w:val="en-US" w:eastAsia="zh-CN"/>
        </w:rPr>
        <w:t xml:space="preserve">1、职能职责 </w:t>
      </w:r>
    </w:p>
    <w:p>
      <w:pPr>
        <w:pStyle w:val="4"/>
        <w:keepNext w:val="0"/>
        <w:keepLines w:val="0"/>
        <w:pageBreakBefore w:val="0"/>
        <w:widowControl/>
        <w:numPr>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i w:val="0"/>
          <w:caps w:val="0"/>
          <w:color w:val="333333"/>
          <w:spacing w:val="0"/>
          <w:sz w:val="32"/>
          <w:szCs w:val="32"/>
          <w:shd w:val="clear" w:fill="FFFFFF"/>
        </w:rPr>
        <w:t>津市市房地产交易所主要职责：一是对全市白蚁危害进行防治；二是对全市房屋出租进行登记备案管理。</w:t>
      </w:r>
    </w:p>
    <w:p>
      <w:pPr>
        <w:pStyle w:val="4"/>
        <w:widowControl/>
        <w:numPr>
          <w:numId w:val="0"/>
        </w:numPr>
        <w:spacing w:line="600" w:lineRule="exact"/>
        <w:ind w:firstLine="320" w:firstLineChars="100"/>
        <w:rPr>
          <w:rFonts w:hint="eastAsia" w:ascii="Times New Roman" w:hAnsi="Times New Roman" w:eastAsia="黑体"/>
          <w:sz w:val="32"/>
          <w:szCs w:val="32"/>
          <w:lang w:val="en-US" w:eastAsia="zh-CN"/>
        </w:rPr>
      </w:pPr>
      <w:r>
        <w:rPr>
          <w:rFonts w:hint="eastAsia" w:ascii="Times New Roman" w:hAnsi="Times New Roman" w:eastAsia="黑体"/>
          <w:sz w:val="32"/>
          <w:szCs w:val="32"/>
          <w:lang w:val="en-US" w:eastAsia="zh-CN"/>
        </w:rPr>
        <w:t>2、机构设置</w:t>
      </w:r>
    </w:p>
    <w:p>
      <w:pPr>
        <w:pStyle w:val="4"/>
        <w:widowControl/>
        <w:spacing w:line="600" w:lineRule="exact"/>
        <w:rPr>
          <w:rFonts w:hint="eastAsia" w:ascii="仿宋_GB2312" w:hAnsi="仿宋_GB2312" w:eastAsia="仿宋_GB2312" w:cs="仿宋_GB2312"/>
          <w:color w:val="333333"/>
          <w:kern w:val="0"/>
          <w:sz w:val="32"/>
          <w:szCs w:val="32"/>
          <w:lang w:val="en-US" w:eastAsia="zh-CN"/>
        </w:rPr>
      </w:pPr>
      <w:r>
        <w:rPr>
          <w:rFonts w:hint="eastAsia" w:ascii="仿宋_GB2312" w:hAnsi="仿宋_GB2312" w:eastAsia="仿宋_GB2312" w:cs="仿宋_GB2312"/>
          <w:color w:val="000000" w:themeColor="text1"/>
          <w:kern w:val="0"/>
          <w:sz w:val="32"/>
          <w:szCs w:val="32"/>
          <w14:textFill>
            <w14:solidFill>
              <w14:schemeClr w14:val="tx1"/>
            </w14:solidFill>
          </w14:textFill>
        </w:rPr>
        <w:t>津市市房地产交易所是棣属津市市</w:t>
      </w:r>
      <w:r>
        <w:rPr>
          <w:rFonts w:hint="eastAsia" w:ascii="仿宋_GB2312" w:hAnsi="仿宋_GB2312" w:eastAsia="仿宋_GB2312" w:cs="仿宋_GB2312"/>
          <w:color w:val="000000" w:themeColor="text1"/>
          <w:kern w:val="0"/>
          <w:sz w:val="32"/>
          <w:szCs w:val="32"/>
          <w:lang w:eastAsia="zh-CN"/>
          <w14:textFill>
            <w14:solidFill>
              <w14:schemeClr w14:val="tx1"/>
            </w14:solidFill>
          </w14:textFill>
        </w:rPr>
        <w:t>住房保障服务中心</w:t>
      </w:r>
      <w:r>
        <w:rPr>
          <w:rFonts w:hint="eastAsia" w:ascii="仿宋_GB2312" w:hAnsi="仿宋_GB2312" w:eastAsia="仿宋_GB2312" w:cs="仿宋_GB2312"/>
          <w:color w:val="000000" w:themeColor="text1"/>
          <w:kern w:val="0"/>
          <w:sz w:val="32"/>
          <w:szCs w:val="32"/>
          <w14:textFill>
            <w14:solidFill>
              <w14:schemeClr w14:val="tx1"/>
            </w14:solidFill>
          </w14:textFill>
        </w:rPr>
        <w:t>下设的二级机构，自收自支性质。</w:t>
      </w:r>
      <w:r>
        <w:rPr>
          <w:rFonts w:hint="eastAsia" w:ascii="仿宋_GB2312" w:hAnsi="仿宋_GB2312" w:eastAsia="仿宋_GB2312" w:cs="仿宋_GB2312"/>
          <w:sz w:val="32"/>
          <w:szCs w:val="32"/>
        </w:rPr>
        <w:t>现有</w:t>
      </w:r>
      <w:r>
        <w:rPr>
          <w:rFonts w:hint="eastAsia" w:ascii="仿宋_GB2312" w:hAnsi="仿宋_GB2312" w:eastAsia="仿宋_GB2312" w:cs="仿宋_GB2312"/>
          <w:color w:val="333333"/>
          <w:kern w:val="0"/>
          <w:sz w:val="32"/>
          <w:szCs w:val="32"/>
        </w:rPr>
        <w:t>在职</w:t>
      </w:r>
      <w:r>
        <w:rPr>
          <w:rFonts w:hint="eastAsia" w:ascii="仿宋_GB2312" w:hAnsi="仿宋_GB2312" w:eastAsia="仿宋_GB2312" w:cs="仿宋_GB2312"/>
          <w:sz w:val="32"/>
          <w:szCs w:val="32"/>
        </w:rPr>
        <w:t>职工</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color w:val="333333"/>
          <w:kern w:val="0"/>
          <w:sz w:val="32"/>
          <w:szCs w:val="32"/>
        </w:rPr>
        <w:t>人</w:t>
      </w:r>
      <w:r>
        <w:rPr>
          <w:rFonts w:hint="eastAsia" w:ascii="仿宋_GB2312" w:hAnsi="仿宋_GB2312" w:eastAsia="仿宋_GB2312" w:cs="仿宋_GB2312"/>
          <w:color w:val="333333"/>
          <w:kern w:val="0"/>
          <w:sz w:val="32"/>
          <w:szCs w:val="32"/>
          <w:lang w:eastAsia="zh-CN"/>
        </w:rPr>
        <w:t>，停薪留职</w:t>
      </w:r>
      <w:r>
        <w:rPr>
          <w:rFonts w:hint="eastAsia" w:ascii="仿宋_GB2312" w:hAnsi="仿宋_GB2312" w:eastAsia="仿宋_GB2312" w:cs="仿宋_GB2312"/>
          <w:color w:val="333333"/>
          <w:kern w:val="0"/>
          <w:sz w:val="32"/>
          <w:szCs w:val="32"/>
          <w:lang w:val="en-US" w:eastAsia="zh-CN"/>
        </w:rPr>
        <w:t>2人，临聘人员1人，退休人员23人。</w:t>
      </w:r>
    </w:p>
    <w:p>
      <w:pPr>
        <w:pStyle w:val="4"/>
        <w:widowControl/>
        <w:spacing w:line="600" w:lineRule="exact"/>
        <w:ind w:left="640" w:firstLine="0" w:firstLineChars="0"/>
        <w:rPr>
          <w:rFonts w:ascii="Times New Roman" w:hAnsi="Times New Roman" w:eastAsia="黑体"/>
          <w:sz w:val="32"/>
          <w:szCs w:val="32"/>
        </w:rPr>
      </w:pPr>
      <w:r>
        <w:rPr>
          <w:rFonts w:hint="eastAsia" w:ascii="Times New Roman" w:hAnsi="Times New Roman" w:eastAsia="黑体"/>
          <w:sz w:val="32"/>
          <w:szCs w:val="32"/>
        </w:rPr>
        <w:t>二、</w:t>
      </w:r>
      <w:r>
        <w:rPr>
          <w:rFonts w:ascii="Times New Roman" w:hAnsi="Times New Roman" w:eastAsia="黑体"/>
          <w:sz w:val="32"/>
          <w:szCs w:val="32"/>
        </w:rPr>
        <w:t>一般公共预算支出情况</w:t>
      </w:r>
    </w:p>
    <w:p>
      <w:pPr>
        <w:pStyle w:val="4"/>
        <w:widowControl/>
        <w:spacing w:line="600" w:lineRule="exact"/>
        <w:ind w:left="640" w:firstLine="0" w:firstLineChars="0"/>
        <w:rPr>
          <w:rFonts w:ascii="Times New Roman" w:hAnsi="Times New Roman" w:eastAsia="黑体"/>
          <w:sz w:val="32"/>
          <w:szCs w:val="32"/>
        </w:rPr>
      </w:pPr>
      <w:r>
        <w:rPr>
          <w:rFonts w:hint="eastAsia" w:ascii="Times New Roman" w:hAnsi="Times New Roman" w:eastAsia="黑体"/>
          <w:sz w:val="32"/>
          <w:szCs w:val="32"/>
        </w:rPr>
        <w:t>（一）</w:t>
      </w:r>
      <w:r>
        <w:rPr>
          <w:rFonts w:ascii="Times New Roman" w:hAnsi="Times New Roman" w:eastAsia="黑体"/>
          <w:sz w:val="32"/>
          <w:szCs w:val="32"/>
        </w:rPr>
        <w:t>基本支出情况</w:t>
      </w:r>
    </w:p>
    <w:p>
      <w:pPr>
        <w:pStyle w:val="4"/>
        <w:widowControl/>
        <w:spacing w:line="600" w:lineRule="exact"/>
        <w:jc w:val="left"/>
        <w:rPr>
          <w:rFonts w:hint="eastAsia" w:ascii="仿宋" w:hAnsi="仿宋" w:eastAsia="仿宋" w:cs="仿宋"/>
          <w:sz w:val="30"/>
          <w:szCs w:val="30"/>
          <w:lang w:val="en-US" w:eastAsia="zh-CN"/>
        </w:rPr>
      </w:pPr>
      <w:r>
        <w:rPr>
          <w:rFonts w:hint="eastAsia" w:ascii="仿宋_GB2312" w:hAnsi="仿宋_GB2312" w:eastAsia="仿宋_GB2312" w:cs="仿宋_GB2312"/>
          <w:sz w:val="32"/>
          <w:szCs w:val="32"/>
          <w:lang w:eastAsia="zh-CN"/>
        </w:rPr>
        <w:t>本单位</w:t>
      </w:r>
      <w:r>
        <w:rPr>
          <w:rFonts w:hint="eastAsia" w:ascii="仿宋_GB2312" w:hAnsi="仿宋_GB2312" w:eastAsia="仿宋_GB2312" w:cs="仿宋_GB2312"/>
          <w:sz w:val="32"/>
          <w:szCs w:val="32"/>
          <w:lang w:val="en-US" w:eastAsia="zh-CN"/>
        </w:rPr>
        <w:t>2021年基本支出完成</w:t>
      </w:r>
      <w:r>
        <w:rPr>
          <w:rFonts w:hint="eastAsia" w:ascii="仿宋_GB2312" w:hAnsi="仿宋_GB2312" w:eastAsia="仿宋_GB2312" w:cs="仿宋_GB2312"/>
          <w:sz w:val="32"/>
          <w:szCs w:val="32"/>
          <w:highlight w:val="none"/>
          <w:lang w:val="en-US" w:eastAsia="zh-CN"/>
        </w:rPr>
        <w:t>161.10</w:t>
      </w:r>
      <w:r>
        <w:rPr>
          <w:rFonts w:hint="eastAsia" w:ascii="仿宋_GB2312" w:hAnsi="仿宋_GB2312" w:eastAsia="仿宋_GB2312" w:cs="仿宋_GB2312"/>
          <w:sz w:val="32"/>
          <w:szCs w:val="32"/>
          <w:highlight w:val="none"/>
        </w:rPr>
        <w:t>万元</w:t>
      </w:r>
      <w:r>
        <w:rPr>
          <w:rFonts w:hint="eastAsia" w:ascii="仿宋_GB2312" w:hAnsi="仿宋_GB2312" w:eastAsia="仿宋_GB2312" w:cs="仿宋_GB2312"/>
          <w:sz w:val="32"/>
          <w:szCs w:val="32"/>
          <w:highlight w:val="none"/>
          <w:lang w:eastAsia="zh-CN"/>
        </w:rPr>
        <w:t>，其中</w:t>
      </w:r>
      <w:r>
        <w:rPr>
          <w:rFonts w:hint="eastAsia" w:ascii="仿宋_GB2312" w:hAnsi="仿宋_GB2312" w:eastAsia="仿宋_GB2312" w:cs="仿宋_GB2312"/>
          <w:sz w:val="32"/>
          <w:szCs w:val="32"/>
          <w:highlight w:val="none"/>
        </w:rPr>
        <w:t>人员</w:t>
      </w:r>
      <w:r>
        <w:rPr>
          <w:rFonts w:hint="eastAsia" w:ascii="仿宋_GB2312" w:hAnsi="仿宋_GB2312" w:eastAsia="仿宋_GB2312" w:cs="仿宋_GB2312"/>
          <w:sz w:val="32"/>
          <w:szCs w:val="32"/>
          <w:highlight w:val="none"/>
          <w:lang w:eastAsia="zh-CN"/>
        </w:rPr>
        <w:t>经</w:t>
      </w:r>
      <w:r>
        <w:rPr>
          <w:rFonts w:hint="eastAsia" w:ascii="仿宋_GB2312" w:hAnsi="仿宋_GB2312" w:eastAsia="仿宋_GB2312" w:cs="仿宋_GB2312"/>
          <w:sz w:val="32"/>
          <w:szCs w:val="32"/>
          <w:highlight w:val="none"/>
        </w:rPr>
        <w:t>费</w:t>
      </w:r>
      <w:r>
        <w:rPr>
          <w:rFonts w:hint="eastAsia" w:ascii="仿宋_GB2312" w:hAnsi="仿宋_GB2312" w:eastAsia="仿宋_GB2312" w:cs="仿宋_GB2312"/>
          <w:sz w:val="32"/>
          <w:szCs w:val="32"/>
          <w:highlight w:val="none"/>
          <w:lang w:val="en-US" w:eastAsia="zh-CN"/>
        </w:rPr>
        <w:t>82.55</w:t>
      </w:r>
      <w:r>
        <w:rPr>
          <w:rFonts w:hint="eastAsia" w:ascii="仿宋_GB2312" w:hAnsi="仿宋_GB2312" w:eastAsia="仿宋_GB2312" w:cs="仿宋_GB2312"/>
          <w:sz w:val="32"/>
          <w:szCs w:val="32"/>
          <w:highlight w:val="none"/>
        </w:rPr>
        <w:t>万元</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公用经费完成</w:t>
      </w:r>
      <w:r>
        <w:rPr>
          <w:rFonts w:hint="eastAsia" w:ascii="仿宋_GB2312" w:hAnsi="仿宋_GB2312" w:eastAsia="仿宋_GB2312" w:cs="仿宋_GB2312"/>
          <w:sz w:val="32"/>
          <w:szCs w:val="32"/>
          <w:highlight w:val="none"/>
          <w:lang w:val="en-US" w:eastAsia="zh-CN"/>
        </w:rPr>
        <w:t>78.55</w:t>
      </w:r>
      <w:r>
        <w:rPr>
          <w:rFonts w:hint="eastAsia" w:ascii="仿宋_GB2312" w:hAnsi="仿宋_GB2312" w:eastAsia="仿宋_GB2312" w:cs="仿宋_GB2312"/>
          <w:sz w:val="32"/>
          <w:szCs w:val="32"/>
          <w:highlight w:val="none"/>
        </w:rPr>
        <w:t>万元</w:t>
      </w:r>
      <w:r>
        <w:rPr>
          <w:rFonts w:hint="eastAsia" w:ascii="仿宋_GB2312" w:hAnsi="仿宋_GB2312" w:eastAsia="仿宋_GB2312" w:cs="仿宋_GB2312"/>
          <w:sz w:val="32"/>
          <w:szCs w:val="32"/>
          <w:highlight w:val="none"/>
          <w:lang w:eastAsia="zh-CN"/>
        </w:rPr>
        <w:t>。</w:t>
      </w:r>
    </w:p>
    <w:p>
      <w:pPr>
        <w:pStyle w:val="4"/>
        <w:widowControl/>
        <w:spacing w:line="600" w:lineRule="exact"/>
        <w:ind w:left="640" w:firstLine="0" w:firstLineChars="0"/>
        <w:rPr>
          <w:rFonts w:ascii="Times New Roman" w:hAnsi="Times New Roman" w:eastAsia="黑体"/>
          <w:sz w:val="32"/>
          <w:szCs w:val="32"/>
        </w:rPr>
      </w:pPr>
      <w:r>
        <w:rPr>
          <w:rFonts w:hint="eastAsia" w:ascii="Times New Roman" w:hAnsi="Times New Roman" w:eastAsia="黑体"/>
          <w:sz w:val="32"/>
          <w:szCs w:val="32"/>
        </w:rPr>
        <w:t>（二）</w:t>
      </w:r>
      <w:r>
        <w:rPr>
          <w:rFonts w:ascii="Times New Roman" w:hAnsi="Times New Roman" w:eastAsia="黑体"/>
          <w:sz w:val="32"/>
          <w:szCs w:val="32"/>
        </w:rPr>
        <w:t>项目支出情况</w:t>
      </w:r>
    </w:p>
    <w:p>
      <w:pPr>
        <w:pStyle w:val="4"/>
        <w:widowControl/>
        <w:numPr>
          <w:ilvl w:val="0"/>
          <w:numId w:val="0"/>
        </w:numPr>
        <w:spacing w:line="600" w:lineRule="exact"/>
        <w:ind w:left="640" w:leftChars="0"/>
        <w:jc w:val="left"/>
        <w:rPr>
          <w:rFonts w:hint="eastAsia" w:ascii="仿宋_GB2312" w:hAnsi="仿宋" w:eastAsia="仿宋_GB2312" w:cs="Times New Roman"/>
          <w:color w:val="000000" w:themeColor="text1"/>
          <w:kern w:val="2"/>
          <w:sz w:val="32"/>
          <w:szCs w:val="32"/>
          <w:lang w:val="en-US" w:eastAsia="zh-CN" w:bidi="ar-SA"/>
          <w14:textFill>
            <w14:solidFill>
              <w14:schemeClr w14:val="tx1"/>
            </w14:solidFill>
          </w14:textFill>
        </w:rPr>
      </w:pPr>
      <w:r>
        <w:rPr>
          <w:rFonts w:hint="eastAsia" w:ascii="仿宋_GB2312" w:hAnsi="仿宋" w:eastAsia="仿宋_GB2312" w:cs="Times New Roman"/>
          <w:color w:val="000000" w:themeColor="text1"/>
          <w:kern w:val="2"/>
          <w:sz w:val="32"/>
          <w:szCs w:val="32"/>
          <w:lang w:val="en-US" w:eastAsia="zh-CN" w:bidi="ar-SA"/>
          <w14:textFill>
            <w14:solidFill>
              <w14:schemeClr w14:val="tx1"/>
            </w14:solidFill>
          </w14:textFill>
        </w:rPr>
        <w:t>本单位项目支出为0。</w:t>
      </w:r>
    </w:p>
    <w:p>
      <w:pPr>
        <w:pStyle w:val="4"/>
        <w:widowControl/>
        <w:numPr>
          <w:ilvl w:val="0"/>
          <w:numId w:val="0"/>
        </w:numPr>
        <w:spacing w:line="600" w:lineRule="exact"/>
        <w:ind w:left="640" w:leftChars="0"/>
        <w:jc w:val="left"/>
        <w:rPr>
          <w:rFonts w:ascii="Times New Roman" w:hAnsi="Times New Roman" w:eastAsia="黑体"/>
          <w:sz w:val="32"/>
          <w:szCs w:val="32"/>
        </w:rPr>
      </w:pPr>
      <w:r>
        <w:rPr>
          <w:rFonts w:hint="eastAsia" w:ascii="Times New Roman" w:hAnsi="Times New Roman" w:eastAsia="黑体"/>
          <w:sz w:val="32"/>
          <w:szCs w:val="32"/>
          <w:lang w:eastAsia="zh-CN"/>
        </w:rPr>
        <w:t>三、</w:t>
      </w:r>
      <w:r>
        <w:rPr>
          <w:rFonts w:ascii="Times New Roman" w:hAnsi="Times New Roman" w:eastAsia="黑体"/>
          <w:sz w:val="32"/>
          <w:szCs w:val="32"/>
        </w:rPr>
        <w:t>政府性基金预算支出情况</w:t>
      </w:r>
    </w:p>
    <w:p>
      <w:pPr>
        <w:pStyle w:val="4"/>
        <w:widowControl/>
        <w:numPr>
          <w:ilvl w:val="0"/>
          <w:numId w:val="0"/>
        </w:numPr>
        <w:spacing w:line="600" w:lineRule="exact"/>
        <w:ind w:left="640" w:leftChars="0"/>
        <w:jc w:val="left"/>
        <w:rPr>
          <w:rFonts w:hint="default" w:ascii="Times New Roman" w:hAnsi="Times New Roman" w:eastAsia="黑体"/>
          <w:sz w:val="32"/>
          <w:szCs w:val="32"/>
          <w:lang w:val="en-US" w:eastAsia="zh-CN"/>
        </w:rPr>
      </w:pPr>
      <w:r>
        <w:rPr>
          <w:rFonts w:hint="eastAsia" w:ascii="Times New Roman" w:hAnsi="Times New Roman" w:eastAsia="黑体"/>
          <w:sz w:val="32"/>
          <w:szCs w:val="32"/>
          <w:lang w:val="en-US" w:eastAsia="zh-CN"/>
        </w:rPr>
        <w:t xml:space="preserve"> </w:t>
      </w:r>
      <w:r>
        <w:rPr>
          <w:rFonts w:hint="eastAsia" w:ascii="仿宋_GB2312" w:hAnsi="仿宋_GB2312" w:eastAsia="仿宋_GB2312" w:cs="仿宋_GB2312"/>
          <w:sz w:val="32"/>
          <w:szCs w:val="32"/>
          <w:lang w:val="en-US" w:eastAsia="zh-CN"/>
        </w:rPr>
        <w:t xml:space="preserve">  无</w:t>
      </w:r>
    </w:p>
    <w:p>
      <w:pPr>
        <w:keepNext w:val="0"/>
        <w:keepLines w:val="0"/>
        <w:pageBreakBefore w:val="0"/>
        <w:numPr>
          <w:ilvl w:val="0"/>
          <w:numId w:val="2"/>
        </w:numPr>
        <w:kinsoku/>
        <w:wordWrap/>
        <w:overflowPunct/>
        <w:topLinePunct w:val="0"/>
        <w:autoSpaceDE/>
        <w:autoSpaceDN/>
        <w:bidi w:val="0"/>
        <w:adjustRightInd/>
        <w:snapToGrid/>
        <w:spacing w:line="480" w:lineRule="exact"/>
        <w:ind w:firstLine="640" w:firstLineChars="200"/>
        <w:textAlignment w:val="auto"/>
        <w:rPr>
          <w:rFonts w:eastAsia="黑体"/>
          <w:sz w:val="32"/>
          <w:szCs w:val="32"/>
        </w:rPr>
      </w:pPr>
      <w:r>
        <w:rPr>
          <w:rFonts w:eastAsia="黑体"/>
          <w:sz w:val="32"/>
          <w:szCs w:val="32"/>
        </w:rPr>
        <w:t>部门整体支出绩效情况</w:t>
      </w:r>
    </w:p>
    <w:p>
      <w:pPr>
        <w:keepNext w:val="0"/>
        <w:keepLines w:val="0"/>
        <w:pageBreakBefore w:val="0"/>
        <w:numPr>
          <w:numId w:val="0"/>
        </w:numPr>
        <w:kinsoku/>
        <w:wordWrap/>
        <w:overflowPunct/>
        <w:topLinePunct w:val="0"/>
        <w:autoSpaceDE/>
        <w:autoSpaceDN/>
        <w:bidi w:val="0"/>
        <w:adjustRightInd/>
        <w:snapToGrid/>
        <w:spacing w:line="4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color w:val="333333"/>
          <w:sz w:val="32"/>
          <w:szCs w:val="32"/>
          <w:lang w:eastAsia="zh-CN"/>
        </w:rPr>
        <w:t>资金使用达到了预期效果，工作中本单位积极与相关职能部门沟通协调，建立了长期良好的互动机制，形成了强大的部门合力，促进了相关白蚁防治工作的顺利开展。全年认真完成白蚁防治工作目标任务，通过认真到位的服务工作，务实的工作作风，消除了白蚁对人民群众生命财产的侵害，较好的控制了我市白蚁危害的进一步蔓延，得到了老百姓的一致认可，并通过防治工作的实施全力化解白蚁危害过程中出现的社会不稳定因素，促进社会和谐稳定。</w:t>
      </w:r>
      <w:bookmarkStart w:id="0" w:name="_GoBack"/>
      <w:bookmarkEnd w:id="0"/>
    </w:p>
    <w:p>
      <w:pPr>
        <w:pStyle w:val="4"/>
        <w:widowControl/>
        <w:spacing w:line="600" w:lineRule="exact"/>
        <w:ind w:left="640" w:firstLine="0" w:firstLineChars="0"/>
        <w:jc w:val="left"/>
        <w:rPr>
          <w:rFonts w:ascii="Times New Roman" w:hAnsi="Times New Roman" w:eastAsia="黑体"/>
          <w:sz w:val="32"/>
          <w:szCs w:val="32"/>
        </w:rPr>
      </w:pPr>
      <w:r>
        <w:rPr>
          <w:rFonts w:hint="eastAsia" w:ascii="Times New Roman" w:hAnsi="Times New Roman" w:eastAsia="黑体"/>
          <w:sz w:val="32"/>
          <w:szCs w:val="32"/>
          <w:lang w:eastAsia="zh-CN"/>
        </w:rPr>
        <w:t>五</w:t>
      </w:r>
      <w:r>
        <w:rPr>
          <w:rFonts w:hint="eastAsia" w:ascii="Times New Roman" w:hAnsi="Times New Roman" w:eastAsia="黑体"/>
          <w:sz w:val="32"/>
          <w:szCs w:val="32"/>
        </w:rPr>
        <w:t>、</w:t>
      </w:r>
      <w:r>
        <w:rPr>
          <w:rFonts w:ascii="Times New Roman" w:hAnsi="Times New Roman" w:eastAsia="黑体"/>
          <w:sz w:val="32"/>
          <w:szCs w:val="32"/>
        </w:rPr>
        <w:t>存在的问题及原因分析</w:t>
      </w:r>
    </w:p>
    <w:p>
      <w:pPr>
        <w:widowControl/>
        <w:spacing w:line="600" w:lineRule="exact"/>
        <w:ind w:firstLine="1280" w:firstLineChars="400"/>
        <w:jc w:val="left"/>
        <w:rPr>
          <w:rFonts w:hint="eastAsia" w:eastAsia="仿宋_GB2312"/>
          <w:sz w:val="32"/>
          <w:szCs w:val="32"/>
          <w:lang w:eastAsia="zh-CN"/>
        </w:rPr>
      </w:pPr>
      <w:r>
        <w:rPr>
          <w:rFonts w:hint="eastAsia" w:eastAsia="仿宋_GB2312"/>
          <w:sz w:val="32"/>
          <w:szCs w:val="32"/>
          <w:lang w:eastAsia="zh-CN"/>
        </w:rPr>
        <w:t>无</w:t>
      </w:r>
    </w:p>
    <w:p>
      <w:pPr>
        <w:widowControl/>
        <w:numPr>
          <w:ilvl w:val="0"/>
          <w:numId w:val="3"/>
        </w:numPr>
        <w:spacing w:line="600" w:lineRule="exact"/>
        <w:ind w:firstLine="640" w:firstLineChars="200"/>
        <w:jc w:val="left"/>
        <w:rPr>
          <w:rFonts w:eastAsia="黑体"/>
          <w:sz w:val="32"/>
          <w:szCs w:val="32"/>
        </w:rPr>
      </w:pPr>
      <w:r>
        <w:rPr>
          <w:rFonts w:eastAsia="黑体"/>
          <w:sz w:val="32"/>
          <w:szCs w:val="32"/>
        </w:rPr>
        <w:t>下一步改进措施</w:t>
      </w:r>
    </w:p>
    <w:p>
      <w:pPr>
        <w:widowControl/>
        <w:numPr>
          <w:ilvl w:val="0"/>
          <w:numId w:val="0"/>
        </w:numPr>
        <w:spacing w:line="600" w:lineRule="exact"/>
        <w:ind w:firstLine="1280" w:firstLineChars="4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无</w:t>
      </w:r>
    </w:p>
    <w:p>
      <w:pPr>
        <w:widowControl/>
        <w:numPr>
          <w:ilvl w:val="0"/>
          <w:numId w:val="3"/>
        </w:numPr>
        <w:spacing w:line="600" w:lineRule="exact"/>
        <w:ind w:left="0" w:leftChars="0" w:firstLine="640" w:firstLineChars="200"/>
        <w:jc w:val="left"/>
        <w:rPr>
          <w:rFonts w:eastAsia="黑体"/>
          <w:sz w:val="32"/>
          <w:szCs w:val="32"/>
        </w:rPr>
      </w:pPr>
      <w:r>
        <w:rPr>
          <w:rFonts w:eastAsia="黑体"/>
          <w:sz w:val="32"/>
          <w:szCs w:val="32"/>
        </w:rPr>
        <w:t>其他需要说明的情况</w:t>
      </w:r>
    </w:p>
    <w:p>
      <w:pPr>
        <w:widowControl/>
        <w:numPr>
          <w:ilvl w:val="0"/>
          <w:numId w:val="0"/>
        </w:numPr>
        <w:spacing w:line="600" w:lineRule="exact"/>
        <w:ind w:firstLine="1280" w:firstLineChars="40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方正小标宋_GBK">
    <w:altName w:val="宋体"/>
    <w:panose1 w:val="03000509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auto"/>
    <w:pitch w:val="default"/>
    <w:sig w:usb0="00000000" w:usb1="00000000" w:usb2="00000016" w:usb3="00000000" w:csb0="00040001" w:csb1="00000000"/>
  </w:font>
  <w:font w:name="Segoe UI">
    <w:panose1 w:val="020B0502040204020203"/>
    <w:charset w:val="00"/>
    <w:family w:val="auto"/>
    <w:pitch w:val="default"/>
    <w:sig w:usb0="E10022FF" w:usb1="C000E47F" w:usb2="00000029" w:usb3="00000000" w:csb0="200001DF" w:csb1="2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B331F81"/>
    <w:multiLevelType w:val="singleLevel"/>
    <w:tmpl w:val="EB331F81"/>
    <w:lvl w:ilvl="0" w:tentative="0">
      <w:start w:val="4"/>
      <w:numFmt w:val="chineseCounting"/>
      <w:suff w:val="nothing"/>
      <w:lvlText w:val="%1、"/>
      <w:lvlJc w:val="left"/>
      <w:rPr>
        <w:rFonts w:hint="eastAsia"/>
      </w:rPr>
    </w:lvl>
  </w:abstractNum>
  <w:abstractNum w:abstractNumId="1">
    <w:nsid w:val="FCA4C493"/>
    <w:multiLevelType w:val="singleLevel"/>
    <w:tmpl w:val="FCA4C493"/>
    <w:lvl w:ilvl="0" w:tentative="0">
      <w:start w:val="1"/>
      <w:numFmt w:val="chineseCounting"/>
      <w:suff w:val="nothing"/>
      <w:lvlText w:val="%1、"/>
      <w:lvlJc w:val="left"/>
      <w:rPr>
        <w:rFonts w:hint="eastAsia"/>
      </w:rPr>
    </w:lvl>
  </w:abstractNum>
  <w:abstractNum w:abstractNumId="2">
    <w:nsid w:val="1626BC66"/>
    <w:multiLevelType w:val="singleLevel"/>
    <w:tmpl w:val="1626BC66"/>
    <w:lvl w:ilvl="0" w:tentative="0">
      <w:start w:val="6"/>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A076E09"/>
    <w:rsid w:val="03A94BBD"/>
    <w:rsid w:val="050C4C0E"/>
    <w:rsid w:val="1C8D6CA1"/>
    <w:rsid w:val="20F53579"/>
    <w:rsid w:val="28B42A0C"/>
    <w:rsid w:val="384A1B35"/>
    <w:rsid w:val="399F1F1B"/>
    <w:rsid w:val="3A076E09"/>
    <w:rsid w:val="3B8F3226"/>
    <w:rsid w:val="461A449A"/>
    <w:rsid w:val="4DCC65B3"/>
    <w:rsid w:val="51162524"/>
    <w:rsid w:val="5A9D5D9B"/>
    <w:rsid w:val="76E264C2"/>
    <w:rsid w:val="7C5377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styleId="4">
    <w:name w:val="List Paragraph"/>
    <w:basedOn w:val="1"/>
    <w:qFormat/>
    <w:uiPriority w:val="99"/>
    <w:pPr>
      <w:ind w:firstLine="420" w:firstLineChars="200"/>
    </w:pPr>
    <w:rPr>
      <w:rFonts w:ascii="Calibri" w:hAnsi="Calibri" w:eastAsia="宋体" w:cs="Times New Roman"/>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2021-03-15T06:50:00Z</dcterms:created>
  <dc:creator>Administrator</dc:creator>
  <cp:lastModifiedBy>Aurora</cp:lastModifiedBy>
  <dcterms:modified xsi:type="dcterms:W3CDTF">2022-04-06T03:01:44Z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7D43B314F7C24157BF42E5D065D8A65F</vt:lpwstr>
  </property>
</Properties>
</file>