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津市市住房保障服务中心单位保障性安居工程项目2021年度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1、职责职能</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rPr>
        <w:t>贯彻执行国家、省有关房地产业的政策和法律法规，拟订本市房地产管理的办法措施和房地产业与城市住宅建设发展规划，承担规范全市房地产市场秩序和监督管理房地产市场的责任；承担指导全市物业管理的责任；承担市城区旧城改造和棚户区改造；贯彻落实国家、省关于推进城镇住房制度改革的方针、政策和措施；负责房地产市场管理的行政执法工作。</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2、机构设置</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市房管局是具有行政职能的正科级事业单位。现有全额拨款事业编制19名，退休职工5</w:t>
      </w:r>
      <w:r>
        <w:rPr>
          <w:rFonts w:hint="eastAsia" w:eastAsia="仿宋_GB2312"/>
          <w:sz w:val="32"/>
          <w:szCs w:val="32"/>
          <w:lang w:val="en-US" w:eastAsia="zh-CN"/>
        </w:rPr>
        <w:t>6</w:t>
      </w:r>
      <w:r>
        <w:rPr>
          <w:rFonts w:hint="eastAsia" w:eastAsia="仿宋_GB2312"/>
          <w:sz w:val="32"/>
          <w:szCs w:val="32"/>
        </w:rPr>
        <w:t>人。</w:t>
      </w:r>
    </w:p>
    <w:p>
      <w:pPr>
        <w:widowControl/>
        <w:spacing w:line="600" w:lineRule="exact"/>
        <w:ind w:firstLine="627" w:firstLineChars="196"/>
        <w:jc w:val="left"/>
        <w:rPr>
          <w:rFonts w:hint="eastAsia" w:ascii="仿宋_GB2312" w:hAnsi="仿宋_GB2312" w:eastAsia="仿宋_GB2312"/>
          <w:color w:val="auto"/>
          <w:kern w:val="2"/>
          <w:sz w:val="32"/>
          <w:lang w:eastAsia="zh-CN"/>
        </w:rPr>
      </w:pPr>
      <w:r>
        <w:rPr>
          <w:rFonts w:hint="eastAsia" w:eastAsia="仿宋_GB2312"/>
          <w:sz w:val="32"/>
          <w:szCs w:val="32"/>
        </w:rPr>
        <w:t>单位共设有</w:t>
      </w:r>
      <w:r>
        <w:rPr>
          <w:rFonts w:hint="eastAsia" w:eastAsia="仿宋_GB2312"/>
          <w:sz w:val="32"/>
          <w:szCs w:val="32"/>
          <w:lang w:val="en-US" w:eastAsia="zh-CN"/>
        </w:rPr>
        <w:t>8</w:t>
      </w:r>
      <w:r>
        <w:rPr>
          <w:rFonts w:hint="eastAsia" w:eastAsia="仿宋_GB2312"/>
          <w:sz w:val="32"/>
          <w:szCs w:val="32"/>
        </w:rPr>
        <w:t>个职能科室：</w:t>
      </w:r>
      <w:r>
        <w:rPr>
          <w:rFonts w:hint="eastAsia" w:ascii="仿宋_GB2312" w:hAnsi="仿宋_GB2312" w:eastAsia="仿宋_GB2312"/>
          <w:color w:val="auto"/>
          <w:kern w:val="2"/>
          <w:sz w:val="32"/>
        </w:rPr>
        <w:t>办公室、人事股</w:t>
      </w:r>
      <w:r>
        <w:rPr>
          <w:rFonts w:hint="eastAsia" w:ascii="仿宋_GB2312" w:hAnsi="仿宋_GB2312" w:eastAsia="仿宋_GB2312"/>
          <w:color w:val="auto"/>
          <w:kern w:val="2"/>
          <w:sz w:val="32"/>
          <w:lang w:eastAsia="zh-CN"/>
        </w:rPr>
        <w:t>（党风廉政室）</w:t>
      </w:r>
      <w:r>
        <w:rPr>
          <w:rFonts w:hint="eastAsia" w:ascii="仿宋_GB2312" w:hAnsi="仿宋_GB2312" w:eastAsia="仿宋_GB2312"/>
          <w:color w:val="auto"/>
          <w:kern w:val="2"/>
          <w:sz w:val="32"/>
        </w:rPr>
        <w:t>、财务股、</w:t>
      </w:r>
      <w:r>
        <w:rPr>
          <w:rFonts w:hint="eastAsia" w:ascii="仿宋_GB2312" w:hAnsi="仿宋_GB2312" w:eastAsia="仿宋_GB2312"/>
          <w:color w:val="auto"/>
          <w:kern w:val="2"/>
          <w:sz w:val="32"/>
          <w:lang w:eastAsia="zh-CN"/>
        </w:rPr>
        <w:t>工会老干室、市场监管股、物业管理股（老旧小区改造管理股）、</w:t>
      </w:r>
      <w:r>
        <w:rPr>
          <w:rFonts w:hint="eastAsia" w:ascii="仿宋_GB2312" w:hAnsi="仿宋_GB2312" w:eastAsia="仿宋_GB2312"/>
          <w:color w:val="auto"/>
          <w:kern w:val="2"/>
          <w:sz w:val="32"/>
        </w:rPr>
        <w:t>法制股</w:t>
      </w:r>
      <w:r>
        <w:rPr>
          <w:rFonts w:hint="eastAsia" w:ascii="仿宋_GB2312" w:hAnsi="仿宋_GB2312" w:eastAsia="仿宋_GB2312"/>
          <w:color w:val="auto"/>
          <w:kern w:val="2"/>
          <w:sz w:val="32"/>
          <w:lang w:eastAsia="zh-CN"/>
        </w:rPr>
        <w:t>和公租房管理股。</w:t>
      </w:r>
    </w:p>
    <w:p>
      <w:p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3、人员情况</w:t>
      </w:r>
    </w:p>
    <w:p>
      <w:pPr>
        <w:snapToGrid w:val="0"/>
        <w:spacing w:line="520" w:lineRule="exact"/>
        <w:ind w:firstLine="640" w:firstLineChars="200"/>
        <w:rPr>
          <w:rFonts w:eastAsia="仿宋_GB2312"/>
          <w:sz w:val="32"/>
          <w:szCs w:val="32"/>
        </w:rPr>
      </w:pPr>
      <w:r>
        <w:rPr>
          <w:rFonts w:hint="eastAsia" w:ascii="仿宋_GB2312" w:eastAsia="仿宋_GB2312" w:cs="仿宋"/>
          <w:sz w:val="32"/>
          <w:szCs w:val="32"/>
        </w:rPr>
        <w:t>20</w:t>
      </w:r>
      <w:r>
        <w:rPr>
          <w:rFonts w:hint="eastAsia" w:ascii="仿宋_GB2312" w:eastAsia="仿宋_GB2312" w:cs="仿宋"/>
          <w:sz w:val="32"/>
          <w:szCs w:val="32"/>
          <w:lang w:val="en-US" w:eastAsia="zh-CN"/>
        </w:rPr>
        <w:t>21</w:t>
      </w:r>
      <w:r>
        <w:rPr>
          <w:rFonts w:hint="eastAsia" w:ascii="仿宋_GB2312" w:eastAsia="仿宋_GB2312" w:cs="仿宋"/>
          <w:sz w:val="32"/>
          <w:szCs w:val="32"/>
        </w:rPr>
        <w:t>年本单位年未实有人数1</w:t>
      </w:r>
      <w:r>
        <w:rPr>
          <w:rFonts w:hint="eastAsia" w:ascii="仿宋_GB2312" w:eastAsia="仿宋_GB2312" w:cs="仿宋"/>
          <w:sz w:val="32"/>
          <w:szCs w:val="32"/>
          <w:lang w:val="en-US" w:eastAsia="zh-CN"/>
        </w:rPr>
        <w:t>5</w:t>
      </w:r>
      <w:r>
        <w:rPr>
          <w:rFonts w:hint="eastAsia" w:ascii="仿宋_GB2312" w:eastAsia="仿宋_GB2312" w:cs="仿宋"/>
          <w:sz w:val="32"/>
          <w:szCs w:val="32"/>
        </w:rPr>
        <w:t>人，比上年</w:t>
      </w:r>
      <w:r>
        <w:rPr>
          <w:rFonts w:hint="eastAsia" w:ascii="仿宋_GB2312" w:eastAsia="仿宋_GB2312" w:cs="仿宋"/>
          <w:sz w:val="32"/>
          <w:szCs w:val="32"/>
          <w:lang w:val="zh-CN"/>
        </w:rPr>
        <w:t>增加</w:t>
      </w:r>
      <w:r>
        <w:rPr>
          <w:rFonts w:hint="eastAsia" w:ascii="仿宋_GB2312" w:eastAsia="仿宋_GB2312" w:cs="仿宋"/>
          <w:sz w:val="32"/>
          <w:szCs w:val="32"/>
          <w:lang w:val="en-US" w:eastAsia="zh-CN"/>
        </w:rPr>
        <w:t>2</w:t>
      </w:r>
      <w:r>
        <w:rPr>
          <w:rFonts w:hint="eastAsia" w:ascii="仿宋_GB2312" w:eastAsia="仿宋_GB2312" w:cs="仿宋"/>
          <w:sz w:val="32"/>
          <w:szCs w:val="32"/>
        </w:rPr>
        <w:t>人。人员变化的主要原因是：</w:t>
      </w:r>
      <w:r>
        <w:rPr>
          <w:rFonts w:hint="eastAsia" w:ascii="仿宋_GB2312" w:hAnsi="仿宋" w:eastAsia="仿宋_GB2312"/>
          <w:sz w:val="32"/>
          <w:szCs w:val="32"/>
        </w:rPr>
        <w:t>本年</w:t>
      </w:r>
      <w:r>
        <w:rPr>
          <w:rFonts w:hint="eastAsia" w:ascii="仿宋_GB2312" w:hAnsi="仿宋" w:eastAsia="仿宋_GB2312"/>
          <w:sz w:val="32"/>
          <w:szCs w:val="32"/>
          <w:lang w:eastAsia="zh-CN"/>
        </w:rPr>
        <w:t>新增工作人员。</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eastAsia="仿宋_GB2312"/>
          <w:sz w:val="32"/>
          <w:szCs w:val="32"/>
        </w:rPr>
      </w:pP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keepNext w:val="0"/>
        <w:keepLines w:val="0"/>
        <w:pageBreakBefore w:val="0"/>
        <w:widowControl w:val="0"/>
        <w:numPr>
          <w:numId w:val="0"/>
        </w:numPr>
        <w:kinsoku/>
        <w:wordWrap/>
        <w:overflowPunct/>
        <w:topLinePunct w:val="0"/>
        <w:autoSpaceDE/>
        <w:autoSpaceDN/>
        <w:bidi w:val="0"/>
        <w:adjustRightInd w:val="0"/>
        <w:snapToGrid w:val="0"/>
        <w:spacing w:line="600" w:lineRule="exact"/>
        <w:ind w:firstLine="640" w:firstLineChars="200"/>
        <w:textAlignment w:val="auto"/>
        <w:rPr>
          <w:rFonts w:eastAsia="仿宋_GB2312"/>
          <w:sz w:val="32"/>
          <w:szCs w:val="32"/>
        </w:rPr>
      </w:pPr>
      <w:r>
        <w:rPr>
          <w:rFonts w:hint="eastAsia" w:eastAsia="仿宋_GB2312"/>
          <w:sz w:val="32"/>
          <w:szCs w:val="32"/>
          <w:lang w:val="en-US" w:eastAsia="zh-CN"/>
        </w:rPr>
        <w:t>保障性安居工程项目是为了贯彻落实国家政策，逐步解决城镇低收入家庭、外来务工人员、新就业人员的住房困难问题的一项惠民工程项目。保障性安居工程项目包括城市棚户区改造、公租房项目建设、租赁补贴发放和老旧小区改造。</w:t>
      </w:r>
    </w:p>
    <w:p>
      <w:pPr>
        <w:numPr>
          <w:ilvl w:val="0"/>
          <w:numId w:val="1"/>
        </w:numPr>
        <w:spacing w:line="58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keepNext w:val="0"/>
        <w:keepLines w:val="0"/>
        <w:pageBreakBefore w:val="0"/>
        <w:widowControl w:val="0"/>
        <w:numPr>
          <w:numId w:val="0"/>
        </w:numPr>
        <w:kinsoku/>
        <w:wordWrap/>
        <w:overflowPunct/>
        <w:topLinePunct w:val="0"/>
        <w:autoSpaceDE/>
        <w:autoSpaceDN/>
        <w:bidi w:val="0"/>
        <w:spacing w:line="580" w:lineRule="exact"/>
        <w:ind w:firstLine="640" w:firstLineChars="200"/>
        <w:textAlignment w:val="auto"/>
        <w:rPr>
          <w:rFonts w:eastAsia="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年我市城镇保障性安居工程建设任务为：城市棚户区改造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132</w:t>
      </w:r>
      <w:r>
        <w:rPr>
          <w:rFonts w:hint="eastAsia" w:ascii="仿宋_GB2312" w:hAnsi="仿宋_GB2312" w:eastAsia="仿宋_GB2312" w:cs="仿宋_GB2312"/>
          <w:color w:val="000000" w:themeColor="text1"/>
          <w:sz w:val="32"/>
          <w:szCs w:val="32"/>
          <w14:textFill>
            <w14:solidFill>
              <w14:schemeClr w14:val="tx1"/>
            </w14:solidFill>
          </w14:textFill>
        </w:rPr>
        <w:t>户、老旧小区改造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7129</w:t>
      </w:r>
      <w:r>
        <w:rPr>
          <w:rFonts w:hint="eastAsia" w:ascii="仿宋_GB2312" w:hAnsi="仿宋_GB2312" w:eastAsia="仿宋_GB2312" w:cs="仿宋_GB2312"/>
          <w:color w:val="000000" w:themeColor="text1"/>
          <w:sz w:val="32"/>
          <w:szCs w:val="32"/>
          <w14:textFill>
            <w14:solidFill>
              <w14:schemeClr w14:val="tx1"/>
            </w14:solidFill>
          </w14:textFill>
        </w:rPr>
        <w:t>户、公租房项目计划下达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432</w:t>
      </w:r>
      <w:r>
        <w:rPr>
          <w:rFonts w:hint="eastAsia" w:ascii="仿宋_GB2312" w:hAnsi="仿宋_GB2312" w:eastAsia="仿宋_GB2312" w:cs="仿宋_GB2312"/>
          <w:color w:val="000000" w:themeColor="text1"/>
          <w:sz w:val="32"/>
          <w:szCs w:val="32"/>
          <w14:textFill>
            <w14:solidFill>
              <w14:schemeClr w14:val="tx1"/>
            </w14:solidFill>
          </w14:textFill>
        </w:rPr>
        <w:t>套，租赁补贴发放1200户。</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ascii="仿宋_GB2312" w:hAnsi="仿宋_GB2312" w:eastAsia="仿宋_GB2312" w:cs="仿宋_GB2312"/>
          <w:color w:val="000000"/>
          <w:sz w:val="32"/>
          <w:szCs w:val="32"/>
          <w:shd w:val="clear" w:color="auto" w:fill="FFFFFF"/>
        </w:rPr>
        <w:t>市财政按程序下达城镇老旧小区9015万元，公租房保障3336.27万元，城市棚户区改造（含租赁补贴发放）2534万元，资金到位率100%。</w:t>
      </w:r>
    </w:p>
    <w:p>
      <w:pPr>
        <w:spacing w:line="56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资金实际使用情况。</w:t>
      </w:r>
    </w:p>
    <w:p>
      <w:pPr>
        <w:spacing w:line="560" w:lineRule="exact"/>
        <w:ind w:firstLine="640" w:firstLineChars="200"/>
        <w:rPr>
          <w:rFonts w:eastAsia="仿宋_GB2312"/>
          <w:sz w:val="32"/>
          <w:szCs w:val="32"/>
        </w:rPr>
      </w:pPr>
      <w:r>
        <w:rPr>
          <w:rFonts w:hint="eastAsia" w:ascii="仿宋_GB2312" w:hAnsi="仿宋_GB2312" w:eastAsia="仿宋_GB2312" w:cs="仿宋_GB2312"/>
          <w:color w:val="000000"/>
          <w:sz w:val="32"/>
          <w:szCs w:val="32"/>
          <w:shd w:val="clear" w:color="auto" w:fill="FFFFFF"/>
        </w:rPr>
        <w:t>项目资金截止评价时，实际支出城镇老旧小区9015万元，公租房保障3336.27万元，城市棚户区改造（含租赁补贴发放）2534万元，资金执行率100%。</w:t>
      </w:r>
    </w:p>
    <w:p>
      <w:pPr>
        <w:numPr>
          <w:ilvl w:val="0"/>
          <w:numId w:val="1"/>
        </w:numPr>
        <w:spacing w:line="58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textAlignment w:val="auto"/>
        <w:rPr>
          <w:rFonts w:eastAsia="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我市</w:t>
      </w:r>
      <w:r>
        <w:rPr>
          <w:rFonts w:hint="eastAsia" w:ascii="仿宋_GB2312" w:hAnsi="仿宋_GB2312" w:eastAsia="仿宋_GB2312" w:cs="仿宋_GB2312"/>
          <w:color w:val="000000" w:themeColor="text1"/>
          <w:sz w:val="32"/>
          <w:szCs w:val="32"/>
          <w14:textFill>
            <w14:solidFill>
              <w14:schemeClr w14:val="tx1"/>
            </w14:solidFill>
          </w14:textFill>
        </w:rPr>
        <w:t>对专项资金的使用严格按资金规定用途拨付使用，专项用于棚户区改造、公租房建设及租赁补贴发放，并严格执行住保办申报、财政局审核、常务副市长审批的审批拨付程序，在资金使用上未出现资金截留、挪用等违规违纪行为。</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spacing w:line="580" w:lineRule="exact"/>
        <w:ind w:firstLine="640"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我市2020年棚户区改造改扩翻建项目、公共租赁建建设项目、老旧小区改造项目均严格遵守《中华人民共和国建筑法》、《建设工程资料管理条例》等法律、法规及现行标准规范，严格按照施工图施工，严格落实五方责任制，确保工程质量，所有项目均已完成竣工验收，未发生一起质量安全事故。</w:t>
      </w:r>
    </w:p>
    <w:p>
      <w:pPr>
        <w:numPr>
          <w:ilvl w:val="0"/>
          <w:numId w:val="2"/>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spacing w:line="560" w:lineRule="exact"/>
        <w:ind w:firstLine="640" w:firstLineChars="200"/>
        <w:rPr>
          <w:rStyle w:val="5"/>
          <w:rFonts w:ascii="仿宋_GB2312" w:eastAsia="仿宋_GB2312"/>
          <w:b w:val="0"/>
          <w:sz w:val="32"/>
          <w:szCs w:val="32"/>
        </w:rPr>
      </w:pPr>
      <w:r>
        <w:rPr>
          <w:rFonts w:hint="eastAsia" w:ascii="仿宋_GB2312" w:hAnsi="仿宋_GB2312" w:eastAsia="仿宋_GB2312" w:cs="仿宋_GB2312"/>
          <w:sz w:val="32"/>
          <w:szCs w:val="32"/>
        </w:rPr>
        <w:t>老旧小区：2021年绩效目标</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改造78个小区、7129户、363栋、73.21万平方米，因我市2020年起进行精致街区改造，实际改造88个小区、7259户、363栋、73.7万平方米，从而超过总体目标，已全部达到考核要求，超额完成任务。</w:t>
      </w:r>
      <w:r>
        <w:rPr>
          <w:rStyle w:val="5"/>
          <w:rFonts w:hint="eastAsia" w:ascii="仿宋_GB2312" w:eastAsia="仿宋_GB2312"/>
          <w:b w:val="0"/>
          <w:sz w:val="32"/>
          <w:szCs w:val="32"/>
        </w:rPr>
        <w:t>后续将进一步加快施工进度，完成项目建设。</w:t>
      </w:r>
    </w:p>
    <w:p>
      <w:pPr>
        <w:spacing w:line="56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公租房保障、城市棚户区改造：全面完成项目的实施，无偏离绩效目标。</w:t>
      </w:r>
    </w:p>
    <w:p>
      <w:pPr>
        <w:spacing w:line="560" w:lineRule="exact"/>
        <w:ind w:firstLine="640" w:firstLineChars="200"/>
        <w:rPr>
          <w:rFonts w:eastAsia="黑体"/>
          <w:sz w:val="32"/>
          <w:szCs w:val="32"/>
        </w:rPr>
      </w:pPr>
      <w:r>
        <w:rPr>
          <w:rFonts w:hint="eastAsia" w:ascii="仿宋_GB2312" w:hAnsi="仿宋_GB2312" w:eastAsia="仿宋_GB2312" w:cs="仿宋_GB2312"/>
          <w:color w:val="000000"/>
          <w:sz w:val="32"/>
          <w:szCs w:val="32"/>
          <w:shd w:val="clear" w:color="auto" w:fill="FFFFFF"/>
        </w:rPr>
        <w:t>租赁补贴发放：</w:t>
      </w:r>
      <w:r>
        <w:rPr>
          <w:rFonts w:hint="eastAsia" w:ascii="仿宋_GB2312" w:hAnsi="仿宋_GB2312" w:eastAsia="仿宋_GB2312" w:cs="仿宋_GB2312"/>
          <w:sz w:val="32"/>
          <w:szCs w:val="32"/>
        </w:rPr>
        <w:t>2021年绩效目标1200户，实际发放1284户，超过总体目标，已全部达到考核要求，超额完成任务。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（1）数量指标：按期完成棚户区改造132户、公租房保障432户、发放公共租赁住房补贴1284户、老旧小区实际改造7259户。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质量指标：维修改造实行预算合格率、拆迁过程合法合法、竣工验收合格率均达到100%。严格按照国家相关规定，严格执行工程基本建设程序和土地、环保、节能等政策规定，2021年度报建的保障性安居工程项目未发生安全责任事故</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（3）时效指标：各项工作严格按规定时间节点完成任务，时效指标达到100%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（4）成本指标：租赁补贴发放标准为每户每月贫困户240元、一般户180元；棚改征收货币补偿为新房5万，二手房3万；对</w:t>
      </w:r>
      <w:r>
        <w:rPr>
          <w:rFonts w:hint="eastAsia" w:ascii="仿宋_GB2312" w:hAnsi="仿宋_GB2312" w:eastAsia="仿宋_GB2312" w:cs="仿宋_GB2312"/>
          <w:color w:val="000000"/>
          <w:sz w:val="32"/>
          <w:szCs w:val="32"/>
          <w:shd w:val="clear" w:color="auto" w:fill="FFFFFF"/>
        </w:rPr>
        <w:t>老旧小区、公租房保障、城市棚户区改造建设的预算、招标、验收等全程监管。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社会效益指标</w:t>
      </w:r>
      <w:r>
        <w:rPr>
          <w:rFonts w:hint="eastAsia" w:ascii="仿宋_GB2312" w:hAnsi="仿宋_GB2312" w:eastAsia="仿宋_GB2312" w:cs="仿宋_GB2312"/>
          <w:sz w:val="32"/>
          <w:szCs w:val="32"/>
        </w:rPr>
        <w:t>：1.老旧小区进行街区制改造，补齐了基础短板，增加了智慧功能，提升了居住价值。2.公租房及棚户区改造，提高了居住环境，增强了城市低收入人群的幸福感。</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经济效益指标</w:t>
      </w:r>
      <w:r>
        <w:rPr>
          <w:rFonts w:hint="eastAsia" w:ascii="仿宋_GB2312" w:hAnsi="仿宋_GB2312" w:eastAsia="仿宋_GB2312" w:cs="仿宋_GB2312"/>
          <w:sz w:val="32"/>
          <w:szCs w:val="32"/>
        </w:rPr>
        <w:t>：1.街区建设</w:t>
      </w:r>
      <w:r>
        <w:rPr>
          <w:rFonts w:ascii="仿宋_GB2312" w:hAnsi="仿宋_GB2312" w:eastAsia="仿宋_GB2312" w:cs="仿宋_GB2312"/>
          <w:sz w:val="32"/>
          <w:szCs w:val="32"/>
        </w:rPr>
        <w:t>坚持城市经营理念，激活市场，社会投资积极参与</w:t>
      </w:r>
      <w:r>
        <w:rPr>
          <w:rFonts w:hint="eastAsia" w:ascii="仿宋_GB2312" w:hAnsi="仿宋_GB2312" w:eastAsia="仿宋_GB2312" w:cs="仿宋_GB2312"/>
          <w:sz w:val="32"/>
          <w:szCs w:val="32"/>
        </w:rPr>
        <w:t>。2.公租房及棚户区改造，带动了我市经济发展，促进了行业发展。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环境效益指标</w:t>
      </w:r>
      <w:r>
        <w:rPr>
          <w:rFonts w:hint="eastAsia" w:ascii="仿宋_GB2312" w:hAnsi="仿宋_GB2312" w:eastAsia="仿宋_GB2312" w:cs="仿宋_GB2312"/>
          <w:sz w:val="32"/>
          <w:szCs w:val="32"/>
        </w:rPr>
        <w:t>：1.街区建设</w:t>
      </w:r>
      <w:r>
        <w:rPr>
          <w:rFonts w:ascii="仿宋_GB2312" w:hAnsi="仿宋_GB2312" w:eastAsia="仿宋_GB2312" w:cs="仿宋_GB2312"/>
          <w:sz w:val="32"/>
          <w:szCs w:val="32"/>
        </w:rPr>
        <w:t>坚持科学定位、因地制宜，打破原有空间分割，整合公共空间，畅通了微循环</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努力让老城焕发新时代活力</w:t>
      </w:r>
      <w:r>
        <w:rPr>
          <w:rFonts w:hint="eastAsia" w:ascii="仿宋_GB2312" w:hAnsi="仿宋_GB2312" w:eastAsia="仿宋_GB2312" w:cs="仿宋_GB2312"/>
          <w:sz w:val="32"/>
          <w:szCs w:val="32"/>
        </w:rPr>
        <w:t>。2.公租房及棚户区改造建设坚持科学规划，优选址，小区内环境及周边环境均与商品房媲美。</w:t>
      </w:r>
    </w:p>
    <w:p>
      <w:pPr>
        <w:spacing w:line="560" w:lineRule="exact"/>
        <w:ind w:firstLine="640" w:firstLineChars="200"/>
        <w:rPr>
          <w:rStyle w:val="5"/>
          <w:rFonts w:ascii="仿宋_GB2312" w:eastAsia="仿宋_GB2312"/>
          <w:b w:val="0"/>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可持续影响指标</w:t>
      </w:r>
      <w:r>
        <w:rPr>
          <w:rFonts w:hint="eastAsia" w:ascii="仿宋_GB2312" w:hAnsi="仿宋_GB2312" w:eastAsia="仿宋_GB2312" w:cs="仿宋_GB2312"/>
          <w:sz w:val="32"/>
          <w:szCs w:val="32"/>
        </w:rPr>
        <w:t>：</w:t>
      </w:r>
      <w:r>
        <w:rPr>
          <w:rStyle w:val="5"/>
          <w:rFonts w:hint="eastAsia" w:ascii="仿宋_GB2312" w:eastAsia="仿宋_GB2312"/>
          <w:b w:val="0"/>
          <w:sz w:val="32"/>
          <w:szCs w:val="32"/>
        </w:rPr>
        <w:t>街区建设坚持群众主体，街区共治，推进“党建+社区+物业”管理，建强了基层堡垒突出建管并举，建立党建引领下居民自治管理模式，充分引导居民“做主人不当客人”。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3.满意度指标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公众或服务对象满意度：在推动我市保障性安居工程过程中，积极宣传政策，尊重民愿，适时吸纳合理化建议，对于群众信访也做到了及时处置，实质改善居住环境，提升整体宜居指数，使保障性安居工程获得群众的广泛支持和好评。</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1280" w:firstLineChars="400"/>
        <w:rPr>
          <w:rFonts w:hint="eastAsia" w:ascii="仿宋_GB2312" w:hAnsi="仿宋_GB2312" w:eastAsia="仿宋_GB2312" w:cs="仿宋_GB2312"/>
          <w:sz w:val="32"/>
          <w:szCs w:val="32"/>
          <w:lang w:val="en-US" w:eastAsia="zh-CN"/>
        </w:rPr>
      </w:pPr>
    </w:p>
    <w:p>
      <w:pPr>
        <w:adjustRightInd w:val="0"/>
        <w:snapToGrid w:val="0"/>
        <w:spacing w:line="600" w:lineRule="exact"/>
        <w:ind w:firstLine="1280" w:firstLineChars="400"/>
        <w:rPr>
          <w:rFonts w:hint="eastAsia" w:ascii="仿宋_GB2312" w:hAnsi="仿宋_GB2312" w:eastAsia="仿宋_GB2312" w:cs="仿宋_GB2312"/>
          <w:sz w:val="32"/>
          <w:szCs w:val="32"/>
          <w:lang w:val="en-US" w:eastAsia="zh-CN"/>
        </w:rPr>
      </w:pPr>
    </w:p>
    <w:p>
      <w:pPr>
        <w:adjustRightInd w:val="0"/>
        <w:snapToGrid w:val="0"/>
        <w:spacing w:line="600" w:lineRule="exact"/>
        <w:rPr>
          <w:rFonts w:hint="eastAsia" w:ascii="仿宋_GB2312" w:hAnsi="仿宋_GB2312" w:eastAsia="仿宋_GB2312" w:cs="仿宋_GB2312"/>
          <w:sz w:val="32"/>
          <w:szCs w:val="32"/>
          <w:lang w:val="en-US" w:eastAsia="zh-CN"/>
        </w:rPr>
      </w:pPr>
    </w:p>
    <w:p>
      <w:pPr>
        <w:adjustRightInd w:val="0"/>
        <w:snapToGrid w:val="0"/>
        <w:spacing w:line="600" w:lineRule="exact"/>
        <w:rPr>
          <w:rFonts w:eastAsia="仿宋_GB2312"/>
          <w:sz w:val="32"/>
          <w:szCs w:val="32"/>
        </w:rPr>
        <w:sectPr>
          <w:pgSz w:w="11906" w:h="16838"/>
          <w:pgMar w:top="1440" w:right="1800" w:bottom="1440" w:left="1800" w:header="851" w:footer="992" w:gutter="0"/>
          <w:cols w:space="425" w:num="1"/>
          <w:docGrid w:type="lines" w:linePitch="312" w:charSpace="0"/>
        </w:sectPr>
      </w:pPr>
      <w:bookmarkStart w:id="0" w:name="_GoBack"/>
      <w:bookmarkEnd w:id="0"/>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3"/>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Calibri Light">
    <w:altName w:val="Courier New"/>
    <w:panose1 w:val="00000000000000000000"/>
    <w:charset w:val="00"/>
    <w:family w:val="roman"/>
    <w:pitch w:val="default"/>
    <w:sig w:usb0="00000000"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EACE9"/>
    <w:multiLevelType w:val="singleLevel"/>
    <w:tmpl w:val="A1AEACE9"/>
    <w:lvl w:ilvl="0" w:tentative="0">
      <w:start w:val="4"/>
      <w:numFmt w:val="chineseCounting"/>
      <w:suff w:val="nothing"/>
      <w:lvlText w:val="%1、"/>
      <w:lvlJc w:val="left"/>
      <w:rPr>
        <w:rFonts w:hint="eastAsia"/>
      </w:rPr>
    </w:lvl>
  </w:abstractNum>
  <w:abstractNum w:abstractNumId="1">
    <w:nsid w:val="EB8A5AD5"/>
    <w:multiLevelType w:val="singleLevel"/>
    <w:tmpl w:val="EB8A5AD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160E5800"/>
    <w:rsid w:val="305B5409"/>
    <w:rsid w:val="3C343492"/>
    <w:rsid w:val="487D713D"/>
    <w:rsid w:val="65795DD3"/>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link w:val="5"/>
    <w:qFormat/>
    <w:uiPriority w:val="0"/>
    <w:pPr>
      <w:spacing w:before="240" w:after="60"/>
      <w:jc w:val="center"/>
      <w:outlineLvl w:val="0"/>
    </w:pPr>
    <w:rPr>
      <w:rFonts w:eastAsia="宋体" w:asciiTheme="majorHAnsi" w:hAnsiTheme="majorHAnsi" w:cstheme="majorBidi"/>
      <w:b/>
      <w:bCs/>
      <w:sz w:val="32"/>
      <w:szCs w:val="32"/>
    </w:rPr>
  </w:style>
  <w:style w:type="character" w:customStyle="1" w:styleId="5">
    <w:name w:val="标题 Char"/>
    <w:basedOn w:val="4"/>
    <w:link w:val="2"/>
    <w:qFormat/>
    <w:uiPriority w:val="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Aurora</cp:lastModifiedBy>
  <dcterms:modified xsi:type="dcterms:W3CDTF">2022-04-01T07:03:03Z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C6CD5B2C6D5245CBB84BC4F80A5E1BC4</vt:lpwstr>
  </property>
</Properties>
</file>