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0D" w:rsidRDefault="00E74C8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关于开展全市“十三五”规划</w:t>
      </w:r>
    </w:p>
    <w:p w:rsidR="0020090D" w:rsidRDefault="00E74C8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实施情况中期评估工作的通知</w:t>
      </w:r>
    </w:p>
    <w:p w:rsidR="0020090D" w:rsidRDefault="0020090D">
      <w:pPr>
        <w:jc w:val="center"/>
        <w:rPr>
          <w:rFonts w:asciiTheme="majorEastAsia" w:eastAsiaTheme="majorEastAsia" w:hAnsiTheme="majorEastAsia" w:cstheme="majorEastAsia"/>
          <w:b/>
          <w:bCs/>
          <w:sz w:val="44"/>
          <w:szCs w:val="44"/>
        </w:rPr>
      </w:pPr>
    </w:p>
    <w:p w:rsidR="0020090D" w:rsidRDefault="00E74C8E">
      <w:pPr>
        <w:rPr>
          <w:rFonts w:ascii="仿宋" w:eastAsia="仿宋" w:hAnsi="仿宋" w:cs="仿宋"/>
          <w:sz w:val="32"/>
          <w:szCs w:val="32"/>
        </w:rPr>
      </w:pPr>
      <w:r>
        <w:rPr>
          <w:rFonts w:ascii="仿宋" w:eastAsia="仿宋" w:hAnsi="仿宋" w:cs="仿宋" w:hint="eastAsia"/>
          <w:sz w:val="32"/>
          <w:szCs w:val="32"/>
        </w:rPr>
        <w:t>各镇（街），市各有关单位：</w:t>
      </w:r>
    </w:p>
    <w:p w:rsidR="0020090D" w:rsidRDefault="00E74C8E">
      <w:pPr>
        <w:widowControl/>
        <w:wordWrap w:val="0"/>
        <w:autoSpaceDE w:val="0"/>
        <w:spacing w:line="560" w:lineRule="atLeast"/>
        <w:ind w:firstLine="640"/>
        <w:jc w:val="left"/>
        <w:rPr>
          <w:rFonts w:ascii="黑体" w:eastAsia="黑体" w:hAnsi="宋体" w:cs="黑体"/>
          <w:kern w:val="0"/>
          <w:sz w:val="32"/>
          <w:szCs w:val="32"/>
          <w:shd w:val="clear" w:color="auto" w:fill="FFFFFF"/>
          <w:lang/>
        </w:rPr>
      </w:pPr>
      <w:r>
        <w:rPr>
          <w:rFonts w:ascii="仿宋" w:eastAsia="仿宋" w:hAnsi="仿宋" w:cs="仿宋"/>
          <w:kern w:val="0"/>
          <w:sz w:val="32"/>
          <w:szCs w:val="32"/>
          <w:shd w:val="clear" w:color="auto" w:fill="FFFFFF"/>
          <w:lang/>
        </w:rPr>
        <w:t>2018</w:t>
      </w:r>
      <w:r>
        <w:rPr>
          <w:rFonts w:ascii="仿宋" w:eastAsia="仿宋" w:hAnsi="仿宋" w:cs="仿宋"/>
          <w:kern w:val="0"/>
          <w:sz w:val="32"/>
          <w:szCs w:val="32"/>
          <w:shd w:val="clear" w:color="auto" w:fill="FFFFFF"/>
          <w:lang/>
        </w:rPr>
        <w:t>年是全面贯彻党的十九大精神的开局之年，是决胜全面建成小康社会、实施</w:t>
      </w:r>
      <w:r>
        <w:rPr>
          <w:rFonts w:ascii="仿宋" w:eastAsia="仿宋" w:hAnsi="仿宋" w:cs="仿宋"/>
          <w:kern w:val="0"/>
          <w:sz w:val="32"/>
          <w:szCs w:val="32"/>
          <w:shd w:val="clear" w:color="auto" w:fill="FFFFFF"/>
          <w:lang/>
        </w:rPr>
        <w:t>“</w:t>
      </w:r>
      <w:bookmarkStart w:id="0" w:name="_GoBack"/>
      <w:bookmarkEnd w:id="0"/>
      <w:r>
        <w:rPr>
          <w:rFonts w:ascii="仿宋" w:eastAsia="仿宋" w:hAnsi="仿宋" w:cs="仿宋"/>
          <w:kern w:val="0"/>
          <w:sz w:val="32"/>
          <w:szCs w:val="32"/>
          <w:shd w:val="clear" w:color="auto" w:fill="FFFFFF"/>
          <w:lang/>
        </w:rPr>
        <w:t>十三五</w:t>
      </w:r>
      <w:r>
        <w:rPr>
          <w:rFonts w:ascii="仿宋" w:eastAsia="仿宋" w:hAnsi="仿宋" w:cs="仿宋"/>
          <w:kern w:val="0"/>
          <w:sz w:val="32"/>
          <w:szCs w:val="32"/>
          <w:shd w:val="clear" w:color="auto" w:fill="FFFFFF"/>
          <w:lang/>
        </w:rPr>
        <w:t>”</w:t>
      </w:r>
      <w:r>
        <w:rPr>
          <w:rFonts w:ascii="仿宋" w:eastAsia="仿宋" w:hAnsi="仿宋" w:cs="仿宋"/>
          <w:kern w:val="0"/>
          <w:sz w:val="32"/>
          <w:szCs w:val="32"/>
          <w:shd w:val="clear" w:color="auto" w:fill="FFFFFF"/>
          <w:lang/>
        </w:rPr>
        <w:t>规划承上启下的关键一年。</w:t>
      </w:r>
      <w:r>
        <w:rPr>
          <w:rFonts w:ascii="仿宋" w:eastAsia="仿宋" w:hAnsi="仿宋" w:cs="仿宋" w:hint="eastAsia"/>
          <w:kern w:val="0"/>
          <w:sz w:val="32"/>
          <w:szCs w:val="32"/>
          <w:shd w:val="clear" w:color="auto" w:fill="FFFFFF"/>
          <w:lang/>
        </w:rPr>
        <w:t>根据</w:t>
      </w:r>
      <w:r>
        <w:rPr>
          <w:rFonts w:ascii="仿宋" w:eastAsia="仿宋" w:hAnsi="仿宋" w:cs="仿宋"/>
          <w:kern w:val="0"/>
          <w:sz w:val="32"/>
          <w:szCs w:val="32"/>
          <w:shd w:val="clear" w:color="auto" w:fill="FFFFFF"/>
          <w:lang/>
        </w:rPr>
        <w:t>《</w:t>
      </w:r>
      <w:r>
        <w:rPr>
          <w:rFonts w:ascii="仿宋" w:eastAsia="仿宋" w:hAnsi="仿宋" w:cs="仿宋" w:hint="eastAsia"/>
          <w:kern w:val="0"/>
          <w:sz w:val="32"/>
          <w:szCs w:val="32"/>
          <w:shd w:val="clear" w:color="auto" w:fill="FFFFFF"/>
          <w:lang/>
        </w:rPr>
        <w:t>中华人民共和国各级人民代表大会常务委员会监督法</w:t>
      </w:r>
      <w:r>
        <w:rPr>
          <w:rFonts w:ascii="仿宋" w:eastAsia="仿宋" w:hAnsi="仿宋" w:cs="仿宋"/>
          <w:kern w:val="0"/>
          <w:sz w:val="32"/>
          <w:szCs w:val="32"/>
          <w:shd w:val="clear" w:color="auto" w:fill="FFFFFF"/>
          <w:lang/>
        </w:rPr>
        <w:t>》</w:t>
      </w:r>
      <w:r>
        <w:rPr>
          <w:rFonts w:ascii="仿宋" w:eastAsia="仿宋" w:hAnsi="仿宋" w:cs="仿宋" w:hint="eastAsia"/>
          <w:kern w:val="0"/>
          <w:sz w:val="32"/>
          <w:szCs w:val="32"/>
          <w:shd w:val="clear" w:color="auto" w:fill="FFFFFF"/>
          <w:lang/>
        </w:rPr>
        <w:t>和《常德市“十三五”规划纲要实施方案》要求，</w:t>
      </w:r>
      <w:r>
        <w:rPr>
          <w:rFonts w:ascii="仿宋_GB2312" w:eastAsia="仿宋_GB2312" w:hAnsi="仿宋" w:cs="仿宋_GB2312" w:hint="eastAsia"/>
          <w:kern w:val="0"/>
          <w:sz w:val="32"/>
          <w:szCs w:val="32"/>
          <w:shd w:val="clear" w:color="auto" w:fill="FFFFFF"/>
          <w:lang/>
        </w:rPr>
        <w:t>市委政府决定对</w:t>
      </w:r>
      <w:r>
        <w:rPr>
          <w:rFonts w:ascii="仿宋" w:eastAsia="仿宋" w:hAnsi="仿宋" w:cs="仿宋"/>
          <w:kern w:val="0"/>
          <w:sz w:val="32"/>
          <w:szCs w:val="32"/>
          <w:shd w:val="clear" w:color="auto" w:fill="FFFFFF"/>
          <w:lang/>
        </w:rPr>
        <w:t>《</w:t>
      </w:r>
      <w:r>
        <w:rPr>
          <w:rFonts w:ascii="仿宋" w:eastAsia="仿宋" w:hAnsi="仿宋" w:cs="仿宋" w:hint="eastAsia"/>
          <w:kern w:val="0"/>
          <w:sz w:val="32"/>
          <w:szCs w:val="32"/>
          <w:shd w:val="clear" w:color="auto" w:fill="FFFFFF"/>
          <w:lang/>
        </w:rPr>
        <w:t>津市市</w:t>
      </w:r>
      <w:r>
        <w:rPr>
          <w:rFonts w:ascii="仿宋" w:eastAsia="仿宋" w:hAnsi="仿宋" w:cs="仿宋"/>
          <w:kern w:val="0"/>
          <w:sz w:val="32"/>
          <w:szCs w:val="32"/>
          <w:shd w:val="clear" w:color="auto" w:fill="FFFFFF"/>
          <w:lang/>
        </w:rPr>
        <w:t>国民经济和社会发展第十三个五年规划纲要》</w:t>
      </w:r>
      <w:r>
        <w:rPr>
          <w:rFonts w:ascii="仿宋" w:eastAsia="仿宋" w:hAnsi="仿宋" w:cs="仿宋" w:hint="eastAsia"/>
          <w:sz w:val="32"/>
          <w:szCs w:val="32"/>
        </w:rPr>
        <w:t>（以下简称《纲要》）</w:t>
      </w:r>
      <w:r>
        <w:rPr>
          <w:rFonts w:ascii="仿宋_GB2312" w:eastAsia="仿宋_GB2312" w:hAnsi="仿宋" w:cs="仿宋_GB2312" w:hint="eastAsia"/>
          <w:kern w:val="0"/>
          <w:sz w:val="32"/>
          <w:szCs w:val="32"/>
          <w:shd w:val="clear" w:color="auto" w:fill="FFFFFF"/>
          <w:lang/>
        </w:rPr>
        <w:t>实施情况组织开展中期评估，现就有关事项通知如下：</w:t>
      </w:r>
    </w:p>
    <w:p w:rsidR="0020090D" w:rsidRDefault="00E74C8E">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基本要求</w:t>
      </w:r>
    </w:p>
    <w:p w:rsidR="0020090D" w:rsidRDefault="00E74C8E">
      <w:pPr>
        <w:ind w:firstLineChars="200" w:firstLine="640"/>
        <w:rPr>
          <w:rFonts w:ascii="楷体" w:eastAsia="楷体" w:hAnsi="楷体"/>
          <w:bCs/>
          <w:color w:val="000000" w:themeColor="text1"/>
          <w:sz w:val="32"/>
          <w:szCs w:val="32"/>
        </w:rPr>
      </w:pPr>
      <w:r>
        <w:rPr>
          <w:rFonts w:ascii="楷体" w:eastAsia="楷体" w:hAnsi="楷体" w:hint="eastAsia"/>
          <w:bCs/>
          <w:color w:val="000000" w:themeColor="text1"/>
          <w:sz w:val="32"/>
          <w:szCs w:val="32"/>
        </w:rPr>
        <w:t>（一）指导思想</w:t>
      </w:r>
    </w:p>
    <w:p w:rsidR="0020090D" w:rsidRDefault="00E74C8E">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全面贯彻落实党的十九大、省第十一次党代会、</w:t>
      </w:r>
      <w:r>
        <w:rPr>
          <w:rFonts w:ascii="仿宋" w:eastAsia="仿宋" w:hAnsi="仿宋" w:hint="eastAsia"/>
          <w:color w:val="000000" w:themeColor="text1"/>
          <w:sz w:val="32"/>
          <w:szCs w:val="32"/>
        </w:rPr>
        <w:t>常德</w:t>
      </w:r>
      <w:r>
        <w:rPr>
          <w:rFonts w:ascii="仿宋" w:eastAsia="仿宋" w:hAnsi="仿宋" w:hint="eastAsia"/>
          <w:color w:val="000000" w:themeColor="text1"/>
          <w:sz w:val="32"/>
          <w:szCs w:val="32"/>
        </w:rPr>
        <w:t>市委七届四次全会</w:t>
      </w:r>
      <w:r>
        <w:rPr>
          <w:rFonts w:ascii="仿宋" w:eastAsia="仿宋" w:hAnsi="仿宋" w:hint="eastAsia"/>
          <w:color w:val="000000" w:themeColor="text1"/>
          <w:sz w:val="32"/>
          <w:szCs w:val="32"/>
        </w:rPr>
        <w:t>和津市第十二次党代会</w:t>
      </w:r>
      <w:r>
        <w:rPr>
          <w:rFonts w:ascii="仿宋" w:eastAsia="仿宋" w:hAnsi="仿宋" w:hint="eastAsia"/>
          <w:color w:val="000000" w:themeColor="text1"/>
          <w:sz w:val="32"/>
          <w:szCs w:val="32"/>
        </w:rPr>
        <w:t>精神，坚持以习近平新时代中国特色社会主义思想为指导，坚持新发展理念，对标十九大明确的新目标新部署新要求，聚焦全面建成小康社会主要目标任务，全面评估“十三五”规划实施情况，客观评价规划实施取得的进展成效，总结提炼推进规划实施的经验做法，深入剖析实施中出现的问题及原因，结合内外发展环境变化，提出改进规划实施的对策建议，进一步强化规划纲要的战略导向作用，持续推动各项任务顺利实施，确保如</w:t>
      </w:r>
      <w:r>
        <w:rPr>
          <w:rFonts w:ascii="仿宋" w:eastAsia="仿宋" w:hAnsi="仿宋" w:hint="eastAsia"/>
          <w:color w:val="000000" w:themeColor="text1"/>
          <w:sz w:val="32"/>
          <w:szCs w:val="32"/>
        </w:rPr>
        <w:lastRenderedPageBreak/>
        <w:t>期全面建成小康社会。</w:t>
      </w:r>
    </w:p>
    <w:p w:rsidR="0020090D" w:rsidRDefault="00E74C8E">
      <w:pPr>
        <w:ind w:firstLineChars="200" w:firstLine="640"/>
        <w:rPr>
          <w:rFonts w:ascii="楷体" w:eastAsia="楷体" w:hAnsi="楷体"/>
          <w:bCs/>
          <w:color w:val="000000" w:themeColor="text1"/>
          <w:sz w:val="32"/>
          <w:szCs w:val="32"/>
        </w:rPr>
      </w:pPr>
      <w:r>
        <w:rPr>
          <w:rFonts w:ascii="楷体" w:eastAsia="楷体" w:hAnsi="楷体" w:hint="eastAsia"/>
          <w:bCs/>
          <w:color w:val="000000" w:themeColor="text1"/>
          <w:sz w:val="32"/>
          <w:szCs w:val="32"/>
        </w:rPr>
        <w:t>（二）遵循原则</w:t>
      </w:r>
    </w:p>
    <w:p w:rsidR="0020090D" w:rsidRDefault="00E74C8E">
      <w:pPr>
        <w:ind w:firstLineChars="200" w:firstLine="640"/>
        <w:rPr>
          <w:rFonts w:ascii="仿宋_GB2312" w:eastAsia="仿宋_GB2312"/>
          <w:color w:val="000000" w:themeColor="text1"/>
          <w:sz w:val="32"/>
          <w:szCs w:val="32"/>
        </w:rPr>
      </w:pPr>
      <w:r>
        <w:rPr>
          <w:rFonts w:ascii="楷体" w:eastAsia="楷体" w:hAnsi="楷体" w:hint="eastAsia"/>
          <w:color w:val="000000" w:themeColor="text1"/>
          <w:sz w:val="32"/>
          <w:szCs w:val="32"/>
        </w:rPr>
        <w:t>1.</w:t>
      </w:r>
      <w:r>
        <w:rPr>
          <w:rFonts w:ascii="楷体" w:eastAsia="楷体" w:hAnsi="楷体" w:hint="eastAsia"/>
          <w:color w:val="000000" w:themeColor="text1"/>
          <w:sz w:val="32"/>
          <w:szCs w:val="32"/>
        </w:rPr>
        <w:t>系统全面、突出重点。</w:t>
      </w:r>
      <w:r>
        <w:rPr>
          <w:rFonts w:ascii="仿宋" w:eastAsia="仿宋" w:hAnsi="仿宋" w:hint="eastAsia"/>
          <w:color w:val="000000" w:themeColor="text1"/>
          <w:sz w:val="32"/>
          <w:szCs w:val="32"/>
        </w:rPr>
        <w:t>全面评估“五位一体”总体布局、“</w:t>
      </w:r>
      <w:r>
        <w:rPr>
          <w:rFonts w:ascii="仿宋" w:eastAsia="仿宋" w:hAnsi="仿宋" w:hint="eastAsia"/>
          <w:color w:val="000000" w:themeColor="text1"/>
          <w:sz w:val="32"/>
          <w:szCs w:val="32"/>
        </w:rPr>
        <w:t>四个全面”战略布局以及“十三五”规划明确的各项目标任务推进落实情况，顺应高质量发展要求，更加关注发展的不平衡不充分问题。重点突出主要指标完成情况，重大战略任务推进情况，以及抓重点、补短板、强弱项贯彻落实情况，特别是防范化解重大风险、精准脱贫、污染防治三大攻坚战的进展情况。</w:t>
      </w:r>
    </w:p>
    <w:p w:rsidR="0020090D" w:rsidRDefault="00E74C8E">
      <w:pPr>
        <w:ind w:firstLineChars="200" w:firstLine="640"/>
        <w:rPr>
          <w:rFonts w:ascii="仿宋_GB2312" w:eastAsia="仿宋_GB2312"/>
          <w:color w:val="000000" w:themeColor="text1"/>
          <w:sz w:val="32"/>
          <w:szCs w:val="32"/>
        </w:rPr>
      </w:pPr>
      <w:r>
        <w:rPr>
          <w:rFonts w:ascii="楷体" w:eastAsia="楷体" w:hAnsi="楷体" w:hint="eastAsia"/>
          <w:color w:val="000000" w:themeColor="text1"/>
          <w:sz w:val="32"/>
          <w:szCs w:val="32"/>
        </w:rPr>
        <w:t>2.</w:t>
      </w:r>
      <w:r>
        <w:rPr>
          <w:rFonts w:ascii="楷体" w:eastAsia="楷体" w:hAnsi="楷体" w:hint="eastAsia"/>
          <w:color w:val="000000" w:themeColor="text1"/>
          <w:sz w:val="32"/>
          <w:szCs w:val="32"/>
        </w:rPr>
        <w:t>立足当前、着眼长远。</w:t>
      </w:r>
      <w:r>
        <w:rPr>
          <w:rFonts w:ascii="仿宋" w:eastAsia="仿宋" w:hAnsi="仿宋" w:hint="eastAsia"/>
          <w:color w:val="000000" w:themeColor="text1"/>
          <w:sz w:val="32"/>
          <w:szCs w:val="32"/>
        </w:rPr>
        <w:t>聚焦全面建成小康社会各项目标任务进展情况，找准难点，提出对策。对标十九大新部署新要求，研究提出新目标新指标，持续推动经济发展质量变革、效率变革、动力变革，不断夯实社会主义现代化建设基础。</w:t>
      </w:r>
    </w:p>
    <w:p w:rsidR="0020090D" w:rsidRDefault="00E74C8E">
      <w:pPr>
        <w:ind w:firstLineChars="200" w:firstLine="640"/>
        <w:rPr>
          <w:rFonts w:ascii="仿宋_GB2312" w:eastAsia="仿宋_GB2312"/>
          <w:color w:val="000000" w:themeColor="text1"/>
          <w:sz w:val="32"/>
          <w:szCs w:val="32"/>
        </w:rPr>
      </w:pPr>
      <w:r>
        <w:rPr>
          <w:rFonts w:ascii="楷体" w:eastAsia="楷体" w:hAnsi="楷体" w:hint="eastAsia"/>
          <w:color w:val="000000" w:themeColor="text1"/>
          <w:sz w:val="32"/>
          <w:szCs w:val="32"/>
        </w:rPr>
        <w:t>3.</w:t>
      </w:r>
      <w:r>
        <w:rPr>
          <w:rFonts w:ascii="楷体" w:eastAsia="楷体" w:hAnsi="楷体" w:hint="eastAsia"/>
          <w:color w:val="000000" w:themeColor="text1"/>
          <w:sz w:val="32"/>
          <w:szCs w:val="32"/>
        </w:rPr>
        <w:t>实事求是、科学严谨。</w:t>
      </w:r>
      <w:r>
        <w:rPr>
          <w:rFonts w:ascii="仿宋" w:eastAsia="仿宋" w:hAnsi="仿宋" w:hint="eastAsia"/>
          <w:color w:val="000000" w:themeColor="text1"/>
          <w:sz w:val="32"/>
          <w:szCs w:val="32"/>
        </w:rPr>
        <w:t>密</w:t>
      </w:r>
      <w:r>
        <w:rPr>
          <w:rFonts w:ascii="仿宋" w:eastAsia="仿宋" w:hAnsi="仿宋" w:hint="eastAsia"/>
          <w:color w:val="000000" w:themeColor="text1"/>
          <w:sz w:val="32"/>
          <w:szCs w:val="32"/>
        </w:rPr>
        <w:t>切关注发展环境变化，准确把握时代性和规律性，客观公正反映情况，不回避矛盾和问题，提出针对性改进措施和建议。深化上下联动、横向互动和多方参与，更新评估理念，创新评估方式方法，完善评估工具体系，提升评估的专业性、科学性和严肃性。</w:t>
      </w:r>
    </w:p>
    <w:p w:rsidR="0020090D" w:rsidRDefault="00E74C8E">
      <w:pPr>
        <w:widowControl/>
        <w:shd w:val="clear" w:color="auto" w:fill="FFFFFF"/>
        <w:spacing w:line="540" w:lineRule="atLeast"/>
        <w:ind w:firstLine="600"/>
        <w:rPr>
          <w:rFonts w:ascii="黑体" w:eastAsia="黑体" w:hAnsi="黑体" w:cs="黑体"/>
          <w:color w:val="333333"/>
          <w:kern w:val="0"/>
          <w:sz w:val="32"/>
          <w:szCs w:val="32"/>
        </w:rPr>
      </w:pPr>
      <w:r>
        <w:rPr>
          <w:rFonts w:ascii="黑体" w:eastAsia="黑体" w:hAnsi="黑体" w:cs="黑体" w:hint="eastAsia"/>
          <w:color w:val="333333"/>
          <w:kern w:val="0"/>
          <w:sz w:val="32"/>
          <w:szCs w:val="32"/>
        </w:rPr>
        <w:t>二、评估重点</w:t>
      </w:r>
    </w:p>
    <w:p w:rsidR="0020090D" w:rsidRDefault="00E74C8E">
      <w:pPr>
        <w:spacing w:line="576" w:lineRule="exact"/>
        <w:ind w:firstLineChars="200" w:firstLine="640"/>
        <w:rPr>
          <w:rFonts w:eastAsia="仿宋_GB2312"/>
          <w:sz w:val="32"/>
          <w:szCs w:val="32"/>
        </w:rPr>
      </w:pPr>
      <w:r>
        <w:rPr>
          <w:rFonts w:eastAsia="仿宋_GB2312"/>
          <w:sz w:val="32"/>
          <w:szCs w:val="32"/>
        </w:rPr>
        <w:t>主要包括七个方面：</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（一）新发展理念贯彻落实情况。</w:t>
      </w:r>
      <w:r>
        <w:rPr>
          <w:rFonts w:ascii="仿宋" w:eastAsia="仿宋" w:hAnsi="仿宋"/>
          <w:sz w:val="32"/>
          <w:szCs w:val="32"/>
        </w:rPr>
        <w:t>重点评估贯彻新发展</w:t>
      </w:r>
      <w:r>
        <w:rPr>
          <w:rFonts w:ascii="仿宋" w:eastAsia="仿宋" w:hAnsi="仿宋"/>
          <w:sz w:val="32"/>
          <w:szCs w:val="32"/>
        </w:rPr>
        <w:lastRenderedPageBreak/>
        <w:t>理念、转变发展方式的进展情况，特别是新发展理念作为内在联系的集合体的统一贯彻落实情况。</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（二）全面建成小康社会主要目标实现情况。</w:t>
      </w:r>
      <w:r>
        <w:rPr>
          <w:rFonts w:ascii="仿宋" w:eastAsia="仿宋" w:hAnsi="仿宋"/>
          <w:sz w:val="32"/>
          <w:szCs w:val="32"/>
        </w:rPr>
        <w:t>全面检查</w:t>
      </w:r>
      <w:r>
        <w:rPr>
          <w:rFonts w:ascii="仿宋" w:eastAsia="仿宋" w:hAnsi="仿宋"/>
          <w:sz w:val="32"/>
          <w:szCs w:val="32"/>
        </w:rPr>
        <w:t>“</w:t>
      </w:r>
      <w:r>
        <w:rPr>
          <w:rFonts w:ascii="仿宋" w:eastAsia="仿宋" w:hAnsi="仿宋"/>
          <w:sz w:val="32"/>
          <w:szCs w:val="32"/>
        </w:rPr>
        <w:t>十三五</w:t>
      </w:r>
      <w:r>
        <w:rPr>
          <w:rFonts w:ascii="仿宋" w:eastAsia="仿宋" w:hAnsi="仿宋"/>
          <w:sz w:val="32"/>
          <w:szCs w:val="32"/>
        </w:rPr>
        <w:t>”</w:t>
      </w:r>
      <w:r>
        <w:rPr>
          <w:rFonts w:ascii="仿宋" w:eastAsia="仿宋" w:hAnsi="仿宋"/>
          <w:sz w:val="32"/>
          <w:szCs w:val="32"/>
        </w:rPr>
        <w:t>规划《纲要》</w:t>
      </w:r>
      <w:r>
        <w:rPr>
          <w:rFonts w:ascii="仿宋" w:eastAsia="仿宋" w:hAnsi="仿宋" w:hint="eastAsia"/>
          <w:sz w:val="32"/>
          <w:szCs w:val="32"/>
        </w:rPr>
        <w:t>5</w:t>
      </w:r>
      <w:r>
        <w:rPr>
          <w:rFonts w:ascii="仿宋" w:eastAsia="仿宋" w:hAnsi="仿宋"/>
          <w:sz w:val="32"/>
          <w:szCs w:val="32"/>
        </w:rPr>
        <w:t>个方面的主要目标和</w:t>
      </w:r>
      <w:r>
        <w:rPr>
          <w:rFonts w:ascii="仿宋" w:eastAsia="仿宋" w:hAnsi="仿宋" w:hint="eastAsia"/>
          <w:sz w:val="32"/>
          <w:szCs w:val="32"/>
        </w:rPr>
        <w:t>3</w:t>
      </w:r>
      <w:r>
        <w:rPr>
          <w:rFonts w:ascii="仿宋" w:eastAsia="仿宋" w:hAnsi="仿宋" w:hint="eastAsia"/>
          <w:sz w:val="32"/>
          <w:szCs w:val="32"/>
        </w:rPr>
        <w:t>8</w:t>
      </w:r>
      <w:r>
        <w:rPr>
          <w:rFonts w:ascii="仿宋" w:eastAsia="仿宋" w:hAnsi="仿宋"/>
          <w:sz w:val="32"/>
          <w:szCs w:val="32"/>
        </w:rPr>
        <w:t>项主要指标，特别是</w:t>
      </w:r>
      <w:r>
        <w:rPr>
          <w:rFonts w:ascii="仿宋" w:eastAsia="仿宋" w:hAnsi="仿宋"/>
          <w:sz w:val="32"/>
          <w:szCs w:val="32"/>
        </w:rPr>
        <w:t>1</w:t>
      </w:r>
      <w:r>
        <w:rPr>
          <w:rFonts w:ascii="仿宋" w:eastAsia="仿宋" w:hAnsi="仿宋" w:hint="eastAsia"/>
          <w:sz w:val="32"/>
          <w:szCs w:val="32"/>
        </w:rPr>
        <w:t>5</w:t>
      </w:r>
      <w:r>
        <w:rPr>
          <w:rFonts w:ascii="仿宋" w:eastAsia="仿宋" w:hAnsi="仿宋"/>
          <w:sz w:val="32"/>
          <w:szCs w:val="32"/>
        </w:rPr>
        <w:t>项约束性指标和体现高质量发展指标的实现情况。</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（三）供给侧改革和重大改革任务推进情况。</w:t>
      </w:r>
      <w:r>
        <w:rPr>
          <w:rFonts w:ascii="仿宋" w:eastAsia="仿宋" w:hAnsi="仿宋"/>
          <w:sz w:val="32"/>
          <w:szCs w:val="32"/>
        </w:rPr>
        <w:t>重点评估通过持续深化供给侧结构性改革，推动经济发展质量变革、效率变革、动力变革，提高供给体系质量、建设现代化经济体系情况，特别是夯实实体经济根基、推动供需动态平衡、增强经济质量优势等进展情况，以及推进重点领域和关键环节改革、构建发展新体制的进展情况。</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（四）重大战略任务推进情况。</w:t>
      </w:r>
      <w:r>
        <w:rPr>
          <w:rFonts w:ascii="仿宋" w:eastAsia="仿宋" w:hAnsi="仿宋"/>
          <w:sz w:val="32"/>
          <w:szCs w:val="32"/>
        </w:rPr>
        <w:t>重点评估贯彻落实中央重大战略，贯彻落实省委提出的</w:t>
      </w:r>
      <w:r>
        <w:rPr>
          <w:rFonts w:ascii="仿宋" w:eastAsia="仿宋" w:hAnsi="仿宋"/>
          <w:sz w:val="32"/>
          <w:szCs w:val="32"/>
        </w:rPr>
        <w:t>“</w:t>
      </w:r>
      <w:r>
        <w:rPr>
          <w:rFonts w:ascii="仿宋" w:eastAsia="仿宋" w:hAnsi="仿宋"/>
          <w:sz w:val="32"/>
          <w:szCs w:val="32"/>
        </w:rPr>
        <w:t>创新引领、开放崛起</w:t>
      </w:r>
      <w:r>
        <w:rPr>
          <w:rFonts w:ascii="仿宋" w:eastAsia="仿宋" w:hAnsi="仿宋" w:hint="eastAsia"/>
          <w:sz w:val="32"/>
          <w:szCs w:val="32"/>
        </w:rPr>
        <w:t>”</w:t>
      </w:r>
      <w:r>
        <w:rPr>
          <w:rFonts w:ascii="仿宋" w:eastAsia="仿宋" w:hAnsi="仿宋" w:hint="eastAsia"/>
          <w:sz w:val="32"/>
          <w:szCs w:val="32"/>
        </w:rPr>
        <w:t>、常德</w:t>
      </w:r>
      <w:r>
        <w:rPr>
          <w:rFonts w:ascii="仿宋" w:eastAsia="仿宋" w:hAnsi="仿宋"/>
          <w:sz w:val="32"/>
          <w:szCs w:val="32"/>
        </w:rPr>
        <w:t>提出的</w:t>
      </w:r>
      <w:r>
        <w:rPr>
          <w:rFonts w:ascii="仿宋" w:eastAsia="仿宋" w:hAnsi="仿宋"/>
          <w:sz w:val="32"/>
          <w:szCs w:val="32"/>
        </w:rPr>
        <w:t>“</w:t>
      </w:r>
      <w:r>
        <w:rPr>
          <w:rFonts w:ascii="仿宋" w:eastAsia="仿宋" w:hAnsi="仿宋"/>
          <w:sz w:val="32"/>
          <w:szCs w:val="32"/>
        </w:rPr>
        <w:t>开放强市</w:t>
      </w:r>
      <w:r>
        <w:rPr>
          <w:rFonts w:ascii="仿宋" w:eastAsia="仿宋" w:hAnsi="仿宋" w:hint="eastAsia"/>
          <w:sz w:val="32"/>
          <w:szCs w:val="32"/>
        </w:rPr>
        <w:t>、</w:t>
      </w:r>
      <w:r>
        <w:rPr>
          <w:rFonts w:ascii="仿宋" w:eastAsia="仿宋" w:hAnsi="仿宋"/>
          <w:sz w:val="32"/>
          <w:szCs w:val="32"/>
        </w:rPr>
        <w:t>产业立市</w:t>
      </w:r>
      <w:r>
        <w:rPr>
          <w:rFonts w:ascii="仿宋" w:eastAsia="仿宋" w:hAnsi="仿宋"/>
          <w:sz w:val="32"/>
          <w:szCs w:val="32"/>
        </w:rPr>
        <w:t>”</w:t>
      </w:r>
      <w:r>
        <w:rPr>
          <w:rFonts w:ascii="仿宋" w:eastAsia="仿宋" w:hAnsi="仿宋" w:hint="eastAsia"/>
          <w:sz w:val="32"/>
          <w:szCs w:val="32"/>
        </w:rPr>
        <w:t>、市委</w:t>
      </w:r>
      <w:r>
        <w:rPr>
          <w:rFonts w:ascii="仿宋" w:eastAsia="仿宋" w:hAnsi="仿宋" w:hint="eastAsia"/>
          <w:sz w:val="32"/>
          <w:szCs w:val="32"/>
        </w:rPr>
        <w:t>提出的“</w:t>
      </w:r>
      <w:r>
        <w:rPr>
          <w:rFonts w:ascii="仿宋" w:eastAsia="仿宋" w:hAnsi="仿宋" w:hint="eastAsia"/>
          <w:sz w:val="32"/>
          <w:szCs w:val="32"/>
        </w:rPr>
        <w:t>工业立市、产业兴城</w:t>
      </w:r>
      <w:r>
        <w:rPr>
          <w:rFonts w:ascii="仿宋" w:eastAsia="仿宋" w:hAnsi="仿宋" w:hint="eastAsia"/>
          <w:sz w:val="32"/>
          <w:szCs w:val="32"/>
        </w:rPr>
        <w:t>”</w:t>
      </w:r>
      <w:r>
        <w:rPr>
          <w:rFonts w:ascii="仿宋" w:eastAsia="仿宋" w:hAnsi="仿宋"/>
          <w:sz w:val="32"/>
          <w:szCs w:val="32"/>
        </w:rPr>
        <w:t>战略</w:t>
      </w:r>
      <w:r>
        <w:rPr>
          <w:rFonts w:ascii="仿宋" w:eastAsia="仿宋" w:hAnsi="仿宋" w:hint="eastAsia"/>
          <w:sz w:val="32"/>
          <w:szCs w:val="32"/>
        </w:rPr>
        <w:t>，以</w:t>
      </w:r>
      <w:r>
        <w:rPr>
          <w:rFonts w:ascii="仿宋" w:eastAsia="仿宋" w:hAnsi="仿宋" w:hint="eastAsia"/>
          <w:sz w:val="32"/>
          <w:szCs w:val="32"/>
        </w:rPr>
        <w:t>及市第十二次党代会提出的“坚持工业立市，突出产业兴城，建设澧水流域现代化中心城市”等战略</w:t>
      </w:r>
      <w:r>
        <w:rPr>
          <w:rFonts w:ascii="仿宋" w:eastAsia="仿宋" w:hAnsi="仿宋"/>
          <w:sz w:val="32"/>
          <w:szCs w:val="32"/>
        </w:rPr>
        <w:t>目标任务落实情况。</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（五）三大攻坚战推进落实情况。</w:t>
      </w:r>
      <w:r>
        <w:rPr>
          <w:rFonts w:ascii="仿宋" w:eastAsia="仿宋" w:hAnsi="仿宋"/>
          <w:sz w:val="32"/>
          <w:szCs w:val="32"/>
        </w:rPr>
        <w:t>重点评估防范化解金融、地方债、房地产等重大风险，精准脱贫，以及大气、水、土壤等污染防治攻坚战推进情况，突出薄弱环节和关键领域的集中攻关进展情况。</w:t>
      </w:r>
    </w:p>
    <w:p w:rsidR="0020090D" w:rsidRDefault="00E74C8E">
      <w:pPr>
        <w:spacing w:line="576" w:lineRule="exact"/>
        <w:ind w:firstLineChars="200" w:firstLine="640"/>
        <w:rPr>
          <w:rFonts w:ascii="仿宋" w:eastAsia="仿宋" w:hAnsi="仿宋"/>
          <w:sz w:val="32"/>
          <w:szCs w:val="32"/>
        </w:rPr>
      </w:pPr>
      <w:r>
        <w:rPr>
          <w:rFonts w:ascii="楷体" w:eastAsia="楷体" w:hAnsi="楷体" w:hint="eastAsia"/>
          <w:color w:val="000000" w:themeColor="text1"/>
          <w:sz w:val="32"/>
          <w:szCs w:val="32"/>
        </w:rPr>
        <w:t>（六）重大工程项目进展情况。</w:t>
      </w:r>
      <w:r>
        <w:rPr>
          <w:rFonts w:ascii="仿宋" w:eastAsia="仿宋" w:hAnsi="仿宋" w:hint="eastAsia"/>
          <w:sz w:val="32"/>
          <w:szCs w:val="32"/>
        </w:rPr>
        <w:t>主要</w:t>
      </w:r>
      <w:r>
        <w:rPr>
          <w:rFonts w:ascii="仿宋" w:eastAsia="仿宋" w:hAnsi="仿宋"/>
          <w:sz w:val="32"/>
          <w:szCs w:val="32"/>
        </w:rPr>
        <w:t>评估</w:t>
      </w:r>
      <w:r>
        <w:rPr>
          <w:rFonts w:ascii="仿宋" w:eastAsia="仿宋" w:hAnsi="仿宋"/>
          <w:sz w:val="32"/>
          <w:szCs w:val="32"/>
        </w:rPr>
        <w:t>“</w:t>
      </w:r>
      <w:r>
        <w:rPr>
          <w:rFonts w:ascii="仿宋" w:eastAsia="仿宋" w:hAnsi="仿宋" w:hint="eastAsia"/>
          <w:sz w:val="32"/>
          <w:szCs w:val="32"/>
        </w:rPr>
        <w:t>十三五</w:t>
      </w:r>
      <w:r>
        <w:rPr>
          <w:rFonts w:ascii="仿宋" w:eastAsia="仿宋" w:hAnsi="仿宋"/>
          <w:sz w:val="32"/>
          <w:szCs w:val="32"/>
        </w:rPr>
        <w:t>”</w:t>
      </w:r>
      <w:r>
        <w:rPr>
          <w:rFonts w:ascii="仿宋" w:eastAsia="仿宋" w:hAnsi="仿宋" w:hint="eastAsia"/>
          <w:sz w:val="32"/>
          <w:szCs w:val="32"/>
        </w:rPr>
        <w:t>以来</w:t>
      </w:r>
      <w:r>
        <w:rPr>
          <w:rFonts w:ascii="仿宋" w:eastAsia="仿宋" w:hAnsi="仿宋"/>
          <w:sz w:val="32"/>
          <w:szCs w:val="32"/>
        </w:rPr>
        <w:t>重</w:t>
      </w:r>
      <w:r>
        <w:rPr>
          <w:rFonts w:ascii="仿宋" w:eastAsia="仿宋" w:hAnsi="仿宋" w:hint="eastAsia"/>
          <w:sz w:val="32"/>
          <w:szCs w:val="32"/>
        </w:rPr>
        <w:t>点</w:t>
      </w:r>
      <w:r>
        <w:rPr>
          <w:rFonts w:ascii="仿宋" w:eastAsia="仿宋" w:hAnsi="仿宋"/>
          <w:sz w:val="32"/>
          <w:szCs w:val="32"/>
        </w:rPr>
        <w:t>项目总体进展情况、取得的成效、存在的问题、下步</w:t>
      </w:r>
      <w:r>
        <w:rPr>
          <w:rFonts w:ascii="仿宋" w:eastAsia="仿宋" w:hAnsi="仿宋"/>
          <w:sz w:val="32"/>
          <w:szCs w:val="32"/>
        </w:rPr>
        <w:lastRenderedPageBreak/>
        <w:t>意见建议，研究提出删减和增补的重大项目清单。</w:t>
      </w:r>
    </w:p>
    <w:p w:rsidR="0020090D" w:rsidRDefault="00E74C8E">
      <w:pPr>
        <w:widowControl/>
        <w:shd w:val="clear" w:color="auto" w:fill="FFFFFF"/>
        <w:spacing w:line="540" w:lineRule="atLeast"/>
        <w:ind w:firstLine="600"/>
        <w:rPr>
          <w:rFonts w:ascii="仿宋" w:eastAsia="仿宋" w:hAnsi="仿宋" w:cs="仿宋"/>
          <w:sz w:val="32"/>
          <w:szCs w:val="32"/>
        </w:rPr>
      </w:pPr>
      <w:r>
        <w:rPr>
          <w:rFonts w:ascii="楷体" w:eastAsia="楷体" w:hAnsi="楷体" w:hint="eastAsia"/>
          <w:color w:val="000000" w:themeColor="text1"/>
          <w:sz w:val="32"/>
          <w:szCs w:val="32"/>
        </w:rPr>
        <w:t>（七）规划调整意见建议。</w:t>
      </w:r>
      <w:r>
        <w:rPr>
          <w:rFonts w:ascii="仿宋" w:eastAsia="仿宋" w:hAnsi="仿宋"/>
          <w:sz w:val="32"/>
          <w:szCs w:val="32"/>
        </w:rPr>
        <w:t>客观评价规划实施进展情况，综合研判内外发展形势变化，深入研究论证是否需要对规划进行调整，按照有关程序，提出意见建议。</w:t>
      </w:r>
    </w:p>
    <w:p w:rsidR="0020090D" w:rsidRDefault="00E74C8E">
      <w:pPr>
        <w:ind w:firstLineChars="200" w:firstLine="640"/>
        <w:rPr>
          <w:rFonts w:ascii="黑体" w:eastAsia="黑体" w:hAnsi="黑体" w:cs="黑体"/>
          <w:sz w:val="32"/>
          <w:szCs w:val="32"/>
        </w:rPr>
      </w:pPr>
      <w:r>
        <w:rPr>
          <w:rFonts w:ascii="黑体" w:eastAsia="黑体" w:hAnsi="黑体" w:cs="黑体" w:hint="eastAsia"/>
          <w:sz w:val="32"/>
          <w:szCs w:val="32"/>
        </w:rPr>
        <w:t>三、评估范围</w:t>
      </w:r>
      <w:r>
        <w:rPr>
          <w:rFonts w:ascii="黑体" w:eastAsia="黑体" w:hAnsi="黑体" w:cs="黑体"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（一）</w:t>
      </w:r>
      <w:r>
        <w:rPr>
          <w:rFonts w:ascii="楷体" w:eastAsia="楷体" w:hAnsi="楷体" w:cs="楷体" w:hint="eastAsia"/>
          <w:sz w:val="32"/>
          <w:szCs w:val="32"/>
        </w:rPr>
        <w:t>中期</w:t>
      </w:r>
      <w:r>
        <w:rPr>
          <w:rFonts w:ascii="楷体" w:eastAsia="楷体" w:hAnsi="楷体" w:cs="楷体" w:hint="eastAsia"/>
          <w:sz w:val="32"/>
          <w:szCs w:val="32"/>
        </w:rPr>
        <w:t>评估范围。</w:t>
      </w:r>
      <w:r>
        <w:rPr>
          <w:rFonts w:ascii="仿宋" w:eastAsia="仿宋" w:hAnsi="仿宋" w:cs="仿宋" w:hint="eastAsia"/>
          <w:sz w:val="32"/>
          <w:szCs w:val="32"/>
        </w:rPr>
        <w:t>津市市</w:t>
      </w:r>
      <w:r>
        <w:rPr>
          <w:rFonts w:ascii="仿宋" w:eastAsia="仿宋" w:hAnsi="仿宋" w:cs="仿宋" w:hint="eastAsia"/>
          <w:sz w:val="32"/>
          <w:szCs w:val="32"/>
        </w:rPr>
        <w:t>“十三五”</w:t>
      </w:r>
      <w:r>
        <w:rPr>
          <w:rFonts w:ascii="仿宋" w:eastAsia="仿宋" w:hAnsi="仿宋" w:cs="仿宋" w:hint="eastAsia"/>
          <w:sz w:val="32"/>
          <w:szCs w:val="32"/>
        </w:rPr>
        <w:t>发展</w:t>
      </w:r>
      <w:r>
        <w:rPr>
          <w:rFonts w:ascii="仿宋" w:eastAsia="仿宋" w:hAnsi="仿宋" w:cs="仿宋" w:hint="eastAsia"/>
          <w:sz w:val="32"/>
          <w:szCs w:val="32"/>
        </w:rPr>
        <w:t>规划是由“十三五”规划纲要、“十三五”重</w:t>
      </w:r>
      <w:r>
        <w:rPr>
          <w:rFonts w:ascii="仿宋" w:eastAsia="仿宋" w:hAnsi="仿宋" w:cs="仿宋" w:hint="eastAsia"/>
          <w:sz w:val="32"/>
          <w:szCs w:val="32"/>
        </w:rPr>
        <w:t>点</w:t>
      </w:r>
      <w:r>
        <w:rPr>
          <w:rFonts w:ascii="仿宋" w:eastAsia="仿宋" w:hAnsi="仿宋" w:cs="仿宋" w:hint="eastAsia"/>
          <w:sz w:val="32"/>
          <w:szCs w:val="32"/>
        </w:rPr>
        <w:t>项目</w:t>
      </w:r>
      <w:r>
        <w:rPr>
          <w:rFonts w:ascii="仿宋" w:eastAsia="仿宋" w:hAnsi="仿宋" w:cs="仿宋" w:hint="eastAsia"/>
          <w:sz w:val="32"/>
          <w:szCs w:val="32"/>
        </w:rPr>
        <w:t>库</w:t>
      </w:r>
      <w:r>
        <w:rPr>
          <w:rFonts w:ascii="仿宋" w:eastAsia="仿宋" w:hAnsi="仿宋" w:cs="仿宋" w:hint="eastAsia"/>
          <w:sz w:val="32"/>
          <w:szCs w:val="32"/>
        </w:rPr>
        <w:t>构成的规划体系，这次中期评估主要是对“十三五”规划纲要实施情况</w:t>
      </w:r>
      <w:r>
        <w:rPr>
          <w:rFonts w:ascii="仿宋" w:eastAsia="仿宋" w:hAnsi="仿宋" w:cs="仿宋" w:hint="eastAsia"/>
          <w:sz w:val="32"/>
          <w:szCs w:val="32"/>
        </w:rPr>
        <w:t>、“十三五”重点项目建设情况</w:t>
      </w:r>
      <w:r>
        <w:rPr>
          <w:rFonts w:ascii="仿宋" w:eastAsia="仿宋" w:hAnsi="仿宋" w:cs="仿宋" w:hint="eastAsia"/>
          <w:sz w:val="32"/>
          <w:szCs w:val="32"/>
        </w:rPr>
        <w:t>进行评估。</w:t>
      </w:r>
      <w:r>
        <w:rPr>
          <w:rFonts w:ascii="仿宋" w:eastAsia="仿宋" w:hAnsi="仿宋" w:cs="仿宋" w:hint="eastAsia"/>
          <w:sz w:val="32"/>
          <w:szCs w:val="32"/>
        </w:rPr>
        <w:t xml:space="preserve"> </w:t>
      </w:r>
    </w:p>
    <w:p w:rsidR="0020090D" w:rsidRDefault="00E74C8E">
      <w:pPr>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市直部门开展的工作</w:t>
      </w:r>
      <w:r>
        <w:rPr>
          <w:rFonts w:ascii="楷体" w:eastAsia="楷体" w:hAnsi="楷体" w:cs="楷体" w:hint="eastAsia"/>
          <w:sz w:val="32"/>
          <w:szCs w:val="32"/>
        </w:rPr>
        <w:t>。</w:t>
      </w:r>
      <w:r>
        <w:rPr>
          <w:rFonts w:ascii="仿宋" w:eastAsia="仿宋" w:hAnsi="仿宋" w:cs="仿宋" w:hint="eastAsia"/>
          <w:sz w:val="32"/>
          <w:szCs w:val="32"/>
        </w:rPr>
        <w:t>一是市直有关部门对照</w:t>
      </w:r>
      <w:r>
        <w:rPr>
          <w:rFonts w:ascii="仿宋" w:eastAsia="仿宋" w:hAnsi="仿宋" w:cs="仿宋" w:hint="eastAsia"/>
          <w:sz w:val="32"/>
          <w:szCs w:val="32"/>
        </w:rPr>
        <w:t>“十三五”规划纲要中与本部门职责相关的发展目标、发展任务、重点</w:t>
      </w:r>
      <w:r>
        <w:rPr>
          <w:rFonts w:ascii="仿宋" w:eastAsia="仿宋" w:hAnsi="仿宋" w:cs="仿宋" w:hint="eastAsia"/>
          <w:sz w:val="32"/>
          <w:szCs w:val="32"/>
        </w:rPr>
        <w:t>工作</w:t>
      </w:r>
      <w:r>
        <w:rPr>
          <w:rFonts w:ascii="仿宋" w:eastAsia="仿宋" w:hAnsi="仿宋" w:cs="仿宋" w:hint="eastAsia"/>
          <w:sz w:val="32"/>
          <w:szCs w:val="32"/>
        </w:rPr>
        <w:t>等实施情况</w:t>
      </w:r>
      <w:r>
        <w:rPr>
          <w:rFonts w:ascii="仿宋" w:eastAsia="仿宋" w:hAnsi="仿宋" w:cs="仿宋" w:hint="eastAsia"/>
          <w:sz w:val="32"/>
          <w:szCs w:val="32"/>
        </w:rPr>
        <w:t>和“十三五”期间计划开展的重点项目建设情况</w:t>
      </w:r>
      <w:r>
        <w:rPr>
          <w:rFonts w:ascii="仿宋" w:eastAsia="仿宋" w:hAnsi="仿宋" w:cs="仿宋" w:hint="eastAsia"/>
          <w:sz w:val="32"/>
          <w:szCs w:val="32"/>
        </w:rPr>
        <w:t>进行中期评估</w:t>
      </w:r>
      <w:r>
        <w:rPr>
          <w:rFonts w:ascii="仿宋" w:eastAsia="仿宋" w:hAnsi="仿宋" w:cs="仿宋" w:hint="eastAsia"/>
          <w:sz w:val="32"/>
          <w:szCs w:val="32"/>
        </w:rPr>
        <w:t>，</w:t>
      </w:r>
      <w:r>
        <w:rPr>
          <w:rFonts w:ascii="仿宋" w:eastAsia="仿宋" w:hAnsi="仿宋" w:cs="仿宋" w:hint="eastAsia"/>
          <w:sz w:val="32"/>
          <w:szCs w:val="32"/>
        </w:rPr>
        <w:t>并</w:t>
      </w:r>
      <w:r>
        <w:rPr>
          <w:rFonts w:ascii="仿宋" w:eastAsia="仿宋" w:hAnsi="仿宋" w:cs="仿宋" w:hint="eastAsia"/>
          <w:sz w:val="32"/>
          <w:szCs w:val="32"/>
        </w:rPr>
        <w:t>分类</w:t>
      </w:r>
      <w:r>
        <w:rPr>
          <w:rFonts w:ascii="仿宋" w:eastAsia="仿宋" w:hAnsi="仿宋" w:cs="仿宋" w:hint="eastAsia"/>
          <w:sz w:val="32"/>
          <w:szCs w:val="32"/>
        </w:rPr>
        <w:t>提出</w:t>
      </w:r>
      <w:r>
        <w:rPr>
          <w:rFonts w:ascii="仿宋" w:eastAsia="仿宋" w:hAnsi="仿宋" w:cs="仿宋" w:hint="eastAsia"/>
          <w:sz w:val="32"/>
          <w:szCs w:val="32"/>
        </w:rPr>
        <w:t>详实的</w:t>
      </w:r>
      <w:r>
        <w:rPr>
          <w:rFonts w:ascii="仿宋" w:eastAsia="仿宋" w:hAnsi="仿宋" w:cs="仿宋" w:hint="eastAsia"/>
          <w:sz w:val="32"/>
          <w:szCs w:val="32"/>
        </w:rPr>
        <w:t>评估报告。</w:t>
      </w:r>
      <w:r>
        <w:rPr>
          <w:rFonts w:ascii="仿宋" w:eastAsia="仿宋" w:hAnsi="仿宋" w:cs="仿宋" w:hint="eastAsia"/>
          <w:sz w:val="32"/>
          <w:szCs w:val="32"/>
        </w:rPr>
        <w:t>二是各重点专项规划编制部门单位对各单位的专项规划实施情况进行中期评估，形成部门单位专项规划评估报告</w:t>
      </w:r>
      <w:r>
        <w:rPr>
          <w:rFonts w:ascii="仿宋" w:eastAsia="仿宋" w:hAnsi="仿宋" w:cs="仿宋" w:hint="eastAsia"/>
          <w:sz w:val="32"/>
          <w:szCs w:val="32"/>
        </w:rPr>
        <w:t>。</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）评估报告的主要内容。</w:t>
      </w:r>
      <w:r>
        <w:rPr>
          <w:rFonts w:ascii="仿宋" w:eastAsia="仿宋" w:hAnsi="仿宋" w:cs="仿宋" w:hint="eastAsia"/>
          <w:sz w:val="32"/>
          <w:szCs w:val="32"/>
        </w:rPr>
        <w:t>评估报告的内容主要包括以下</w:t>
      </w:r>
      <w:r>
        <w:rPr>
          <w:rFonts w:ascii="仿宋" w:eastAsia="仿宋" w:hAnsi="仿宋" w:cs="仿宋" w:hint="eastAsia"/>
          <w:sz w:val="32"/>
          <w:szCs w:val="32"/>
        </w:rPr>
        <w:t>6</w:t>
      </w:r>
      <w:r>
        <w:rPr>
          <w:rFonts w:ascii="仿宋" w:eastAsia="仿宋" w:hAnsi="仿宋" w:cs="仿宋" w:hint="eastAsia"/>
          <w:sz w:val="32"/>
          <w:szCs w:val="32"/>
        </w:rPr>
        <w:t>个方面：</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《纲要》提出的目标、任务的进展情况和主要成效；</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为完成《纲要》确定的任务制定并实施了哪些新的政策和改革创新的举措；</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完成各项任务和落实各项政策措施存在的主要问题及其原因；</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提出《纲要》需要调整和修订的内容，提出调整的理由、依据（发展环境分析）；</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《纲要》</w:t>
      </w:r>
      <w:r>
        <w:rPr>
          <w:rFonts w:ascii="仿宋" w:eastAsia="仿宋" w:hAnsi="仿宋" w:cs="仿宋" w:hint="eastAsia"/>
          <w:sz w:val="32"/>
          <w:szCs w:val="32"/>
        </w:rPr>
        <w:t>和“十三五”项目库</w:t>
      </w:r>
      <w:r>
        <w:rPr>
          <w:rFonts w:ascii="仿宋" w:eastAsia="仿宋" w:hAnsi="仿宋" w:cs="仿宋" w:hint="eastAsia"/>
          <w:sz w:val="32"/>
          <w:szCs w:val="32"/>
        </w:rPr>
        <w:t>提出的重</w:t>
      </w:r>
      <w:r>
        <w:rPr>
          <w:rFonts w:ascii="仿宋" w:eastAsia="仿宋" w:hAnsi="仿宋" w:cs="仿宋" w:hint="eastAsia"/>
          <w:sz w:val="32"/>
          <w:szCs w:val="32"/>
        </w:rPr>
        <w:t>点</w:t>
      </w:r>
      <w:r>
        <w:rPr>
          <w:rFonts w:ascii="仿宋" w:eastAsia="仿宋" w:hAnsi="仿宋" w:cs="仿宋" w:hint="eastAsia"/>
          <w:sz w:val="32"/>
          <w:szCs w:val="32"/>
        </w:rPr>
        <w:t>项目的实施情况，即对项目是否如期开（竣）工、进展程度、未开工（实施）原因、</w:t>
      </w:r>
      <w:r>
        <w:rPr>
          <w:rFonts w:ascii="仿宋" w:eastAsia="仿宋" w:hAnsi="仿宋" w:cs="仿宋" w:hint="eastAsia"/>
          <w:sz w:val="32"/>
          <w:szCs w:val="32"/>
        </w:rPr>
        <w:t>项目调整变化及</w:t>
      </w:r>
      <w:r>
        <w:rPr>
          <w:rFonts w:ascii="仿宋" w:eastAsia="仿宋" w:hAnsi="仿宋" w:cs="仿宋" w:hint="eastAsia"/>
          <w:sz w:val="32"/>
          <w:szCs w:val="32"/>
        </w:rPr>
        <w:t>存在的困难与问题等情况进行分析评价；</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确保今后规划</w:t>
      </w:r>
      <w:r>
        <w:rPr>
          <w:rFonts w:ascii="仿宋" w:eastAsia="仿宋" w:hAnsi="仿宋" w:cs="仿宋" w:hint="eastAsia"/>
          <w:sz w:val="32"/>
          <w:szCs w:val="32"/>
        </w:rPr>
        <w:t>和重点项目</w:t>
      </w:r>
      <w:r>
        <w:rPr>
          <w:rFonts w:ascii="仿宋" w:eastAsia="仿宋" w:hAnsi="仿宋" w:cs="仿宋" w:hint="eastAsia"/>
          <w:sz w:val="32"/>
          <w:szCs w:val="32"/>
        </w:rPr>
        <w:t>顺利实施的政策建议；</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（四）评估时间节点。</w:t>
      </w:r>
      <w:r>
        <w:rPr>
          <w:rFonts w:ascii="仿宋" w:eastAsia="仿宋" w:hAnsi="仿宋" w:cs="仿宋" w:hint="eastAsia"/>
          <w:sz w:val="32"/>
          <w:szCs w:val="32"/>
        </w:rPr>
        <w:t>中期</w:t>
      </w:r>
      <w:r>
        <w:rPr>
          <w:rFonts w:ascii="仿宋" w:eastAsia="仿宋" w:hAnsi="仿宋" w:cs="仿宋" w:hint="eastAsia"/>
          <w:sz w:val="32"/>
          <w:szCs w:val="32"/>
        </w:rPr>
        <w:t>评估</w:t>
      </w:r>
      <w:r>
        <w:rPr>
          <w:rFonts w:ascii="仿宋" w:eastAsia="仿宋" w:hAnsi="仿宋" w:cs="仿宋" w:hint="eastAsia"/>
          <w:sz w:val="32"/>
          <w:szCs w:val="32"/>
        </w:rPr>
        <w:t>报告采用数据一律截止</w:t>
      </w:r>
      <w:r>
        <w:rPr>
          <w:rFonts w:ascii="仿宋" w:eastAsia="仿宋" w:hAnsi="仿宋" w:cs="仿宋" w:hint="eastAsia"/>
          <w:sz w:val="32"/>
          <w:szCs w:val="32"/>
        </w:rPr>
        <w:t>时间节点为</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日。即评估</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年度，以及</w:t>
      </w:r>
      <w:r>
        <w:rPr>
          <w:rFonts w:ascii="仿宋" w:eastAsia="仿宋" w:hAnsi="仿宋" w:cs="仿宋" w:hint="eastAsia"/>
          <w:sz w:val="32"/>
          <w:szCs w:val="32"/>
        </w:rPr>
        <w:t>2018</w:t>
      </w:r>
      <w:r>
        <w:rPr>
          <w:rFonts w:ascii="仿宋" w:eastAsia="仿宋" w:hAnsi="仿宋" w:cs="仿宋" w:hint="eastAsia"/>
          <w:sz w:val="32"/>
          <w:szCs w:val="32"/>
        </w:rPr>
        <w:t>年上半年的执行实施情况，并对有关指标实施两年半来的平均增速与“十三五”规划年均增速进行比较。</w:t>
      </w:r>
      <w:r>
        <w:rPr>
          <w:rFonts w:ascii="仿宋" w:eastAsia="仿宋" w:hAnsi="仿宋" w:cs="仿宋" w:hint="eastAsia"/>
          <w:sz w:val="32"/>
          <w:szCs w:val="32"/>
        </w:rPr>
        <w:t xml:space="preserve"> </w:t>
      </w:r>
    </w:p>
    <w:p w:rsidR="0020090D" w:rsidRDefault="00E74C8E">
      <w:pPr>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、评估原则与方法</w:t>
      </w:r>
      <w:r>
        <w:rPr>
          <w:rFonts w:ascii="黑体" w:eastAsia="黑体" w:hAnsi="黑体" w:cs="黑体"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（一）重点与全面相结合。</w:t>
      </w:r>
      <w:r>
        <w:rPr>
          <w:rFonts w:ascii="仿宋" w:eastAsia="仿宋" w:hAnsi="仿宋" w:cs="仿宋" w:hint="eastAsia"/>
          <w:sz w:val="32"/>
          <w:szCs w:val="32"/>
        </w:rPr>
        <w:t>评估要做到重点和全面兼顾，对总体推进要进行全面评估，对重点任务和</w:t>
      </w:r>
      <w:r>
        <w:rPr>
          <w:rFonts w:ascii="仿宋" w:eastAsia="仿宋" w:hAnsi="仿宋" w:cs="仿宋" w:hint="eastAsia"/>
          <w:sz w:val="32"/>
          <w:szCs w:val="32"/>
        </w:rPr>
        <w:t>建设</w:t>
      </w:r>
      <w:r>
        <w:rPr>
          <w:rFonts w:ascii="仿宋" w:eastAsia="仿宋" w:hAnsi="仿宋" w:cs="仿宋" w:hint="eastAsia"/>
          <w:sz w:val="32"/>
          <w:szCs w:val="32"/>
        </w:rPr>
        <w:t>项目要进行重点评估。</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（二）定量与定性相结合。</w:t>
      </w:r>
      <w:r>
        <w:rPr>
          <w:rFonts w:ascii="仿宋" w:eastAsia="仿宋" w:hAnsi="仿宋" w:cs="仿宋" w:hint="eastAsia"/>
          <w:sz w:val="32"/>
          <w:szCs w:val="32"/>
        </w:rPr>
        <w:t>对有明确指标的目标，在定量的基础上进行定性分析；对无明确指标的目标，采取定性描述与分析。通过定量与定性评估，客观分析评估《纲要》的各项目标，每一年的变化情况等是否均已达到预期目标，找出存在的重点难点问题及原因。</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（三）进度与结论相结合。</w:t>
      </w:r>
      <w:r>
        <w:rPr>
          <w:rFonts w:ascii="仿宋" w:eastAsia="仿宋" w:hAnsi="仿宋" w:cs="仿宋" w:hint="eastAsia"/>
          <w:sz w:val="32"/>
          <w:szCs w:val="32"/>
        </w:rPr>
        <w:t>针对规划预期指标的进展情况要分别提出评估结论，即进展超前，可以提前完成；进展</w:t>
      </w:r>
      <w:r>
        <w:rPr>
          <w:rFonts w:ascii="仿宋" w:eastAsia="仿宋" w:hAnsi="仿宋" w:cs="仿宋" w:hint="eastAsia"/>
          <w:sz w:val="32"/>
          <w:szCs w:val="32"/>
        </w:rPr>
        <w:lastRenderedPageBreak/>
        <w:t>良好，可以如期完成；进展较慢，需要加速推进；情况变化，难以完成以及需要调整的指标目标等。同时，要对重大指标是否达到预期进度作出说明，并视其完成程度及对</w:t>
      </w:r>
      <w:r>
        <w:rPr>
          <w:rFonts w:ascii="仿宋" w:eastAsia="仿宋" w:hAnsi="仿宋" w:cs="仿宋" w:hint="eastAsia"/>
          <w:sz w:val="32"/>
          <w:szCs w:val="32"/>
        </w:rPr>
        <w:t>后两年半的判断分析，提出是否调整指标的建议。</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、工作要求</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（一）要</w:t>
      </w:r>
      <w:r>
        <w:rPr>
          <w:rFonts w:ascii="楷体" w:eastAsia="楷体" w:hAnsi="楷体" w:cs="楷体" w:hint="eastAsia"/>
          <w:sz w:val="32"/>
          <w:szCs w:val="32"/>
        </w:rPr>
        <w:t>引起高度重视</w:t>
      </w:r>
      <w:r>
        <w:rPr>
          <w:rFonts w:ascii="楷体" w:eastAsia="楷体" w:hAnsi="楷体" w:cs="楷体" w:hint="eastAsia"/>
          <w:sz w:val="32"/>
          <w:szCs w:val="32"/>
        </w:rPr>
        <w:t>。</w:t>
      </w:r>
      <w:r>
        <w:rPr>
          <w:rFonts w:ascii="仿宋" w:eastAsia="仿宋" w:hAnsi="仿宋" w:cs="仿宋" w:hint="eastAsia"/>
          <w:sz w:val="32"/>
          <w:szCs w:val="32"/>
        </w:rPr>
        <w:t>市有关</w:t>
      </w:r>
      <w:r>
        <w:rPr>
          <w:rFonts w:ascii="仿宋" w:eastAsia="仿宋" w:hAnsi="仿宋" w:cs="仿宋" w:hint="eastAsia"/>
          <w:sz w:val="32"/>
          <w:szCs w:val="32"/>
        </w:rPr>
        <w:t>单位要切实负起责任，要组织专门力量，</w:t>
      </w:r>
      <w:r>
        <w:rPr>
          <w:rFonts w:ascii="仿宋" w:eastAsia="仿宋" w:hAnsi="仿宋" w:cs="仿宋" w:hint="eastAsia"/>
          <w:sz w:val="32"/>
          <w:szCs w:val="32"/>
        </w:rPr>
        <w:t>按照单位职能</w:t>
      </w:r>
      <w:r>
        <w:rPr>
          <w:rFonts w:ascii="仿宋" w:eastAsia="仿宋" w:hAnsi="仿宋" w:cs="仿宋" w:hint="eastAsia"/>
          <w:sz w:val="32"/>
          <w:szCs w:val="32"/>
        </w:rPr>
        <w:t>职责</w:t>
      </w:r>
      <w:r>
        <w:rPr>
          <w:rFonts w:ascii="仿宋" w:eastAsia="仿宋" w:hAnsi="仿宋" w:cs="仿宋" w:hint="eastAsia"/>
          <w:sz w:val="32"/>
          <w:szCs w:val="32"/>
        </w:rPr>
        <w:t>及</w:t>
      </w:r>
      <w:r>
        <w:rPr>
          <w:rFonts w:ascii="仿宋" w:eastAsia="仿宋" w:hAnsi="仿宋" w:cs="仿宋" w:hint="eastAsia"/>
          <w:sz w:val="32"/>
          <w:szCs w:val="32"/>
        </w:rPr>
        <w:t>分工</w:t>
      </w:r>
      <w:r>
        <w:rPr>
          <w:rFonts w:ascii="仿宋" w:eastAsia="仿宋" w:hAnsi="仿宋" w:cs="仿宋" w:hint="eastAsia"/>
          <w:sz w:val="32"/>
          <w:szCs w:val="32"/>
        </w:rPr>
        <w:t>，</w:t>
      </w:r>
      <w:r>
        <w:rPr>
          <w:rFonts w:ascii="仿宋" w:eastAsia="仿宋" w:hAnsi="仿宋" w:cs="仿宋" w:hint="eastAsia"/>
          <w:sz w:val="32"/>
          <w:szCs w:val="32"/>
        </w:rPr>
        <w:t>积极主动认真撰写</w:t>
      </w:r>
      <w:r>
        <w:rPr>
          <w:rFonts w:ascii="仿宋" w:eastAsia="仿宋" w:hAnsi="仿宋" w:cs="仿宋" w:hint="eastAsia"/>
          <w:sz w:val="32"/>
          <w:szCs w:val="32"/>
        </w:rPr>
        <w:t>评估</w:t>
      </w:r>
      <w:r>
        <w:rPr>
          <w:rFonts w:ascii="仿宋" w:eastAsia="仿宋" w:hAnsi="仿宋" w:cs="仿宋" w:hint="eastAsia"/>
          <w:sz w:val="32"/>
          <w:szCs w:val="32"/>
        </w:rPr>
        <w:t>报告，提交的评估材料应包括前述</w:t>
      </w:r>
      <w:r>
        <w:rPr>
          <w:rFonts w:ascii="仿宋" w:eastAsia="仿宋" w:hAnsi="仿宋" w:cs="仿宋" w:hint="eastAsia"/>
          <w:sz w:val="32"/>
          <w:szCs w:val="32"/>
        </w:rPr>
        <w:t>6</w:t>
      </w:r>
      <w:r>
        <w:rPr>
          <w:rFonts w:ascii="仿宋" w:eastAsia="仿宋" w:hAnsi="仿宋" w:cs="仿宋" w:hint="eastAsia"/>
          <w:sz w:val="32"/>
          <w:szCs w:val="32"/>
        </w:rPr>
        <w:t>个方面的内容，报告篇章结构自行确定。</w:t>
      </w:r>
      <w:r>
        <w:rPr>
          <w:rFonts w:ascii="仿宋" w:eastAsia="仿宋" w:hAnsi="仿宋" w:cs="仿宋" w:hint="eastAsia"/>
          <w:sz w:val="32"/>
          <w:szCs w:val="32"/>
        </w:rPr>
        <w:t>市</w:t>
      </w:r>
      <w:r>
        <w:rPr>
          <w:rFonts w:ascii="仿宋" w:eastAsia="仿宋" w:hAnsi="仿宋" w:cs="仿宋" w:hint="eastAsia"/>
          <w:sz w:val="32"/>
          <w:szCs w:val="32"/>
        </w:rPr>
        <w:t>发改局将在各有关</w:t>
      </w:r>
      <w:r>
        <w:rPr>
          <w:rFonts w:ascii="仿宋" w:eastAsia="仿宋" w:hAnsi="仿宋" w:cs="仿宋" w:hint="eastAsia"/>
          <w:sz w:val="32"/>
          <w:szCs w:val="32"/>
        </w:rPr>
        <w:t>单位</w:t>
      </w:r>
      <w:r>
        <w:rPr>
          <w:rFonts w:ascii="仿宋" w:eastAsia="仿宋" w:hAnsi="仿宋" w:cs="仿宋" w:hint="eastAsia"/>
          <w:sz w:val="32"/>
          <w:szCs w:val="32"/>
        </w:rPr>
        <w:t>提交的</w:t>
      </w:r>
      <w:r>
        <w:rPr>
          <w:rFonts w:ascii="仿宋" w:eastAsia="仿宋" w:hAnsi="仿宋" w:cs="仿宋" w:hint="eastAsia"/>
          <w:sz w:val="32"/>
          <w:szCs w:val="32"/>
        </w:rPr>
        <w:t>中期</w:t>
      </w:r>
      <w:r>
        <w:rPr>
          <w:rFonts w:ascii="仿宋" w:eastAsia="仿宋" w:hAnsi="仿宋" w:cs="仿宋" w:hint="eastAsia"/>
          <w:sz w:val="32"/>
          <w:szCs w:val="32"/>
        </w:rPr>
        <w:t>评估报告</w:t>
      </w:r>
      <w:r>
        <w:rPr>
          <w:rFonts w:ascii="仿宋" w:eastAsia="仿宋" w:hAnsi="仿宋" w:cs="仿宋" w:hint="eastAsia"/>
          <w:sz w:val="32"/>
          <w:szCs w:val="32"/>
        </w:rPr>
        <w:t>和专项评估报告</w:t>
      </w:r>
      <w:r>
        <w:rPr>
          <w:rFonts w:ascii="仿宋" w:eastAsia="仿宋" w:hAnsi="仿宋" w:cs="仿宋" w:hint="eastAsia"/>
          <w:sz w:val="32"/>
          <w:szCs w:val="32"/>
        </w:rPr>
        <w:t>的基础上，</w:t>
      </w:r>
      <w:r>
        <w:rPr>
          <w:rFonts w:ascii="仿宋" w:eastAsia="仿宋" w:hAnsi="仿宋" w:cs="仿宋" w:hint="eastAsia"/>
          <w:sz w:val="32"/>
          <w:szCs w:val="32"/>
        </w:rPr>
        <w:t>综合</w:t>
      </w:r>
      <w:r>
        <w:rPr>
          <w:rFonts w:ascii="仿宋" w:eastAsia="仿宋" w:hAnsi="仿宋" w:cs="仿宋" w:hint="eastAsia"/>
          <w:sz w:val="32"/>
          <w:szCs w:val="32"/>
        </w:rPr>
        <w:t>汇总形成《</w:t>
      </w:r>
      <w:r>
        <w:rPr>
          <w:rFonts w:ascii="仿宋" w:eastAsia="仿宋" w:hAnsi="仿宋" w:cs="仿宋" w:hint="eastAsia"/>
          <w:sz w:val="32"/>
          <w:szCs w:val="32"/>
        </w:rPr>
        <w:t>津市市</w:t>
      </w:r>
      <w:r>
        <w:rPr>
          <w:rFonts w:ascii="仿宋" w:eastAsia="仿宋" w:hAnsi="仿宋" w:cs="仿宋" w:hint="eastAsia"/>
          <w:sz w:val="32"/>
          <w:szCs w:val="32"/>
        </w:rPr>
        <w:t>“十三五”规划中期评估报告》（送审稿）。</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（二）要科学进行评估。</w:t>
      </w:r>
      <w:r>
        <w:rPr>
          <w:rFonts w:ascii="仿宋" w:eastAsia="仿宋" w:hAnsi="仿宋" w:cs="仿宋" w:hint="eastAsia"/>
          <w:sz w:val="32"/>
          <w:szCs w:val="32"/>
        </w:rPr>
        <w:t>在“十三五”规划中期评估过程中，要加强调查研究，广泛听取各方面的意见；要坚持实事求是，客观分析，反映实际情况；要突出重点，</w:t>
      </w:r>
      <w:r>
        <w:rPr>
          <w:rFonts w:ascii="仿宋" w:eastAsia="仿宋" w:hAnsi="仿宋" w:cs="仿宋" w:hint="eastAsia"/>
          <w:sz w:val="32"/>
          <w:szCs w:val="32"/>
        </w:rPr>
        <w:t>对标党的十九大明确的新目标新部署新要求和市委</w:t>
      </w:r>
      <w:r>
        <w:rPr>
          <w:rFonts w:ascii="仿宋" w:eastAsia="仿宋" w:hAnsi="仿宋" w:cs="仿宋" w:hint="eastAsia"/>
          <w:sz w:val="32"/>
          <w:szCs w:val="32"/>
        </w:rPr>
        <w:t>第十二次</w:t>
      </w:r>
      <w:r>
        <w:rPr>
          <w:rFonts w:ascii="仿宋" w:eastAsia="仿宋" w:hAnsi="仿宋" w:cs="仿宋" w:hint="eastAsia"/>
          <w:sz w:val="32"/>
          <w:szCs w:val="32"/>
        </w:rPr>
        <w:t>党代会各项决策部署，紧扣《纲要》提出的目标</w:t>
      </w:r>
      <w:r>
        <w:rPr>
          <w:rFonts w:ascii="仿宋" w:eastAsia="仿宋" w:hAnsi="仿宋" w:cs="仿宋" w:hint="eastAsia"/>
          <w:sz w:val="32"/>
          <w:szCs w:val="32"/>
        </w:rPr>
        <w:t>指标、</w:t>
      </w:r>
      <w:r>
        <w:rPr>
          <w:rFonts w:ascii="仿宋" w:eastAsia="仿宋" w:hAnsi="仿宋" w:cs="仿宋" w:hint="eastAsia"/>
          <w:sz w:val="32"/>
          <w:szCs w:val="32"/>
        </w:rPr>
        <w:t>重大工程、重大任务工作情况及成效进展进行全面评估，提供实现进度、预期展望及相关说明。</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楷体" w:eastAsia="楷体" w:hAnsi="楷体" w:cs="楷体" w:hint="eastAsia"/>
          <w:sz w:val="32"/>
          <w:szCs w:val="32"/>
        </w:rPr>
        <w:t>（三）要按时</w:t>
      </w:r>
      <w:r>
        <w:rPr>
          <w:rFonts w:ascii="楷体" w:eastAsia="楷体" w:hAnsi="楷体" w:cs="楷体" w:hint="eastAsia"/>
          <w:sz w:val="32"/>
          <w:szCs w:val="32"/>
        </w:rPr>
        <w:t>按质</w:t>
      </w:r>
      <w:r>
        <w:rPr>
          <w:rFonts w:ascii="楷体" w:eastAsia="楷体" w:hAnsi="楷体" w:cs="楷体" w:hint="eastAsia"/>
          <w:sz w:val="32"/>
          <w:szCs w:val="32"/>
        </w:rPr>
        <w:t>完成任务。</w:t>
      </w:r>
      <w:r>
        <w:rPr>
          <w:rFonts w:ascii="仿宋" w:eastAsia="仿宋" w:hAnsi="仿宋" w:cs="仿宋" w:hint="eastAsia"/>
          <w:sz w:val="32"/>
          <w:szCs w:val="32"/>
        </w:rPr>
        <w:t>市</w:t>
      </w:r>
      <w:r>
        <w:rPr>
          <w:rFonts w:ascii="仿宋" w:eastAsia="仿宋" w:hAnsi="仿宋" w:cs="仿宋" w:hint="eastAsia"/>
          <w:sz w:val="32"/>
          <w:szCs w:val="32"/>
        </w:rPr>
        <w:t>有关</w:t>
      </w:r>
      <w:r>
        <w:rPr>
          <w:rFonts w:ascii="仿宋" w:eastAsia="仿宋" w:hAnsi="仿宋" w:cs="仿宋" w:hint="eastAsia"/>
          <w:sz w:val="32"/>
          <w:szCs w:val="32"/>
        </w:rPr>
        <w:t>单位</w:t>
      </w:r>
      <w:r>
        <w:rPr>
          <w:rFonts w:ascii="仿宋" w:eastAsia="仿宋" w:hAnsi="仿宋" w:cs="仿宋" w:hint="eastAsia"/>
          <w:sz w:val="32"/>
          <w:szCs w:val="32"/>
        </w:rPr>
        <w:t>务必于</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日前形成《纲要》</w:t>
      </w:r>
      <w:r>
        <w:rPr>
          <w:rFonts w:ascii="仿宋" w:eastAsia="仿宋" w:hAnsi="仿宋" w:cs="仿宋" w:hint="eastAsia"/>
          <w:sz w:val="32"/>
          <w:szCs w:val="32"/>
        </w:rPr>
        <w:t>和“十三五”重点项目库</w:t>
      </w:r>
      <w:r>
        <w:rPr>
          <w:rFonts w:ascii="仿宋" w:eastAsia="仿宋" w:hAnsi="仿宋" w:cs="仿宋" w:hint="eastAsia"/>
          <w:sz w:val="32"/>
          <w:szCs w:val="32"/>
        </w:rPr>
        <w:t>评估报告</w:t>
      </w:r>
      <w:r>
        <w:rPr>
          <w:rFonts w:ascii="仿宋" w:eastAsia="仿宋" w:hAnsi="仿宋" w:cs="仿宋" w:hint="eastAsia"/>
          <w:sz w:val="32"/>
          <w:szCs w:val="32"/>
        </w:rPr>
        <w:t>及</w:t>
      </w:r>
      <w:r>
        <w:rPr>
          <w:rFonts w:ascii="仿宋" w:eastAsia="仿宋" w:hAnsi="仿宋" w:cs="仿宋" w:hint="eastAsia"/>
          <w:sz w:val="32"/>
          <w:szCs w:val="32"/>
        </w:rPr>
        <w:t>专项</w:t>
      </w:r>
      <w:r>
        <w:rPr>
          <w:rFonts w:ascii="仿宋" w:eastAsia="仿宋" w:hAnsi="仿宋" w:cs="仿宋" w:hint="eastAsia"/>
          <w:sz w:val="32"/>
          <w:szCs w:val="32"/>
        </w:rPr>
        <w:t>发展规划实施情况中期评估报告</w:t>
      </w:r>
      <w:r>
        <w:rPr>
          <w:rFonts w:ascii="仿宋" w:eastAsia="仿宋" w:hAnsi="仿宋" w:cs="仿宋" w:hint="eastAsia"/>
          <w:sz w:val="32"/>
          <w:szCs w:val="32"/>
        </w:rPr>
        <w:t>，</w:t>
      </w:r>
      <w:r>
        <w:rPr>
          <w:rFonts w:ascii="仿宋" w:eastAsia="仿宋" w:hAnsi="仿宋" w:cs="仿宋" w:hint="eastAsia"/>
          <w:sz w:val="32"/>
          <w:szCs w:val="32"/>
        </w:rPr>
        <w:t>纸质文档和电子文档各一份，纸质文档</w:t>
      </w:r>
      <w:r>
        <w:rPr>
          <w:rFonts w:ascii="仿宋" w:eastAsia="仿宋" w:hAnsi="仿宋" w:cs="仿宋" w:hint="eastAsia"/>
          <w:sz w:val="32"/>
          <w:szCs w:val="32"/>
        </w:rPr>
        <w:t>经</w:t>
      </w:r>
      <w:r>
        <w:rPr>
          <w:rFonts w:ascii="仿宋" w:eastAsia="仿宋" w:hAnsi="仿宋" w:cs="仿宋" w:hint="eastAsia"/>
          <w:sz w:val="32"/>
          <w:szCs w:val="32"/>
        </w:rPr>
        <w:t>单位“一把手”签字</w:t>
      </w:r>
      <w:r>
        <w:rPr>
          <w:rFonts w:ascii="仿宋" w:eastAsia="仿宋" w:hAnsi="仿宋" w:cs="仿宋" w:hint="eastAsia"/>
          <w:sz w:val="32"/>
          <w:szCs w:val="32"/>
        </w:rPr>
        <w:t>后报</w:t>
      </w:r>
      <w:r>
        <w:rPr>
          <w:rFonts w:ascii="仿宋" w:eastAsia="仿宋" w:hAnsi="仿宋" w:cs="仿宋" w:hint="eastAsia"/>
          <w:sz w:val="32"/>
          <w:szCs w:val="32"/>
        </w:rPr>
        <w:t>市</w:t>
      </w:r>
      <w:r>
        <w:rPr>
          <w:rFonts w:ascii="仿宋" w:eastAsia="仿宋" w:hAnsi="仿宋" w:cs="仿宋" w:hint="eastAsia"/>
          <w:sz w:val="32"/>
          <w:szCs w:val="32"/>
        </w:rPr>
        <w:t>发改局</w:t>
      </w:r>
      <w:r>
        <w:rPr>
          <w:rFonts w:ascii="仿宋" w:eastAsia="仿宋" w:hAnsi="仿宋" w:cs="仿宋" w:hint="eastAsia"/>
          <w:sz w:val="32"/>
          <w:szCs w:val="32"/>
        </w:rPr>
        <w:t>（联络人：</w:t>
      </w:r>
      <w:r>
        <w:rPr>
          <w:rFonts w:ascii="仿宋" w:eastAsia="仿宋" w:hAnsi="仿宋" w:cs="仿宋" w:hint="eastAsia"/>
          <w:sz w:val="32"/>
          <w:szCs w:val="32"/>
        </w:rPr>
        <w:lastRenderedPageBreak/>
        <w:t>屈良、王金霞</w:t>
      </w:r>
      <w:r>
        <w:rPr>
          <w:rFonts w:ascii="仿宋" w:eastAsia="仿宋" w:hAnsi="仿宋" w:cs="仿宋" w:hint="eastAsia"/>
          <w:sz w:val="32"/>
          <w:szCs w:val="32"/>
        </w:rPr>
        <w:t xml:space="preserve">4218591  18670673056 </w:t>
      </w:r>
      <w:r>
        <w:rPr>
          <w:rFonts w:ascii="仿宋" w:eastAsia="仿宋" w:hAnsi="仿宋" w:cs="仿宋" w:hint="eastAsia"/>
          <w:sz w:val="32"/>
          <w:szCs w:val="32"/>
        </w:rPr>
        <w:t>邮箱</w:t>
      </w:r>
      <w:r>
        <w:rPr>
          <w:rFonts w:ascii="仿宋" w:eastAsia="仿宋" w:hAnsi="仿宋" w:cs="仿宋" w:hint="eastAsia"/>
          <w:sz w:val="32"/>
          <w:szCs w:val="32"/>
        </w:rPr>
        <w:t>1270920123@qq.com</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r>
        <w:rPr>
          <w:rFonts w:ascii="仿宋" w:eastAsia="仿宋" w:hAnsi="仿宋" w:cs="仿宋" w:hint="eastAsia"/>
          <w:sz w:val="32"/>
          <w:szCs w:val="32"/>
        </w:rPr>
        <w:t>前</w:t>
      </w:r>
      <w:r>
        <w:rPr>
          <w:rFonts w:ascii="仿宋" w:eastAsia="仿宋" w:hAnsi="仿宋" w:cs="仿宋" w:hint="eastAsia"/>
          <w:sz w:val="32"/>
          <w:szCs w:val="32"/>
        </w:rPr>
        <w:t>，</w:t>
      </w:r>
      <w:r>
        <w:rPr>
          <w:rFonts w:ascii="仿宋" w:eastAsia="仿宋" w:hAnsi="仿宋" w:cs="仿宋" w:hint="eastAsia"/>
          <w:sz w:val="32"/>
          <w:szCs w:val="32"/>
        </w:rPr>
        <w:t>市发改局综合</w:t>
      </w:r>
      <w:r>
        <w:rPr>
          <w:rFonts w:ascii="仿宋" w:eastAsia="仿宋" w:hAnsi="仿宋" w:cs="仿宋" w:hint="eastAsia"/>
          <w:sz w:val="32"/>
          <w:szCs w:val="32"/>
        </w:rPr>
        <w:t>形成《</w:t>
      </w:r>
      <w:r>
        <w:rPr>
          <w:rFonts w:ascii="仿宋" w:eastAsia="仿宋" w:hAnsi="仿宋" w:cs="仿宋" w:hint="eastAsia"/>
          <w:sz w:val="32"/>
          <w:szCs w:val="32"/>
        </w:rPr>
        <w:t>津市市</w:t>
      </w:r>
      <w:r>
        <w:rPr>
          <w:rFonts w:ascii="仿宋" w:eastAsia="仿宋" w:hAnsi="仿宋" w:cs="仿宋" w:hint="eastAsia"/>
          <w:sz w:val="32"/>
          <w:szCs w:val="32"/>
        </w:rPr>
        <w:t>“十三五”规划中期评估报告》（征求意见稿），</w:t>
      </w:r>
      <w:r>
        <w:rPr>
          <w:rFonts w:ascii="仿宋" w:eastAsia="仿宋" w:hAnsi="仿宋" w:cs="仿宋" w:hint="eastAsia"/>
          <w:sz w:val="32"/>
          <w:szCs w:val="32"/>
        </w:rPr>
        <w:t>并</w:t>
      </w:r>
      <w:r>
        <w:rPr>
          <w:rFonts w:ascii="仿宋" w:eastAsia="仿宋" w:hAnsi="仿宋" w:cs="仿宋" w:hint="eastAsia"/>
          <w:sz w:val="32"/>
          <w:szCs w:val="32"/>
        </w:rPr>
        <w:t>征求</w:t>
      </w:r>
      <w:r>
        <w:rPr>
          <w:rFonts w:ascii="仿宋" w:eastAsia="仿宋" w:hAnsi="仿宋" w:cs="仿宋" w:hint="eastAsia"/>
          <w:sz w:val="32"/>
          <w:szCs w:val="32"/>
        </w:rPr>
        <w:t>相关部门</w:t>
      </w:r>
      <w:r>
        <w:rPr>
          <w:rFonts w:ascii="仿宋" w:eastAsia="仿宋" w:hAnsi="仿宋" w:cs="仿宋" w:hint="eastAsia"/>
          <w:sz w:val="32"/>
          <w:szCs w:val="32"/>
        </w:rPr>
        <w:t>意见</w:t>
      </w:r>
      <w:r>
        <w:rPr>
          <w:rFonts w:ascii="仿宋" w:eastAsia="仿宋" w:hAnsi="仿宋" w:cs="仿宋" w:hint="eastAsia"/>
          <w:sz w:val="32"/>
          <w:szCs w:val="32"/>
        </w:rPr>
        <w:t>建议；</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r>
        <w:rPr>
          <w:rFonts w:ascii="仿宋" w:eastAsia="仿宋" w:hAnsi="仿宋" w:cs="仿宋" w:hint="eastAsia"/>
          <w:sz w:val="32"/>
          <w:szCs w:val="32"/>
        </w:rPr>
        <w:t>前</w:t>
      </w:r>
      <w:r>
        <w:rPr>
          <w:rFonts w:ascii="仿宋" w:eastAsia="仿宋" w:hAnsi="仿宋" w:cs="仿宋" w:hint="eastAsia"/>
          <w:sz w:val="32"/>
          <w:szCs w:val="32"/>
        </w:rPr>
        <w:t>，</w:t>
      </w:r>
      <w:r>
        <w:rPr>
          <w:rFonts w:ascii="仿宋" w:eastAsia="仿宋" w:hAnsi="仿宋" w:cs="仿宋" w:hint="eastAsia"/>
          <w:sz w:val="32"/>
          <w:szCs w:val="32"/>
        </w:rPr>
        <w:t>继续</w:t>
      </w:r>
      <w:r>
        <w:rPr>
          <w:rFonts w:ascii="仿宋" w:eastAsia="仿宋" w:hAnsi="仿宋" w:cs="仿宋" w:hint="eastAsia"/>
          <w:sz w:val="32"/>
          <w:szCs w:val="32"/>
        </w:rPr>
        <w:t>修改完善“十三五”规划中期评估报告，</w:t>
      </w:r>
      <w:r>
        <w:rPr>
          <w:rFonts w:ascii="仿宋" w:eastAsia="仿宋" w:hAnsi="仿宋" w:cs="仿宋" w:hint="eastAsia"/>
          <w:sz w:val="32"/>
          <w:szCs w:val="32"/>
        </w:rPr>
        <w:t>并</w:t>
      </w:r>
      <w:r>
        <w:rPr>
          <w:rFonts w:ascii="仿宋" w:eastAsia="仿宋" w:hAnsi="仿宋" w:cs="仿宋" w:hint="eastAsia"/>
          <w:sz w:val="32"/>
          <w:szCs w:val="32"/>
        </w:rPr>
        <w:t>将进一步修改完善的评估报告报</w:t>
      </w:r>
      <w:r>
        <w:rPr>
          <w:rFonts w:ascii="仿宋" w:eastAsia="仿宋" w:hAnsi="仿宋" w:cs="仿宋" w:hint="eastAsia"/>
          <w:sz w:val="32"/>
          <w:szCs w:val="32"/>
        </w:rPr>
        <w:t>市</w:t>
      </w:r>
      <w:r>
        <w:rPr>
          <w:rFonts w:ascii="仿宋" w:eastAsia="仿宋" w:hAnsi="仿宋" w:cs="仿宋" w:hint="eastAsia"/>
          <w:sz w:val="32"/>
          <w:szCs w:val="32"/>
        </w:rPr>
        <w:t>政府审定</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日前，报市人大常委会审议</w:t>
      </w:r>
      <w:r>
        <w:rPr>
          <w:rFonts w:ascii="仿宋" w:eastAsia="仿宋" w:hAnsi="仿宋" w:cs="仿宋" w:hint="eastAsia"/>
          <w:sz w:val="32"/>
          <w:szCs w:val="32"/>
        </w:rPr>
        <w:t>。</w:t>
      </w:r>
      <w:r>
        <w:rPr>
          <w:rFonts w:ascii="仿宋" w:eastAsia="仿宋" w:hAnsi="仿宋" w:cs="仿宋" w:hint="eastAsia"/>
          <w:sz w:val="32"/>
          <w:szCs w:val="32"/>
        </w:rPr>
        <w:t xml:space="preserve"> </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1.38</w:t>
      </w:r>
      <w:r>
        <w:rPr>
          <w:rFonts w:ascii="仿宋" w:eastAsia="仿宋" w:hAnsi="仿宋" w:cs="仿宋" w:hint="eastAsia"/>
          <w:sz w:val="32"/>
          <w:szCs w:val="32"/>
        </w:rPr>
        <w:t>项主要指标牵头责任单位</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 xml:space="preserve">      2.25</w:t>
      </w:r>
      <w:r>
        <w:rPr>
          <w:rFonts w:ascii="仿宋" w:eastAsia="仿宋" w:hAnsi="仿宋" w:cs="仿宋" w:hint="eastAsia"/>
          <w:sz w:val="32"/>
          <w:szCs w:val="32"/>
        </w:rPr>
        <w:t>个市级重点专项规划评估责任单位</w:t>
      </w:r>
    </w:p>
    <w:p w:rsidR="0020090D" w:rsidRDefault="00E74C8E">
      <w:pPr>
        <w:ind w:leftChars="304" w:left="1918" w:hangingChars="400" w:hanging="128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津市市国民经济和社会发展第十三个五年规划纲要</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津市市“十三五”规划中期评估任务分解清单</w:t>
      </w:r>
    </w:p>
    <w:p w:rsidR="0020090D" w:rsidRDefault="00E74C8E">
      <w:pPr>
        <w:ind w:leftChars="304" w:left="1918" w:hangingChars="400" w:hanging="1280"/>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津市市“十三五”国民经济和社会发展项目库名录</w:t>
      </w:r>
    </w:p>
    <w:p w:rsidR="0020090D" w:rsidRDefault="00E74C8E">
      <w:pPr>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、附件</w:t>
      </w:r>
      <w:r>
        <w:rPr>
          <w:rFonts w:ascii="仿宋" w:eastAsia="仿宋" w:hAnsi="仿宋" w:cs="仿宋" w:hint="eastAsia"/>
          <w:sz w:val="32"/>
          <w:szCs w:val="32"/>
        </w:rPr>
        <w:t>4</w:t>
      </w:r>
      <w:r>
        <w:rPr>
          <w:rFonts w:ascii="仿宋" w:eastAsia="仿宋" w:hAnsi="仿宋" w:cs="仿宋" w:hint="eastAsia"/>
          <w:sz w:val="32"/>
          <w:szCs w:val="32"/>
        </w:rPr>
        <w:t>、附件</w:t>
      </w:r>
      <w:r>
        <w:rPr>
          <w:rFonts w:ascii="仿宋" w:eastAsia="仿宋" w:hAnsi="仿宋" w:cs="仿宋" w:hint="eastAsia"/>
          <w:sz w:val="32"/>
          <w:szCs w:val="32"/>
        </w:rPr>
        <w:t>5</w:t>
      </w:r>
      <w:r>
        <w:rPr>
          <w:rFonts w:ascii="仿宋" w:eastAsia="仿宋" w:hAnsi="仿宋" w:cs="仿宋" w:hint="eastAsia"/>
          <w:sz w:val="32"/>
          <w:szCs w:val="32"/>
        </w:rPr>
        <w:t>可以登陆“津市市人民政府门户网站”，打开津市市政府网站首页后点击“政务公开—规划计划”栏目，即可直接下载。</w:t>
      </w:r>
    </w:p>
    <w:p w:rsidR="0020090D" w:rsidRDefault="0020090D">
      <w:pPr>
        <w:spacing w:line="580" w:lineRule="exact"/>
        <w:jc w:val="left"/>
        <w:rPr>
          <w:rFonts w:ascii="楷体" w:eastAsia="楷体" w:hAnsi="楷体" w:cs="楷体"/>
          <w:sz w:val="28"/>
          <w:szCs w:val="28"/>
        </w:rPr>
      </w:pPr>
    </w:p>
    <w:p w:rsidR="0020090D" w:rsidRDefault="0020090D">
      <w:pPr>
        <w:spacing w:line="580" w:lineRule="exact"/>
        <w:jc w:val="left"/>
        <w:rPr>
          <w:rFonts w:ascii="楷体" w:eastAsia="楷体" w:hAnsi="楷体" w:cs="楷体"/>
          <w:sz w:val="28"/>
          <w:szCs w:val="28"/>
        </w:rPr>
      </w:pPr>
    </w:p>
    <w:p w:rsidR="0020090D" w:rsidRDefault="0020090D">
      <w:pPr>
        <w:spacing w:line="580" w:lineRule="exact"/>
        <w:jc w:val="left"/>
        <w:rPr>
          <w:rFonts w:ascii="楷体" w:eastAsia="楷体" w:hAnsi="楷体" w:cs="楷体"/>
          <w:sz w:val="28"/>
          <w:szCs w:val="28"/>
        </w:rPr>
      </w:pPr>
    </w:p>
    <w:p w:rsidR="0020090D" w:rsidRDefault="0020090D">
      <w:pPr>
        <w:spacing w:line="580" w:lineRule="exact"/>
        <w:jc w:val="left"/>
        <w:rPr>
          <w:rFonts w:ascii="楷体" w:eastAsia="楷体" w:hAnsi="楷体" w:cs="楷体"/>
          <w:sz w:val="28"/>
          <w:szCs w:val="28"/>
        </w:rPr>
      </w:pPr>
    </w:p>
    <w:p w:rsidR="0020090D" w:rsidRDefault="0020090D">
      <w:pPr>
        <w:spacing w:line="580" w:lineRule="exact"/>
        <w:jc w:val="left"/>
        <w:rPr>
          <w:rFonts w:ascii="楷体" w:eastAsia="楷体" w:hAnsi="楷体" w:cs="楷体"/>
          <w:sz w:val="28"/>
          <w:szCs w:val="28"/>
        </w:rPr>
      </w:pPr>
    </w:p>
    <w:p w:rsidR="0020090D" w:rsidRDefault="0020090D">
      <w:pPr>
        <w:spacing w:line="580" w:lineRule="exact"/>
        <w:jc w:val="left"/>
        <w:rPr>
          <w:rFonts w:ascii="楷体" w:eastAsia="楷体" w:hAnsi="楷体" w:cs="楷体"/>
          <w:sz w:val="28"/>
          <w:szCs w:val="28"/>
        </w:rPr>
      </w:pPr>
    </w:p>
    <w:p w:rsidR="0020090D" w:rsidRDefault="00E74C8E">
      <w:pPr>
        <w:spacing w:line="580" w:lineRule="exact"/>
        <w:jc w:val="left"/>
        <w:rPr>
          <w:rFonts w:ascii="楷体" w:eastAsia="楷体" w:hAnsi="楷体" w:cs="楷体"/>
          <w:sz w:val="28"/>
          <w:szCs w:val="28"/>
        </w:rPr>
      </w:pPr>
      <w:r>
        <w:rPr>
          <w:rFonts w:ascii="楷体" w:eastAsia="楷体" w:hAnsi="楷体" w:cs="楷体" w:hint="eastAsia"/>
          <w:sz w:val="28"/>
          <w:szCs w:val="28"/>
        </w:rPr>
        <w:lastRenderedPageBreak/>
        <w:t>附件</w:t>
      </w:r>
      <w:r>
        <w:rPr>
          <w:rFonts w:ascii="楷体" w:eastAsia="楷体" w:hAnsi="楷体" w:cs="楷体" w:hint="eastAsia"/>
          <w:sz w:val="28"/>
          <w:szCs w:val="28"/>
        </w:rPr>
        <w:t>1</w:t>
      </w:r>
      <w:r>
        <w:rPr>
          <w:rFonts w:ascii="楷体" w:eastAsia="楷体" w:hAnsi="楷体" w:cs="楷体" w:hint="eastAsia"/>
          <w:sz w:val="28"/>
          <w:szCs w:val="28"/>
        </w:rPr>
        <w:t>：</w:t>
      </w:r>
    </w:p>
    <w:p w:rsidR="0020090D" w:rsidRDefault="00E74C8E">
      <w:pPr>
        <w:spacing w:line="580" w:lineRule="exact"/>
        <w:jc w:val="center"/>
        <w:rPr>
          <w:rFonts w:ascii="黑体" w:eastAsia="黑体" w:hAnsi="黑体" w:cs="黑体"/>
          <w:bCs/>
          <w:sz w:val="32"/>
          <w:szCs w:val="32"/>
        </w:rPr>
      </w:pPr>
      <w:r>
        <w:rPr>
          <w:rFonts w:eastAsia="黑体"/>
          <w:spacing w:val="10"/>
          <w:w w:val="95"/>
          <w:sz w:val="30"/>
          <w:szCs w:val="30"/>
        </w:rPr>
        <w:t xml:space="preserve"> </w:t>
      </w:r>
      <w:r>
        <w:rPr>
          <w:rFonts w:ascii="黑体" w:eastAsia="黑体" w:hAnsi="黑体" w:cs="黑体" w:hint="eastAsia"/>
          <w:bCs/>
          <w:sz w:val="32"/>
          <w:szCs w:val="32"/>
        </w:rPr>
        <w:t>38</w:t>
      </w:r>
      <w:r>
        <w:rPr>
          <w:rFonts w:ascii="黑体" w:eastAsia="黑体" w:hAnsi="黑体" w:cs="黑体" w:hint="eastAsia"/>
          <w:bCs/>
          <w:sz w:val="32"/>
          <w:szCs w:val="32"/>
        </w:rPr>
        <w:t>项主要指标牵头责任单位</w:t>
      </w:r>
    </w:p>
    <w:p w:rsidR="0020090D" w:rsidRDefault="0020090D">
      <w:pPr>
        <w:spacing w:line="200" w:lineRule="exact"/>
        <w:jc w:val="center"/>
        <w:rPr>
          <w:rFonts w:eastAsia="黑体"/>
          <w:sz w:val="32"/>
          <w:szCs w:val="32"/>
        </w:rPr>
      </w:pPr>
    </w:p>
    <w:tbl>
      <w:tblPr>
        <w:tblW w:w="8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6"/>
        <w:gridCol w:w="4045"/>
        <w:gridCol w:w="1135"/>
        <w:gridCol w:w="561"/>
        <w:gridCol w:w="900"/>
        <w:gridCol w:w="617"/>
        <w:gridCol w:w="763"/>
      </w:tblGrid>
      <w:tr w:rsidR="0020090D">
        <w:trPr>
          <w:trHeight w:val="508"/>
          <w:tblHeader/>
        </w:trPr>
        <w:tc>
          <w:tcPr>
            <w:tcW w:w="506" w:type="dxa"/>
            <w:tcMar>
              <w:left w:w="0" w:type="dxa"/>
              <w:right w:w="0" w:type="dxa"/>
            </w:tcMar>
            <w:vAlign w:val="center"/>
          </w:tcPr>
          <w:p w:rsidR="0020090D" w:rsidRDefault="00E74C8E">
            <w:pPr>
              <w:adjustRightInd w:val="0"/>
              <w:snapToGrid w:val="0"/>
              <w:spacing w:line="360" w:lineRule="exact"/>
              <w:jc w:val="center"/>
              <w:rPr>
                <w:rFonts w:eastAsia="黑体"/>
                <w:sz w:val="22"/>
              </w:rPr>
            </w:pPr>
            <w:r>
              <w:rPr>
                <w:rFonts w:eastAsia="黑体"/>
                <w:sz w:val="22"/>
              </w:rPr>
              <w:t>分类</w:t>
            </w:r>
          </w:p>
        </w:tc>
        <w:tc>
          <w:tcPr>
            <w:tcW w:w="4045" w:type="dxa"/>
            <w:tcMar>
              <w:left w:w="0" w:type="dxa"/>
              <w:right w:w="0" w:type="dxa"/>
            </w:tcMar>
            <w:vAlign w:val="center"/>
          </w:tcPr>
          <w:p w:rsidR="0020090D" w:rsidRDefault="00E74C8E">
            <w:pPr>
              <w:adjustRightInd w:val="0"/>
              <w:snapToGrid w:val="0"/>
              <w:spacing w:line="360" w:lineRule="exact"/>
              <w:jc w:val="center"/>
              <w:rPr>
                <w:rFonts w:eastAsia="黑体"/>
                <w:sz w:val="22"/>
              </w:rPr>
            </w:pPr>
            <w:r>
              <w:rPr>
                <w:rFonts w:eastAsia="黑体"/>
                <w:sz w:val="22"/>
              </w:rPr>
              <w:t>指标</w:t>
            </w:r>
          </w:p>
        </w:tc>
        <w:tc>
          <w:tcPr>
            <w:tcW w:w="1135" w:type="dxa"/>
            <w:tcMar>
              <w:left w:w="0" w:type="dxa"/>
              <w:right w:w="0" w:type="dxa"/>
            </w:tcMar>
            <w:vAlign w:val="center"/>
          </w:tcPr>
          <w:p w:rsidR="0020090D" w:rsidRDefault="00E74C8E">
            <w:pPr>
              <w:adjustRightInd w:val="0"/>
              <w:snapToGrid w:val="0"/>
              <w:spacing w:line="360" w:lineRule="exact"/>
              <w:jc w:val="center"/>
              <w:rPr>
                <w:rFonts w:eastAsia="黑体"/>
                <w:spacing w:val="-12"/>
                <w:sz w:val="22"/>
              </w:rPr>
            </w:pPr>
            <w:r>
              <w:rPr>
                <w:rFonts w:eastAsia="黑体" w:hint="eastAsia"/>
                <w:spacing w:val="-12"/>
                <w:sz w:val="22"/>
              </w:rPr>
              <w:t>牵头部门</w:t>
            </w:r>
          </w:p>
        </w:tc>
        <w:tc>
          <w:tcPr>
            <w:tcW w:w="561" w:type="dxa"/>
            <w:tcMar>
              <w:left w:w="0" w:type="dxa"/>
              <w:right w:w="0" w:type="dxa"/>
            </w:tcMar>
            <w:vAlign w:val="center"/>
          </w:tcPr>
          <w:p w:rsidR="0020090D" w:rsidRDefault="00E74C8E">
            <w:pPr>
              <w:adjustRightInd w:val="0"/>
              <w:snapToGrid w:val="0"/>
              <w:spacing w:line="360" w:lineRule="exact"/>
              <w:jc w:val="center"/>
              <w:rPr>
                <w:rFonts w:eastAsia="黑体"/>
                <w:spacing w:val="-12"/>
                <w:sz w:val="22"/>
              </w:rPr>
            </w:pPr>
            <w:r>
              <w:rPr>
                <w:rFonts w:eastAsia="黑体"/>
                <w:spacing w:val="-12"/>
                <w:sz w:val="22"/>
              </w:rPr>
              <w:t>2015</w:t>
            </w:r>
            <w:r>
              <w:rPr>
                <w:rFonts w:eastAsia="黑体"/>
                <w:spacing w:val="-12"/>
                <w:sz w:val="22"/>
              </w:rPr>
              <w:t>年</w:t>
            </w:r>
          </w:p>
        </w:tc>
        <w:tc>
          <w:tcPr>
            <w:tcW w:w="900" w:type="dxa"/>
            <w:tcMar>
              <w:left w:w="0" w:type="dxa"/>
              <w:right w:w="0" w:type="dxa"/>
            </w:tcMar>
            <w:vAlign w:val="center"/>
          </w:tcPr>
          <w:p w:rsidR="0020090D" w:rsidRDefault="00E74C8E">
            <w:pPr>
              <w:adjustRightInd w:val="0"/>
              <w:snapToGrid w:val="0"/>
              <w:spacing w:line="360" w:lineRule="exact"/>
              <w:jc w:val="center"/>
              <w:rPr>
                <w:rFonts w:eastAsia="黑体"/>
                <w:spacing w:val="-12"/>
                <w:sz w:val="22"/>
              </w:rPr>
            </w:pPr>
            <w:r>
              <w:rPr>
                <w:rFonts w:eastAsia="黑体"/>
                <w:spacing w:val="-12"/>
                <w:sz w:val="22"/>
              </w:rPr>
              <w:t>2020</w:t>
            </w:r>
            <w:r>
              <w:rPr>
                <w:rFonts w:eastAsia="黑体"/>
                <w:spacing w:val="-12"/>
                <w:sz w:val="22"/>
              </w:rPr>
              <w:t>年</w:t>
            </w:r>
          </w:p>
        </w:tc>
        <w:tc>
          <w:tcPr>
            <w:tcW w:w="617" w:type="dxa"/>
            <w:tcMar>
              <w:left w:w="0" w:type="dxa"/>
              <w:right w:w="0" w:type="dxa"/>
            </w:tcMar>
            <w:vAlign w:val="center"/>
          </w:tcPr>
          <w:p w:rsidR="0020090D" w:rsidRDefault="00E74C8E">
            <w:pPr>
              <w:tabs>
                <w:tab w:val="left" w:pos="319"/>
              </w:tabs>
              <w:adjustRightInd w:val="0"/>
              <w:snapToGrid w:val="0"/>
              <w:spacing w:line="360" w:lineRule="exact"/>
              <w:jc w:val="center"/>
              <w:rPr>
                <w:rFonts w:eastAsia="黑体"/>
                <w:spacing w:val="-18"/>
                <w:w w:val="95"/>
                <w:sz w:val="22"/>
              </w:rPr>
            </w:pPr>
            <w:r>
              <w:rPr>
                <w:rFonts w:eastAsia="黑体"/>
                <w:spacing w:val="-18"/>
                <w:w w:val="95"/>
                <w:sz w:val="22"/>
              </w:rPr>
              <w:t>年均增速（</w:t>
            </w:r>
            <w:r>
              <w:rPr>
                <w:rFonts w:eastAsia="黑体"/>
                <w:spacing w:val="-18"/>
                <w:w w:val="95"/>
                <w:sz w:val="22"/>
              </w:rPr>
              <w:t>%</w:t>
            </w:r>
            <w:r>
              <w:rPr>
                <w:rFonts w:eastAsia="黑体"/>
                <w:spacing w:val="-18"/>
                <w:w w:val="95"/>
                <w:sz w:val="22"/>
              </w:rPr>
              <w:t>）</w:t>
            </w:r>
          </w:p>
        </w:tc>
        <w:tc>
          <w:tcPr>
            <w:tcW w:w="763" w:type="dxa"/>
            <w:tcMar>
              <w:left w:w="0" w:type="dxa"/>
              <w:right w:w="0" w:type="dxa"/>
            </w:tcMar>
            <w:vAlign w:val="center"/>
          </w:tcPr>
          <w:p w:rsidR="0020090D" w:rsidRDefault="00E74C8E">
            <w:pPr>
              <w:adjustRightInd w:val="0"/>
              <w:snapToGrid w:val="0"/>
              <w:spacing w:line="360" w:lineRule="exact"/>
              <w:jc w:val="center"/>
              <w:rPr>
                <w:rFonts w:eastAsia="黑体"/>
                <w:sz w:val="22"/>
              </w:rPr>
            </w:pPr>
            <w:r>
              <w:rPr>
                <w:rFonts w:eastAsia="黑体"/>
                <w:spacing w:val="-18"/>
                <w:w w:val="95"/>
                <w:sz w:val="22"/>
              </w:rPr>
              <w:t>指标属性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经济发展</w:t>
            </w: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地区生产总值（亿元）</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统计局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11</w:t>
            </w:r>
            <w:r>
              <w:rPr>
                <w:rFonts w:eastAsia="仿宋_GB2312" w:hint="eastAsia"/>
                <w:sz w:val="22"/>
              </w:rPr>
              <w:t>5.3</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200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10</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人均地区生产总值（元）</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统计局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44464</w:t>
            </w:r>
          </w:p>
        </w:tc>
        <w:tc>
          <w:tcPr>
            <w:tcW w:w="900"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w:t>
            </w:r>
            <w:r>
              <w:rPr>
                <w:rFonts w:eastAsia="仿宋_GB2312" w:hint="eastAsia"/>
                <w:spacing w:val="-10"/>
                <w:w w:val="95"/>
                <w:sz w:val="22"/>
              </w:rPr>
              <w:t>10000</w:t>
            </w:r>
            <w:r>
              <w:rPr>
                <w:rFonts w:eastAsia="仿宋_GB2312" w:hint="eastAsia"/>
                <w:spacing w:val="-10"/>
                <w:w w:val="95"/>
                <w:sz w:val="22"/>
              </w:rPr>
              <w:t>美元</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10</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财政总收入（亿元）</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财政局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6.0</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10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≥10</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税收占财政总收入的比重（</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财政局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82</w:t>
            </w:r>
            <w:r>
              <w:rPr>
                <w:rFonts w:eastAsia="仿宋_GB2312" w:hint="eastAsia"/>
                <w:sz w:val="22"/>
              </w:rPr>
              <w:t>.0</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≥90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全社会固定资产投资</w:t>
            </w:r>
            <w:r>
              <w:rPr>
                <w:rFonts w:eastAsia="仿宋_GB2312" w:hint="eastAsia"/>
                <w:sz w:val="22"/>
              </w:rPr>
              <w:t>（亿元）</w:t>
            </w:r>
          </w:p>
        </w:tc>
        <w:tc>
          <w:tcPr>
            <w:tcW w:w="1135" w:type="dxa"/>
            <w:tcMar>
              <w:left w:w="0" w:type="dxa"/>
              <w:right w:w="0" w:type="dxa"/>
            </w:tcMar>
            <w:vAlign w:val="center"/>
          </w:tcPr>
          <w:p w:rsidR="0020090D" w:rsidRDefault="00E74C8E">
            <w:pPr>
              <w:adjustRightInd w:val="0"/>
              <w:snapToGrid w:val="0"/>
              <w:rPr>
                <w:rFonts w:eastAsia="仿宋_GB2312"/>
                <w:sz w:val="22"/>
              </w:rPr>
            </w:pPr>
            <w:r>
              <w:rPr>
                <w:rFonts w:eastAsia="仿宋_GB2312" w:hint="eastAsia"/>
                <w:sz w:val="22"/>
              </w:rPr>
              <w:t>市</w:t>
            </w:r>
            <w:r>
              <w:rPr>
                <w:rFonts w:eastAsia="仿宋_GB2312" w:hint="eastAsia"/>
                <w:sz w:val="22"/>
              </w:rPr>
              <w:t>发改局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112.8</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220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15</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社会消费品零售总额（亿元）</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商务粮食局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5</w:t>
            </w:r>
            <w:r>
              <w:rPr>
                <w:rFonts w:eastAsia="仿宋_GB2312" w:hint="eastAsia"/>
                <w:sz w:val="22"/>
              </w:rPr>
              <w:t>4.5</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100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w:t>
            </w:r>
            <w:r>
              <w:rPr>
                <w:rFonts w:eastAsia="仿宋_GB2312" w:hint="eastAsia"/>
                <w:sz w:val="22"/>
              </w:rPr>
              <w:t>3</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进出口总额（万美元）</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商务粮食局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4678</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7500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10</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二三产业增加值占</w:t>
            </w:r>
            <w:r>
              <w:rPr>
                <w:rFonts w:eastAsia="仿宋_GB2312"/>
                <w:sz w:val="22"/>
              </w:rPr>
              <w:t>GDP</w:t>
            </w:r>
            <w:r>
              <w:rPr>
                <w:rFonts w:eastAsia="仿宋_GB2312"/>
                <w:sz w:val="22"/>
              </w:rPr>
              <w:t>比重（</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市统计局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84.</w:t>
            </w:r>
            <w:r>
              <w:rPr>
                <w:rFonts w:eastAsia="仿宋_GB2312" w:hint="eastAsia"/>
                <w:sz w:val="22"/>
              </w:rPr>
              <w:t>6</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≥90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经济发展</w:t>
            </w: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pacing w:val="-6"/>
                <w:sz w:val="22"/>
              </w:rPr>
              <w:t>园</w:t>
            </w:r>
            <w:r>
              <w:rPr>
                <w:rFonts w:eastAsia="仿宋_GB2312"/>
                <w:spacing w:val="-14"/>
                <w:sz w:val="22"/>
              </w:rPr>
              <w:t>区规模工业增加值占规模工业增加值比重（</w:t>
            </w:r>
            <w:r>
              <w:rPr>
                <w:rFonts w:eastAsia="仿宋_GB2312"/>
                <w:spacing w:val="-14"/>
                <w:sz w:val="22"/>
              </w:rPr>
              <w:t>%</w:t>
            </w:r>
            <w:r>
              <w:rPr>
                <w:rFonts w:eastAsia="仿宋_GB2312"/>
                <w:spacing w:val="-14"/>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科工局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7</w:t>
            </w:r>
            <w:r>
              <w:rPr>
                <w:rFonts w:eastAsia="仿宋_GB2312" w:hint="eastAsia"/>
                <w:sz w:val="22"/>
              </w:rPr>
              <w:t>8</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≥90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高新技术产业增加值占</w:t>
            </w:r>
            <w:r>
              <w:rPr>
                <w:rFonts w:eastAsia="仿宋_GB2312"/>
                <w:sz w:val="22"/>
              </w:rPr>
              <w:t>GDP</w:t>
            </w:r>
            <w:r>
              <w:rPr>
                <w:rFonts w:eastAsia="仿宋_GB2312"/>
                <w:sz w:val="22"/>
              </w:rPr>
              <w:t>比重（</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科工局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w:t>
            </w:r>
            <w:r>
              <w:rPr>
                <w:rFonts w:eastAsia="仿宋_GB2312" w:hint="eastAsia"/>
                <w:sz w:val="22"/>
              </w:rPr>
              <w:t>6.6</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≥25</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城镇化率（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住建局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65.8</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70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z w:val="22"/>
              </w:rPr>
            </w:pPr>
            <w:r>
              <w:rPr>
                <w:rFonts w:eastAsia="仿宋_GB2312"/>
                <w:sz w:val="22"/>
              </w:rPr>
              <w:t>金融机构各项贷款增长率（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金融办</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63.9</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jc w:val="center"/>
              <w:rPr>
                <w:rFonts w:eastAsia="仿宋_GB2312"/>
                <w:sz w:val="22"/>
              </w:rPr>
            </w:pPr>
          </w:p>
        </w:tc>
        <w:tc>
          <w:tcPr>
            <w:tcW w:w="4045" w:type="dxa"/>
            <w:tcMar>
              <w:left w:w="0" w:type="dxa"/>
              <w:right w:w="0" w:type="dxa"/>
            </w:tcMar>
            <w:vAlign w:val="center"/>
          </w:tcPr>
          <w:p w:rsidR="0020090D" w:rsidRDefault="00E74C8E">
            <w:pPr>
              <w:adjustRightInd w:val="0"/>
              <w:snapToGrid w:val="0"/>
              <w:rPr>
                <w:rFonts w:eastAsia="仿宋_GB2312"/>
                <w:spacing w:val="-12"/>
                <w:sz w:val="22"/>
              </w:rPr>
            </w:pPr>
            <w:r>
              <w:rPr>
                <w:rFonts w:eastAsia="仿宋_GB2312"/>
                <w:spacing w:val="-12"/>
                <w:sz w:val="22"/>
              </w:rPr>
              <w:t>规</w:t>
            </w:r>
            <w:r>
              <w:rPr>
                <w:rFonts w:eastAsia="仿宋_GB2312"/>
                <w:spacing w:val="-20"/>
                <w:sz w:val="22"/>
              </w:rPr>
              <w:t>模以上企业农产品加工产值与农业产值比（</w:t>
            </w:r>
            <w:r>
              <w:rPr>
                <w:rFonts w:eastAsia="仿宋_GB2312"/>
                <w:spacing w:val="-20"/>
                <w:sz w:val="22"/>
              </w:rPr>
              <w:t>%</w:t>
            </w:r>
            <w:r>
              <w:rPr>
                <w:rFonts w:eastAsia="仿宋_GB2312"/>
                <w:spacing w:val="-20"/>
                <w:sz w:val="22"/>
              </w:rPr>
              <w:t>）</w:t>
            </w:r>
          </w:p>
        </w:tc>
        <w:tc>
          <w:tcPr>
            <w:tcW w:w="1135"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市</w:t>
            </w:r>
            <w:r>
              <w:rPr>
                <w:rFonts w:eastAsia="仿宋_GB2312" w:hint="eastAsia"/>
                <w:sz w:val="22"/>
              </w:rPr>
              <w:t>农业局</w:t>
            </w:r>
          </w:p>
        </w:tc>
        <w:tc>
          <w:tcPr>
            <w:tcW w:w="561"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2</w:t>
            </w:r>
            <w:r>
              <w:rPr>
                <w:rFonts w:eastAsia="仿宋_GB2312" w:hint="eastAsia"/>
                <w:sz w:val="22"/>
              </w:rPr>
              <w:t>52.2</w:t>
            </w:r>
          </w:p>
        </w:tc>
        <w:tc>
          <w:tcPr>
            <w:tcW w:w="900"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w:t>
            </w:r>
            <w:r>
              <w:rPr>
                <w:rFonts w:eastAsia="仿宋_GB2312" w:hint="eastAsia"/>
                <w:sz w:val="22"/>
              </w:rPr>
              <w:t>280</w:t>
            </w:r>
          </w:p>
        </w:tc>
        <w:tc>
          <w:tcPr>
            <w:tcW w:w="617"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jc w:val="center"/>
              <w:rPr>
                <w:rFonts w:eastAsia="仿宋_GB2312"/>
                <w:sz w:val="22"/>
              </w:rPr>
            </w:pPr>
            <w:r>
              <w:rPr>
                <w:rFonts w:eastAsia="仿宋_GB2312"/>
                <w:sz w:val="22"/>
              </w:rPr>
              <w:t>引导性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社会</w:t>
            </w:r>
            <w:r>
              <w:rPr>
                <w:rFonts w:eastAsia="仿宋_GB2312" w:hint="eastAsia"/>
                <w:sz w:val="22"/>
              </w:rPr>
              <w:t>发展</w:t>
            </w: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基本医疗保险覆盖率（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人社局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基本养老服务补贴覆盖率（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市民政局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54</w:t>
            </w:r>
            <w:r>
              <w:rPr>
                <w:rFonts w:eastAsia="仿宋_GB2312" w:hint="eastAsia"/>
                <w:sz w:val="22"/>
              </w:rPr>
              <w:t>.2</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≥80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高中阶段毛入学率（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教育局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94.6</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国民平均受教育年限（年）</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教育局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9.7</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≥12</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每千人</w:t>
            </w:r>
            <w:r>
              <w:rPr>
                <w:rFonts w:eastAsia="仿宋_GB2312" w:hint="eastAsia"/>
                <w:sz w:val="22"/>
              </w:rPr>
              <w:t>人口拥有床位数</w:t>
            </w:r>
            <w:r>
              <w:rPr>
                <w:rFonts w:eastAsia="仿宋_GB2312"/>
                <w:sz w:val="22"/>
              </w:rPr>
              <w:t>（张）</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卫计局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4.</w:t>
            </w:r>
            <w:r>
              <w:rPr>
                <w:rFonts w:eastAsia="仿宋_GB2312" w:hint="eastAsia"/>
                <w:sz w:val="22"/>
              </w:rPr>
              <w:t>4</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≥5</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5</w:t>
            </w:r>
            <w:r>
              <w:rPr>
                <w:rFonts w:eastAsia="仿宋_GB2312"/>
                <w:sz w:val="22"/>
              </w:rPr>
              <w:t>岁以下儿童死亡率（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卫计局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3.4</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≤5</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人均拥有公共文化体育设施面积</w:t>
            </w:r>
            <w:r>
              <w:rPr>
                <w:rFonts w:eastAsia="仿宋_GB2312"/>
                <w:sz w:val="22"/>
              </w:rPr>
              <w:t>(</w:t>
            </w:r>
            <w:r>
              <w:rPr>
                <w:rFonts w:eastAsia="仿宋_GB2312"/>
                <w:sz w:val="22"/>
              </w:rPr>
              <w:t>平方米</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文体广新局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2</w:t>
            </w:r>
            <w:r>
              <w:rPr>
                <w:rFonts w:eastAsia="仿宋_GB2312" w:hint="eastAsia"/>
                <w:sz w:val="22"/>
              </w:rPr>
              <w:t>.8</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≥3</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人民生活</w:t>
            </w: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城镇居民人均可支配收入（元）</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统计局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2</w:t>
            </w:r>
            <w:r>
              <w:rPr>
                <w:rFonts w:eastAsia="仿宋_GB2312" w:hint="eastAsia"/>
                <w:sz w:val="22"/>
              </w:rPr>
              <w:t>6027</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4</w:t>
            </w:r>
            <w:r>
              <w:rPr>
                <w:rFonts w:eastAsia="仿宋_GB2312" w:hint="eastAsia"/>
                <w:sz w:val="22"/>
              </w:rPr>
              <w:t>6</w:t>
            </w:r>
            <w:r>
              <w:rPr>
                <w:rFonts w:eastAsia="仿宋_GB2312"/>
                <w:sz w:val="22"/>
              </w:rPr>
              <w:t>500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w:t>
            </w:r>
            <w:r>
              <w:rPr>
                <w:rFonts w:eastAsia="仿宋_GB2312" w:hint="eastAsia"/>
                <w:sz w:val="22"/>
              </w:rPr>
              <w:t>11</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农村居民人均可支配收入（元）</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统计局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11</w:t>
            </w:r>
            <w:r>
              <w:rPr>
                <w:rFonts w:eastAsia="仿宋_GB2312" w:hint="eastAsia"/>
                <w:sz w:val="22"/>
              </w:rPr>
              <w:t>28</w:t>
            </w:r>
            <w:r>
              <w:rPr>
                <w:rFonts w:eastAsia="仿宋_GB2312" w:hint="eastAsia"/>
                <w:sz w:val="22"/>
              </w:rPr>
              <w:lastRenderedPageBreak/>
              <w:t>5</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lastRenderedPageBreak/>
              <w:t>21500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w:t>
            </w:r>
            <w:r>
              <w:rPr>
                <w:rFonts w:eastAsia="仿宋_GB2312" w:hint="eastAsia"/>
                <w:sz w:val="22"/>
              </w:rPr>
              <w:t>2</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人均住房使用面积</w:t>
            </w:r>
            <w:r>
              <w:rPr>
                <w:rFonts w:eastAsia="仿宋_GB2312"/>
                <w:sz w:val="22"/>
              </w:rPr>
              <w:t>(</w:t>
            </w:r>
            <w:r>
              <w:rPr>
                <w:rFonts w:eastAsia="仿宋_GB2312"/>
                <w:sz w:val="22"/>
              </w:rPr>
              <w:t>平方米</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房管局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41.5</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40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2</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人均储蓄存款（元）</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市金融办</w:t>
            </w:r>
            <w:r>
              <w:rPr>
                <w:rFonts w:eastAsia="仿宋_GB2312" w:hint="eastAsia"/>
                <w:sz w:val="22"/>
              </w:rPr>
              <w:t xml:space="preserve"> </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2</w:t>
            </w:r>
            <w:r>
              <w:rPr>
                <w:rFonts w:eastAsia="仿宋_GB2312" w:hint="eastAsia"/>
                <w:sz w:val="22"/>
              </w:rPr>
              <w:t>6002</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4</w:t>
            </w:r>
            <w:r>
              <w:rPr>
                <w:rFonts w:eastAsia="仿宋_GB2312"/>
                <w:sz w:val="22"/>
              </w:rPr>
              <w:t>0000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9</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居民文教娱乐消费支出占总支出比重（</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文体广新局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16</w:t>
            </w:r>
            <w:r>
              <w:rPr>
                <w:rFonts w:eastAsia="仿宋_GB2312" w:hint="eastAsia"/>
                <w:sz w:val="22"/>
              </w:rPr>
              <w:t>.8</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≥17</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农村居民安全饮水比率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水务局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行政村客运班线通达率（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交通局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98.1</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民主法治</w:t>
            </w: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城镇居委会依法自治达标率（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市民政局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农村村委会依法自治达标率（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市民政局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社会安全指数（</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sidR="00973873">
              <w:rPr>
                <w:rFonts w:eastAsia="仿宋_GB2312" w:hint="eastAsia"/>
                <w:sz w:val="22"/>
              </w:rPr>
              <w:t>统计局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val="restart"/>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生态文明</w:t>
            </w: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森林资源蓄积量增长率（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林业局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4.2</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≥3</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城镇建成区绿化覆盖率（</w:t>
            </w:r>
            <w:r>
              <w:rPr>
                <w:rFonts w:eastAsia="仿宋_GB2312"/>
                <w:sz w:val="22"/>
              </w:rPr>
              <w:t>%</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林业局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31</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3</w:t>
            </w:r>
            <w:r>
              <w:rPr>
                <w:rFonts w:eastAsia="仿宋_GB2312" w:hint="eastAsia"/>
                <w:sz w:val="22"/>
              </w:rPr>
              <w:t>2</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引导性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城镇污水处理率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住建局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8</w:t>
            </w:r>
            <w:r>
              <w:rPr>
                <w:rFonts w:eastAsia="仿宋_GB2312" w:hint="eastAsia"/>
                <w:sz w:val="22"/>
              </w:rPr>
              <w:t>4.9</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w:t>
            </w:r>
            <w:r>
              <w:rPr>
                <w:rFonts w:eastAsia="仿宋_GB2312" w:hint="eastAsia"/>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hint="eastAsia"/>
                <w:sz w:val="22"/>
              </w:rPr>
              <w:t>农村生活污水</w:t>
            </w:r>
            <w:r>
              <w:rPr>
                <w:rFonts w:eastAsia="仿宋_GB2312"/>
                <w:sz w:val="22"/>
              </w:rPr>
              <w:t>处理率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hint="eastAsia"/>
                <w:sz w:val="22"/>
              </w:rPr>
              <w:t>市</w:t>
            </w:r>
            <w:r>
              <w:rPr>
                <w:rFonts w:eastAsia="仿宋_GB2312" w:hint="eastAsia"/>
                <w:sz w:val="22"/>
              </w:rPr>
              <w:t>住建局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85</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95</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空气质量达标率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环保局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9</w:t>
            </w:r>
            <w:r>
              <w:rPr>
                <w:rFonts w:eastAsia="仿宋_GB2312" w:hint="eastAsia"/>
                <w:sz w:val="22"/>
              </w:rPr>
              <w:t>7</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≥9</w:t>
            </w:r>
            <w:r>
              <w:rPr>
                <w:rFonts w:eastAsia="仿宋_GB2312" w:hint="eastAsia"/>
                <w:sz w:val="22"/>
              </w:rPr>
              <w:t>7</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地表水质达标率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水务局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100</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农村垃圾集中处理率</w:t>
            </w:r>
            <w:r>
              <w:rPr>
                <w:rFonts w:eastAsia="仿宋_GB2312"/>
                <w:sz w:val="22"/>
              </w:rPr>
              <w:t>(%)</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城管局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9</w:t>
            </w:r>
            <w:r>
              <w:rPr>
                <w:rFonts w:eastAsia="仿宋_GB2312" w:hint="eastAsia"/>
                <w:sz w:val="22"/>
              </w:rPr>
              <w:t>7.6</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≥9</w:t>
            </w:r>
            <w:r>
              <w:rPr>
                <w:rFonts w:eastAsia="仿宋_GB2312" w:hint="eastAsia"/>
                <w:sz w:val="22"/>
              </w:rPr>
              <w:t>8</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r w:rsidR="0020090D">
        <w:trPr>
          <w:trHeight w:val="482"/>
        </w:trPr>
        <w:tc>
          <w:tcPr>
            <w:tcW w:w="506" w:type="dxa"/>
            <w:vMerge/>
            <w:tcMar>
              <w:left w:w="0" w:type="dxa"/>
              <w:right w:w="0" w:type="dxa"/>
            </w:tcMar>
            <w:vAlign w:val="center"/>
          </w:tcPr>
          <w:p w:rsidR="0020090D" w:rsidRDefault="0020090D">
            <w:pPr>
              <w:adjustRightInd w:val="0"/>
              <w:snapToGrid w:val="0"/>
              <w:spacing w:line="400" w:lineRule="exact"/>
              <w:jc w:val="center"/>
              <w:rPr>
                <w:rFonts w:eastAsia="仿宋_GB2312"/>
                <w:sz w:val="22"/>
              </w:rPr>
            </w:pPr>
          </w:p>
        </w:tc>
        <w:tc>
          <w:tcPr>
            <w:tcW w:w="4045" w:type="dxa"/>
            <w:tcMar>
              <w:left w:w="0" w:type="dxa"/>
              <w:right w:w="0" w:type="dxa"/>
            </w:tcMar>
            <w:vAlign w:val="center"/>
          </w:tcPr>
          <w:p w:rsidR="0020090D" w:rsidRDefault="00E74C8E">
            <w:pPr>
              <w:adjustRightInd w:val="0"/>
              <w:snapToGrid w:val="0"/>
              <w:spacing w:line="400" w:lineRule="exact"/>
              <w:rPr>
                <w:rFonts w:eastAsia="仿宋_GB2312"/>
                <w:sz w:val="22"/>
              </w:rPr>
            </w:pPr>
            <w:r>
              <w:rPr>
                <w:rFonts w:eastAsia="仿宋_GB2312"/>
                <w:sz w:val="22"/>
              </w:rPr>
              <w:t>单位</w:t>
            </w:r>
            <w:r>
              <w:rPr>
                <w:rFonts w:eastAsia="仿宋_GB2312"/>
                <w:sz w:val="22"/>
              </w:rPr>
              <w:t>GDP</w:t>
            </w:r>
            <w:r>
              <w:rPr>
                <w:rFonts w:eastAsia="仿宋_GB2312"/>
                <w:sz w:val="22"/>
              </w:rPr>
              <w:t>能耗（吨标煤</w:t>
            </w:r>
            <w:r>
              <w:rPr>
                <w:rFonts w:eastAsia="仿宋_GB2312"/>
                <w:sz w:val="22"/>
              </w:rPr>
              <w:t>/</w:t>
            </w:r>
            <w:r>
              <w:rPr>
                <w:rFonts w:eastAsia="仿宋_GB2312"/>
                <w:sz w:val="22"/>
              </w:rPr>
              <w:t>万元）</w:t>
            </w:r>
          </w:p>
        </w:tc>
        <w:tc>
          <w:tcPr>
            <w:tcW w:w="1135"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市</w:t>
            </w:r>
            <w:r>
              <w:rPr>
                <w:rFonts w:eastAsia="仿宋_GB2312" w:hint="eastAsia"/>
                <w:sz w:val="22"/>
              </w:rPr>
              <w:t>发改局</w:t>
            </w:r>
          </w:p>
        </w:tc>
        <w:tc>
          <w:tcPr>
            <w:tcW w:w="561"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0.</w:t>
            </w:r>
            <w:r>
              <w:rPr>
                <w:rFonts w:eastAsia="仿宋_GB2312" w:hint="eastAsia"/>
                <w:sz w:val="22"/>
              </w:rPr>
              <w:t>45</w:t>
            </w:r>
          </w:p>
        </w:tc>
        <w:tc>
          <w:tcPr>
            <w:tcW w:w="900"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≤0.6</w:t>
            </w:r>
          </w:p>
        </w:tc>
        <w:tc>
          <w:tcPr>
            <w:tcW w:w="617"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hint="eastAsia"/>
                <w:sz w:val="22"/>
              </w:rPr>
              <w:t>——</w:t>
            </w:r>
          </w:p>
        </w:tc>
        <w:tc>
          <w:tcPr>
            <w:tcW w:w="763" w:type="dxa"/>
            <w:tcMar>
              <w:left w:w="0" w:type="dxa"/>
              <w:right w:w="0" w:type="dxa"/>
            </w:tcMar>
            <w:vAlign w:val="center"/>
          </w:tcPr>
          <w:p w:rsidR="0020090D" w:rsidRDefault="00E74C8E">
            <w:pPr>
              <w:adjustRightInd w:val="0"/>
              <w:snapToGrid w:val="0"/>
              <w:spacing w:line="400" w:lineRule="exact"/>
              <w:jc w:val="center"/>
              <w:rPr>
                <w:rFonts w:eastAsia="仿宋_GB2312"/>
                <w:sz w:val="22"/>
              </w:rPr>
            </w:pPr>
            <w:r>
              <w:rPr>
                <w:rFonts w:eastAsia="仿宋_GB2312"/>
                <w:sz w:val="22"/>
              </w:rPr>
              <w:t>约束性</w:t>
            </w:r>
          </w:p>
        </w:tc>
      </w:tr>
    </w:tbl>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eastAsia="方正小标宋简体"/>
          <w:bCs/>
          <w:sz w:val="32"/>
          <w:szCs w:val="32"/>
        </w:rPr>
      </w:pPr>
    </w:p>
    <w:p w:rsidR="0020090D" w:rsidRDefault="0020090D">
      <w:pPr>
        <w:spacing w:line="580" w:lineRule="exact"/>
        <w:outlineLvl w:val="0"/>
        <w:rPr>
          <w:rFonts w:ascii="楷体" w:eastAsia="楷体" w:hAnsi="楷体" w:cs="楷体"/>
          <w:bCs/>
          <w:sz w:val="28"/>
          <w:szCs w:val="28"/>
        </w:rPr>
      </w:pPr>
    </w:p>
    <w:p w:rsidR="0020090D" w:rsidRDefault="00E74C8E">
      <w:pPr>
        <w:spacing w:line="580" w:lineRule="exact"/>
        <w:outlineLvl w:val="0"/>
        <w:rPr>
          <w:rFonts w:ascii="楷体" w:eastAsia="楷体" w:hAnsi="楷体" w:cs="楷体"/>
          <w:bCs/>
          <w:sz w:val="28"/>
          <w:szCs w:val="28"/>
        </w:rPr>
      </w:pPr>
      <w:r>
        <w:rPr>
          <w:rFonts w:ascii="楷体" w:eastAsia="楷体" w:hAnsi="楷体" w:cs="楷体" w:hint="eastAsia"/>
          <w:bCs/>
          <w:sz w:val="28"/>
          <w:szCs w:val="28"/>
        </w:rPr>
        <w:lastRenderedPageBreak/>
        <w:t>附件</w:t>
      </w:r>
      <w:r>
        <w:rPr>
          <w:rFonts w:ascii="楷体" w:eastAsia="楷体" w:hAnsi="楷体" w:cs="楷体" w:hint="eastAsia"/>
          <w:bCs/>
          <w:sz w:val="28"/>
          <w:szCs w:val="28"/>
        </w:rPr>
        <w:t>2</w:t>
      </w:r>
      <w:r>
        <w:rPr>
          <w:rFonts w:ascii="楷体" w:eastAsia="楷体" w:hAnsi="楷体" w:cs="楷体" w:hint="eastAsia"/>
          <w:bCs/>
          <w:sz w:val="28"/>
          <w:szCs w:val="28"/>
        </w:rPr>
        <w:t>：</w:t>
      </w:r>
    </w:p>
    <w:p w:rsidR="0020090D" w:rsidRDefault="00E74C8E">
      <w:pPr>
        <w:spacing w:line="580" w:lineRule="exact"/>
        <w:jc w:val="center"/>
        <w:outlineLvl w:val="0"/>
        <w:rPr>
          <w:rFonts w:ascii="黑体" w:eastAsia="黑体" w:hAnsi="黑体" w:cs="黑体"/>
          <w:bCs/>
          <w:sz w:val="32"/>
          <w:szCs w:val="32"/>
        </w:rPr>
      </w:pPr>
      <w:r>
        <w:rPr>
          <w:rFonts w:ascii="黑体" w:eastAsia="黑体" w:hAnsi="黑体" w:cs="黑体" w:hint="eastAsia"/>
          <w:bCs/>
          <w:sz w:val="32"/>
          <w:szCs w:val="32"/>
        </w:rPr>
        <w:t>25</w:t>
      </w:r>
      <w:r>
        <w:rPr>
          <w:rFonts w:ascii="黑体" w:eastAsia="黑体" w:hAnsi="黑体" w:cs="黑体" w:hint="eastAsia"/>
          <w:bCs/>
          <w:sz w:val="32"/>
          <w:szCs w:val="32"/>
        </w:rPr>
        <w:t>个市级重点专项规划评估责任单位</w:t>
      </w:r>
    </w:p>
    <w:tbl>
      <w:tblPr>
        <w:tblStyle w:val="a5"/>
        <w:tblW w:w="8881" w:type="dxa"/>
        <w:jc w:val="center"/>
        <w:tblLayout w:type="fixed"/>
        <w:tblLook w:val="04A0"/>
      </w:tblPr>
      <w:tblGrid>
        <w:gridCol w:w="801"/>
        <w:gridCol w:w="6075"/>
        <w:gridCol w:w="2005"/>
      </w:tblGrid>
      <w:tr w:rsidR="0020090D">
        <w:trPr>
          <w:trHeight w:val="670"/>
          <w:jc w:val="center"/>
        </w:trPr>
        <w:tc>
          <w:tcPr>
            <w:tcW w:w="801" w:type="dxa"/>
            <w:vAlign w:val="bottom"/>
          </w:tcPr>
          <w:p w:rsidR="0020090D" w:rsidRDefault="00E74C8E">
            <w:pPr>
              <w:adjustRightInd w:val="0"/>
              <w:snapToGrid w:val="0"/>
              <w:spacing w:line="400" w:lineRule="exact"/>
              <w:jc w:val="center"/>
              <w:rPr>
                <w:rFonts w:eastAsia="仿宋_GB2312"/>
                <w:b/>
                <w:bCs/>
                <w:sz w:val="24"/>
                <w:szCs w:val="28"/>
              </w:rPr>
            </w:pPr>
            <w:r>
              <w:rPr>
                <w:rFonts w:eastAsia="仿宋_GB2312" w:hint="eastAsia"/>
                <w:b/>
                <w:bCs/>
                <w:sz w:val="24"/>
                <w:szCs w:val="28"/>
              </w:rPr>
              <w:t>序号</w:t>
            </w:r>
          </w:p>
        </w:tc>
        <w:tc>
          <w:tcPr>
            <w:tcW w:w="6075" w:type="dxa"/>
            <w:vAlign w:val="bottom"/>
          </w:tcPr>
          <w:p w:rsidR="0020090D" w:rsidRDefault="00E74C8E">
            <w:pPr>
              <w:adjustRightInd w:val="0"/>
              <w:snapToGrid w:val="0"/>
              <w:spacing w:line="400" w:lineRule="exact"/>
              <w:jc w:val="center"/>
              <w:rPr>
                <w:rFonts w:eastAsia="仿宋_GB2312"/>
                <w:b/>
                <w:bCs/>
                <w:sz w:val="24"/>
                <w:szCs w:val="28"/>
              </w:rPr>
            </w:pPr>
            <w:r>
              <w:rPr>
                <w:rFonts w:eastAsia="仿宋_GB2312" w:hint="eastAsia"/>
                <w:b/>
                <w:bCs/>
                <w:sz w:val="24"/>
                <w:szCs w:val="28"/>
              </w:rPr>
              <w:t>专项规划名称</w:t>
            </w:r>
          </w:p>
        </w:tc>
        <w:tc>
          <w:tcPr>
            <w:tcW w:w="2005" w:type="dxa"/>
            <w:vAlign w:val="bottom"/>
          </w:tcPr>
          <w:p w:rsidR="0020090D" w:rsidRDefault="00E74C8E">
            <w:pPr>
              <w:adjustRightInd w:val="0"/>
              <w:snapToGrid w:val="0"/>
              <w:spacing w:line="400" w:lineRule="exact"/>
              <w:jc w:val="center"/>
              <w:rPr>
                <w:rFonts w:eastAsia="仿宋_GB2312"/>
                <w:b/>
                <w:bCs/>
                <w:sz w:val="24"/>
                <w:szCs w:val="28"/>
              </w:rPr>
            </w:pPr>
            <w:r>
              <w:rPr>
                <w:rFonts w:eastAsia="仿宋_GB2312" w:hint="eastAsia"/>
                <w:b/>
                <w:bCs/>
                <w:sz w:val="24"/>
                <w:szCs w:val="28"/>
              </w:rPr>
              <w:t>责任单位</w:t>
            </w:r>
          </w:p>
        </w:tc>
      </w:tr>
      <w:tr w:rsidR="0020090D">
        <w:trPr>
          <w:trHeight w:val="39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津市市城市住房建设规划（</w:t>
            </w:r>
            <w:r>
              <w:rPr>
                <w:rFonts w:eastAsia="仿宋_GB2312" w:hint="eastAsia"/>
                <w:sz w:val="24"/>
                <w:szCs w:val="28"/>
              </w:rPr>
              <w:t>2014</w:t>
            </w:r>
            <w:r>
              <w:rPr>
                <w:rFonts w:eastAsia="仿宋_GB2312" w:hint="eastAsia"/>
                <w:sz w:val="24"/>
                <w:szCs w:val="28"/>
              </w:rPr>
              <w:t>—</w:t>
            </w:r>
            <w:r>
              <w:rPr>
                <w:rFonts w:eastAsia="仿宋_GB2312" w:hint="eastAsia"/>
                <w:sz w:val="24"/>
                <w:szCs w:val="28"/>
              </w:rPr>
              <w:t>2020</w:t>
            </w:r>
            <w:r>
              <w:rPr>
                <w:rFonts w:eastAsia="仿宋_GB2312" w:hint="eastAsia"/>
                <w:sz w:val="24"/>
                <w:szCs w:val="28"/>
              </w:rPr>
              <w:t>年）</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市住建局</w:t>
            </w:r>
          </w:p>
        </w:tc>
      </w:tr>
      <w:tr w:rsidR="0020090D">
        <w:trPr>
          <w:trHeight w:val="33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津市市土地利用总体规划（</w:t>
            </w:r>
            <w:r>
              <w:rPr>
                <w:rFonts w:eastAsia="仿宋_GB2312" w:hint="eastAsia"/>
                <w:sz w:val="24"/>
                <w:szCs w:val="28"/>
              </w:rPr>
              <w:t>2006</w:t>
            </w:r>
            <w:r>
              <w:rPr>
                <w:rFonts w:eastAsia="仿宋_GB2312" w:hint="eastAsia"/>
                <w:sz w:val="24"/>
                <w:szCs w:val="28"/>
              </w:rPr>
              <w:t>—</w:t>
            </w:r>
            <w:r>
              <w:rPr>
                <w:rFonts w:eastAsia="仿宋_GB2312" w:hint="eastAsia"/>
                <w:sz w:val="24"/>
                <w:szCs w:val="28"/>
              </w:rPr>
              <w:t>2020</w:t>
            </w:r>
            <w:r>
              <w:rPr>
                <w:rFonts w:eastAsia="仿宋_GB2312" w:hint="eastAsia"/>
                <w:sz w:val="24"/>
                <w:szCs w:val="28"/>
              </w:rPr>
              <w:t>年）</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市国土局</w:t>
            </w:r>
          </w:p>
        </w:tc>
      </w:tr>
      <w:tr w:rsidR="0020090D">
        <w:trPr>
          <w:trHeight w:val="34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3</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津市市“十三五”环境保护规划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市环保局</w:t>
            </w:r>
          </w:p>
        </w:tc>
      </w:tr>
      <w:tr w:rsidR="0020090D">
        <w:trPr>
          <w:trHeight w:val="36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4</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津市市“十三五”商贸流通业发展规划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市商务粮食局</w:t>
            </w:r>
          </w:p>
        </w:tc>
      </w:tr>
      <w:tr w:rsidR="0020090D">
        <w:trPr>
          <w:trHeight w:val="67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5</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津市市“十三五”新型工业化发展规划、津市市十三五科学和技术发展规划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市科工局</w:t>
            </w:r>
          </w:p>
        </w:tc>
      </w:tr>
      <w:tr w:rsidR="0020090D">
        <w:trPr>
          <w:trHeight w:val="38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6</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津市市教育事业十三五发展规划（</w:t>
            </w:r>
            <w:r>
              <w:rPr>
                <w:rFonts w:eastAsia="仿宋_GB2312" w:hint="eastAsia"/>
                <w:sz w:val="24"/>
                <w:szCs w:val="28"/>
              </w:rPr>
              <w:t>2016-2020</w:t>
            </w:r>
            <w:r>
              <w:rPr>
                <w:rFonts w:eastAsia="仿宋_GB2312" w:hint="eastAsia"/>
                <w:sz w:val="24"/>
                <w:szCs w:val="28"/>
              </w:rPr>
              <w:t>年）</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市教育局</w:t>
            </w:r>
          </w:p>
        </w:tc>
      </w:tr>
      <w:tr w:rsidR="0020090D">
        <w:trPr>
          <w:trHeight w:val="47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7</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津市市旅游业发展“十三五”规划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市旅游局</w:t>
            </w:r>
          </w:p>
        </w:tc>
      </w:tr>
      <w:tr w:rsidR="0020090D">
        <w:trPr>
          <w:trHeight w:val="42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8</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津市市林业发展“十三五”规划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市林业局</w:t>
            </w:r>
          </w:p>
        </w:tc>
      </w:tr>
      <w:tr w:rsidR="0020090D">
        <w:trPr>
          <w:trHeight w:val="33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9</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津市市就业和社会保障事业发展“十三五”规划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市人社局</w:t>
            </w:r>
          </w:p>
        </w:tc>
      </w:tr>
      <w:tr w:rsidR="0020090D">
        <w:trPr>
          <w:trHeight w:val="36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10</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津市市“十三五”畜牧水产业发展规划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市畜牧局</w:t>
            </w:r>
          </w:p>
        </w:tc>
      </w:tr>
      <w:tr w:rsidR="0020090D">
        <w:trPr>
          <w:trHeight w:val="43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11</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津市市“十三五”财政发展规划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市财政局</w:t>
            </w:r>
          </w:p>
        </w:tc>
      </w:tr>
      <w:tr w:rsidR="0020090D">
        <w:trPr>
          <w:trHeight w:val="38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12</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津市市“十三五”文体事业发展规划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市文体广新局</w:t>
            </w:r>
          </w:p>
        </w:tc>
      </w:tr>
      <w:tr w:rsidR="0020090D">
        <w:trPr>
          <w:trHeight w:val="35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13</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津市市“十三五”安全生产发展规划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市安监局</w:t>
            </w:r>
          </w:p>
        </w:tc>
      </w:tr>
      <w:tr w:rsidR="0020090D">
        <w:trPr>
          <w:trHeight w:val="37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14</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津市市“十三五”交通发展规划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市交通局</w:t>
            </w:r>
          </w:p>
        </w:tc>
      </w:tr>
      <w:tr w:rsidR="0020090D">
        <w:trPr>
          <w:trHeight w:val="43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15</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津市市残疾人事业“十三五”发展规划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市残联</w:t>
            </w:r>
          </w:p>
        </w:tc>
      </w:tr>
      <w:tr w:rsidR="0020090D">
        <w:trPr>
          <w:trHeight w:val="39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16</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津市工业集中区“十三五”发展规划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高新区</w:t>
            </w:r>
          </w:p>
        </w:tc>
      </w:tr>
      <w:tr w:rsidR="0020090D">
        <w:trPr>
          <w:trHeight w:val="34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17</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津市市“十三五”人口卫生事业发展规划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市卫计局</w:t>
            </w:r>
          </w:p>
        </w:tc>
      </w:tr>
      <w:tr w:rsidR="0020090D">
        <w:trPr>
          <w:trHeight w:val="43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18</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津市市“十三五”农村经济发展规划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市农业局</w:t>
            </w:r>
          </w:p>
        </w:tc>
      </w:tr>
      <w:tr w:rsidR="0020090D">
        <w:trPr>
          <w:trHeight w:val="42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19</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津市市“十三五”金融业发展规划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市金融办</w:t>
            </w:r>
          </w:p>
        </w:tc>
      </w:tr>
      <w:tr w:rsidR="0020090D">
        <w:trPr>
          <w:trHeight w:val="49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20</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津市市“十三五”防震减灾事业发展规划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市地震局</w:t>
            </w:r>
          </w:p>
        </w:tc>
      </w:tr>
      <w:tr w:rsidR="0020090D">
        <w:trPr>
          <w:trHeight w:val="37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21</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津市市“十三五”人防事业发展规划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市人防办</w:t>
            </w:r>
          </w:p>
        </w:tc>
      </w:tr>
      <w:tr w:rsidR="0020090D">
        <w:trPr>
          <w:trHeight w:val="47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22</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津市市“十三五”食品药品安全发展规划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市食药工质局</w:t>
            </w:r>
          </w:p>
        </w:tc>
      </w:tr>
      <w:tr w:rsidR="0020090D">
        <w:trPr>
          <w:trHeight w:val="43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23</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津市市“十三五”民政事业发展规划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市民政局</w:t>
            </w:r>
          </w:p>
        </w:tc>
      </w:tr>
      <w:tr w:rsidR="0020090D">
        <w:trPr>
          <w:trHeight w:val="370"/>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24</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津市市“十三五”全面小康发展规划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市统计局</w:t>
            </w:r>
          </w:p>
        </w:tc>
      </w:tr>
      <w:tr w:rsidR="0020090D">
        <w:trPr>
          <w:trHeight w:val="395"/>
          <w:jc w:val="center"/>
        </w:trPr>
        <w:tc>
          <w:tcPr>
            <w:tcW w:w="801"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25</w:t>
            </w:r>
          </w:p>
        </w:tc>
        <w:tc>
          <w:tcPr>
            <w:tcW w:w="607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津市市专业技术人才“十三五”培养规划</w:t>
            </w:r>
          </w:p>
        </w:tc>
        <w:tc>
          <w:tcPr>
            <w:tcW w:w="2005" w:type="dxa"/>
          </w:tcPr>
          <w:p w:rsidR="0020090D" w:rsidRDefault="00E74C8E">
            <w:pPr>
              <w:adjustRightInd w:val="0"/>
              <w:snapToGrid w:val="0"/>
              <w:spacing w:line="400" w:lineRule="exact"/>
              <w:jc w:val="left"/>
              <w:rPr>
                <w:rFonts w:eastAsia="仿宋_GB2312"/>
                <w:sz w:val="24"/>
                <w:szCs w:val="28"/>
              </w:rPr>
            </w:pPr>
            <w:r>
              <w:rPr>
                <w:rFonts w:eastAsia="仿宋_GB2312" w:hint="eastAsia"/>
                <w:sz w:val="24"/>
                <w:szCs w:val="28"/>
              </w:rPr>
              <w:t>市人社局</w:t>
            </w:r>
          </w:p>
        </w:tc>
      </w:tr>
    </w:tbl>
    <w:p w:rsidR="0020090D" w:rsidRDefault="0020090D">
      <w:pPr>
        <w:ind w:firstLineChars="200" w:firstLine="640"/>
        <w:rPr>
          <w:rFonts w:ascii="仿宋" w:eastAsia="仿宋" w:hAnsi="仿宋" w:cs="仿宋"/>
          <w:sz w:val="32"/>
          <w:szCs w:val="32"/>
        </w:rPr>
      </w:pPr>
    </w:p>
    <w:p w:rsidR="0020090D" w:rsidRDefault="0020090D"/>
    <w:sectPr w:rsidR="0020090D" w:rsidSect="002009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8E" w:rsidRDefault="00E74C8E" w:rsidP="0020090D">
      <w:r>
        <w:separator/>
      </w:r>
    </w:p>
  </w:endnote>
  <w:endnote w:type="continuationSeparator" w:id="0">
    <w:p w:rsidR="00E74C8E" w:rsidRDefault="00E74C8E" w:rsidP="00200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0090D" w:rsidRDefault="0020090D">
                <w:pPr>
                  <w:pStyle w:val="a3"/>
                </w:pPr>
                <w:r>
                  <w:rPr>
                    <w:rFonts w:hint="eastAsia"/>
                  </w:rPr>
                  <w:fldChar w:fldCharType="begin"/>
                </w:r>
                <w:r w:rsidR="00E74C8E">
                  <w:rPr>
                    <w:rFonts w:hint="eastAsia"/>
                  </w:rPr>
                  <w:instrText xml:space="preserve"> PAGE  \* MERGEFORMAT </w:instrText>
                </w:r>
                <w:r>
                  <w:rPr>
                    <w:rFonts w:hint="eastAsia"/>
                  </w:rPr>
                  <w:fldChar w:fldCharType="separate"/>
                </w:r>
                <w:r w:rsidR="00973873">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8E" w:rsidRDefault="00E74C8E" w:rsidP="0020090D">
      <w:r>
        <w:separator/>
      </w:r>
    </w:p>
  </w:footnote>
  <w:footnote w:type="continuationSeparator" w:id="0">
    <w:p w:rsidR="00E74C8E" w:rsidRDefault="00E74C8E" w:rsidP="00200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7D8B8"/>
    <w:multiLevelType w:val="singleLevel"/>
    <w:tmpl w:val="5B07D8B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E80236"/>
    <w:rsid w:val="0020090D"/>
    <w:rsid w:val="00725BCB"/>
    <w:rsid w:val="00973873"/>
    <w:rsid w:val="00E74C8E"/>
    <w:rsid w:val="058940B4"/>
    <w:rsid w:val="06564630"/>
    <w:rsid w:val="0A1A2950"/>
    <w:rsid w:val="0BD56835"/>
    <w:rsid w:val="0C9F2322"/>
    <w:rsid w:val="14FD4DFC"/>
    <w:rsid w:val="17171945"/>
    <w:rsid w:val="173D27C8"/>
    <w:rsid w:val="18024CF0"/>
    <w:rsid w:val="1B88660A"/>
    <w:rsid w:val="23821175"/>
    <w:rsid w:val="25EE19A2"/>
    <w:rsid w:val="2843758C"/>
    <w:rsid w:val="2C055944"/>
    <w:rsid w:val="3049559C"/>
    <w:rsid w:val="37B54A87"/>
    <w:rsid w:val="39930710"/>
    <w:rsid w:val="3AD77FA4"/>
    <w:rsid w:val="3B0A4FBD"/>
    <w:rsid w:val="3E5106E2"/>
    <w:rsid w:val="42D52371"/>
    <w:rsid w:val="4C42292D"/>
    <w:rsid w:val="502A35F7"/>
    <w:rsid w:val="505E561D"/>
    <w:rsid w:val="509D4BAB"/>
    <w:rsid w:val="5475319F"/>
    <w:rsid w:val="54E80236"/>
    <w:rsid w:val="56CE5290"/>
    <w:rsid w:val="570403CE"/>
    <w:rsid w:val="5B5F772A"/>
    <w:rsid w:val="5BC349EA"/>
    <w:rsid w:val="5DD22BB5"/>
    <w:rsid w:val="66AA06C6"/>
    <w:rsid w:val="673C72A4"/>
    <w:rsid w:val="6BE05F3D"/>
    <w:rsid w:val="6C1C3831"/>
    <w:rsid w:val="71652264"/>
    <w:rsid w:val="71B5022C"/>
    <w:rsid w:val="73D6638F"/>
    <w:rsid w:val="75794DF1"/>
    <w:rsid w:val="76F46F29"/>
    <w:rsid w:val="79174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9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0090D"/>
    <w:pPr>
      <w:tabs>
        <w:tab w:val="center" w:pos="4153"/>
        <w:tab w:val="right" w:pos="8306"/>
      </w:tabs>
      <w:snapToGrid w:val="0"/>
      <w:jc w:val="left"/>
    </w:pPr>
    <w:rPr>
      <w:sz w:val="18"/>
    </w:rPr>
  </w:style>
  <w:style w:type="paragraph" w:styleId="a4">
    <w:name w:val="header"/>
    <w:basedOn w:val="a"/>
    <w:qFormat/>
    <w:rsid w:val="002009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009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2018-05-28T02:21:00Z</cp:lastPrinted>
  <dcterms:created xsi:type="dcterms:W3CDTF">2018-05-25T00:23:00Z</dcterms:created>
  <dcterms:modified xsi:type="dcterms:W3CDTF">2018-06-12T08:00:00Z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