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5B49">
      <w:pPr>
        <w:rPr>
          <w:color w:val="000000"/>
        </w:rPr>
      </w:pPr>
    </w:p>
    <w:p w14:paraId="5A3A01D5">
      <w:pPr>
        <w:widowControl/>
        <w:spacing w:line="596" w:lineRule="exact"/>
        <w:jc w:val="center"/>
        <w:rPr>
          <w:rFonts w:eastAsia="方正小标宋简体"/>
          <w:bCs/>
          <w:color w:val="000000"/>
          <w:kern w:val="0"/>
          <w:sz w:val="42"/>
          <w:szCs w:val="42"/>
        </w:rPr>
      </w:pPr>
      <w:r>
        <w:rPr>
          <w:rFonts w:hint="eastAsia" w:eastAsia="方正小标宋简体"/>
          <w:bCs/>
          <w:color w:val="000000"/>
          <w:kern w:val="0"/>
          <w:sz w:val="42"/>
          <w:szCs w:val="42"/>
          <w:lang w:val="en-US" w:eastAsia="zh-CN"/>
        </w:rPr>
        <w:t>津市市</w:t>
      </w:r>
      <w:r>
        <w:rPr>
          <w:rFonts w:eastAsia="方正小标宋简体"/>
          <w:bCs/>
          <w:color w:val="000000"/>
          <w:kern w:val="0"/>
          <w:sz w:val="42"/>
          <w:szCs w:val="42"/>
        </w:rPr>
        <w:t>发展和改革</w:t>
      </w:r>
      <w:r>
        <w:rPr>
          <w:rFonts w:hint="eastAsia" w:eastAsia="方正小标宋简体"/>
          <w:bCs/>
          <w:color w:val="000000"/>
          <w:kern w:val="0"/>
          <w:sz w:val="42"/>
          <w:szCs w:val="42"/>
          <w:lang w:val="en-US" w:eastAsia="zh-CN"/>
        </w:rPr>
        <w:t>局</w:t>
      </w:r>
      <w:r>
        <w:rPr>
          <w:rFonts w:eastAsia="方正小标宋简体"/>
          <w:bCs/>
          <w:color w:val="000000"/>
          <w:kern w:val="0"/>
          <w:sz w:val="42"/>
          <w:szCs w:val="42"/>
        </w:rPr>
        <w:t>（</w:t>
      </w:r>
      <w:r>
        <w:rPr>
          <w:rFonts w:hint="eastAsia" w:eastAsia="方正小标宋简体"/>
          <w:bCs/>
          <w:color w:val="000000"/>
          <w:kern w:val="0"/>
          <w:sz w:val="42"/>
          <w:szCs w:val="42"/>
          <w:lang w:val="en-US" w:eastAsia="zh-CN"/>
        </w:rPr>
        <w:t>津市市</w:t>
      </w:r>
      <w:r>
        <w:rPr>
          <w:rFonts w:eastAsia="方正小标宋简体"/>
          <w:bCs/>
          <w:color w:val="000000"/>
          <w:kern w:val="0"/>
          <w:sz w:val="42"/>
          <w:szCs w:val="42"/>
        </w:rPr>
        <w:t>国防动员办公室）</w:t>
      </w:r>
    </w:p>
    <w:p w14:paraId="1C6CD16E">
      <w:pPr>
        <w:widowControl/>
        <w:spacing w:line="596" w:lineRule="exact"/>
        <w:jc w:val="center"/>
        <w:rPr>
          <w:rFonts w:eastAsia="方正小标宋简体"/>
          <w:bCs/>
          <w:color w:val="000000"/>
          <w:kern w:val="0"/>
          <w:sz w:val="42"/>
          <w:szCs w:val="42"/>
        </w:rPr>
      </w:pPr>
      <w:r>
        <w:rPr>
          <w:rFonts w:eastAsia="方正小标宋简体"/>
          <w:bCs/>
          <w:color w:val="000000"/>
          <w:kern w:val="0"/>
          <w:sz w:val="42"/>
          <w:szCs w:val="42"/>
        </w:rPr>
        <w:t>行政执法事项目录</w:t>
      </w:r>
    </w:p>
    <w:tbl>
      <w:tblPr>
        <w:tblStyle w:val="3"/>
        <w:tblW w:w="15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834"/>
        <w:gridCol w:w="706"/>
        <w:gridCol w:w="1174"/>
        <w:gridCol w:w="886"/>
        <w:gridCol w:w="9611"/>
        <w:gridCol w:w="411"/>
      </w:tblGrid>
      <w:tr w14:paraId="7A7D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7" w:type="dxa"/>
            <w:noWrap w:val="0"/>
            <w:tcMar>
              <w:left w:w="51" w:type="dxa"/>
              <w:right w:w="51" w:type="dxa"/>
            </w:tcMar>
            <w:vAlign w:val="center"/>
          </w:tcPr>
          <w:p w14:paraId="3F63256C">
            <w:pPr>
              <w:widowControl/>
              <w:jc w:val="center"/>
              <w:rPr>
                <w:rFonts w:hint="eastAsia" w:ascii="黑体" w:hAnsi="黑体" w:eastAsia="黑体"/>
                <w:bCs/>
                <w:color w:val="000000"/>
                <w:kern w:val="0"/>
                <w:szCs w:val="21"/>
              </w:rPr>
            </w:pPr>
            <w:r>
              <w:rPr>
                <w:rFonts w:ascii="黑体" w:hAnsi="黑体" w:eastAsia="黑体"/>
                <w:bCs/>
                <w:color w:val="000000"/>
                <w:kern w:val="0"/>
                <w:szCs w:val="21"/>
              </w:rPr>
              <w:t>序</w:t>
            </w:r>
          </w:p>
          <w:p w14:paraId="7581DC84">
            <w:pPr>
              <w:widowControl/>
              <w:jc w:val="center"/>
              <w:rPr>
                <w:rFonts w:ascii="黑体" w:hAnsi="黑体" w:eastAsia="黑体"/>
                <w:bCs/>
                <w:color w:val="000000"/>
                <w:kern w:val="0"/>
                <w:szCs w:val="21"/>
              </w:rPr>
            </w:pPr>
            <w:r>
              <w:rPr>
                <w:rFonts w:ascii="黑体" w:hAnsi="黑体" w:eastAsia="黑体"/>
                <w:bCs/>
                <w:color w:val="000000"/>
                <w:kern w:val="0"/>
                <w:szCs w:val="21"/>
              </w:rPr>
              <w:t>号</w:t>
            </w:r>
          </w:p>
        </w:tc>
        <w:tc>
          <w:tcPr>
            <w:tcW w:w="1834" w:type="dxa"/>
            <w:noWrap w:val="0"/>
            <w:tcMar>
              <w:left w:w="51" w:type="dxa"/>
              <w:right w:w="51" w:type="dxa"/>
            </w:tcMar>
            <w:vAlign w:val="center"/>
          </w:tcPr>
          <w:p w14:paraId="769A04B7">
            <w:pPr>
              <w:widowControl/>
              <w:jc w:val="center"/>
              <w:rPr>
                <w:rFonts w:ascii="黑体" w:hAnsi="黑体" w:eastAsia="黑体"/>
                <w:bCs/>
                <w:color w:val="000000"/>
                <w:kern w:val="0"/>
                <w:szCs w:val="21"/>
              </w:rPr>
            </w:pPr>
            <w:r>
              <w:rPr>
                <w:rFonts w:ascii="黑体" w:hAnsi="黑体" w:eastAsia="黑体"/>
                <w:bCs/>
                <w:color w:val="000000"/>
                <w:kern w:val="0"/>
                <w:szCs w:val="21"/>
              </w:rPr>
              <w:t>执法事项</w:t>
            </w:r>
          </w:p>
          <w:p w14:paraId="55B918B9">
            <w:pPr>
              <w:widowControl/>
              <w:jc w:val="center"/>
              <w:rPr>
                <w:rFonts w:ascii="黑体" w:hAnsi="黑体" w:eastAsia="黑体"/>
                <w:bCs/>
                <w:color w:val="000000"/>
                <w:kern w:val="0"/>
                <w:szCs w:val="21"/>
              </w:rPr>
            </w:pPr>
            <w:r>
              <w:rPr>
                <w:rFonts w:ascii="黑体" w:hAnsi="黑体" w:eastAsia="黑体"/>
                <w:bCs/>
                <w:color w:val="000000"/>
                <w:kern w:val="0"/>
                <w:szCs w:val="21"/>
              </w:rPr>
              <w:t>名</w:t>
            </w:r>
            <w:r>
              <w:rPr>
                <w:rFonts w:hint="eastAsia" w:ascii="黑体" w:hAnsi="黑体" w:eastAsia="黑体"/>
                <w:bCs/>
                <w:color w:val="000000"/>
                <w:kern w:val="0"/>
                <w:szCs w:val="21"/>
              </w:rPr>
              <w:t xml:space="preserve">    </w:t>
            </w:r>
            <w:r>
              <w:rPr>
                <w:rFonts w:ascii="黑体" w:hAnsi="黑体" w:eastAsia="黑体"/>
                <w:bCs/>
                <w:color w:val="000000"/>
                <w:kern w:val="0"/>
                <w:szCs w:val="21"/>
              </w:rPr>
              <w:t>称</w:t>
            </w:r>
          </w:p>
        </w:tc>
        <w:tc>
          <w:tcPr>
            <w:tcW w:w="706" w:type="dxa"/>
            <w:noWrap w:val="0"/>
            <w:tcMar>
              <w:left w:w="51" w:type="dxa"/>
              <w:right w:w="51" w:type="dxa"/>
            </w:tcMar>
            <w:vAlign w:val="center"/>
          </w:tcPr>
          <w:p w14:paraId="7B5FBC61">
            <w:pPr>
              <w:widowControl/>
              <w:jc w:val="center"/>
              <w:rPr>
                <w:rFonts w:hint="eastAsia" w:ascii="黑体" w:hAnsi="黑体" w:eastAsia="黑体"/>
                <w:bCs/>
                <w:color w:val="000000"/>
                <w:kern w:val="0"/>
                <w:szCs w:val="21"/>
              </w:rPr>
            </w:pPr>
            <w:r>
              <w:rPr>
                <w:rFonts w:ascii="黑体" w:hAnsi="黑体" w:eastAsia="黑体"/>
                <w:bCs/>
                <w:color w:val="000000"/>
                <w:kern w:val="0"/>
                <w:szCs w:val="21"/>
              </w:rPr>
              <w:t>执法</w:t>
            </w:r>
          </w:p>
          <w:p w14:paraId="067BD97B">
            <w:pPr>
              <w:widowControl/>
              <w:jc w:val="center"/>
              <w:rPr>
                <w:rFonts w:ascii="黑体" w:hAnsi="黑体" w:eastAsia="黑体"/>
                <w:bCs/>
                <w:color w:val="000000"/>
                <w:kern w:val="0"/>
                <w:szCs w:val="21"/>
              </w:rPr>
            </w:pPr>
            <w:r>
              <w:rPr>
                <w:rFonts w:ascii="黑体" w:hAnsi="黑体" w:eastAsia="黑体"/>
                <w:bCs/>
                <w:color w:val="000000"/>
                <w:kern w:val="0"/>
                <w:szCs w:val="21"/>
              </w:rPr>
              <w:t>类别</w:t>
            </w:r>
          </w:p>
        </w:tc>
        <w:tc>
          <w:tcPr>
            <w:tcW w:w="1174" w:type="dxa"/>
            <w:noWrap w:val="0"/>
            <w:tcMar>
              <w:left w:w="51" w:type="dxa"/>
              <w:right w:w="51" w:type="dxa"/>
            </w:tcMar>
            <w:vAlign w:val="center"/>
          </w:tcPr>
          <w:p w14:paraId="03F490F1">
            <w:pPr>
              <w:widowControl/>
              <w:jc w:val="center"/>
              <w:rPr>
                <w:rFonts w:hint="eastAsia" w:ascii="黑体" w:hAnsi="黑体" w:eastAsia="黑体"/>
                <w:bCs/>
                <w:color w:val="000000"/>
                <w:kern w:val="0"/>
                <w:szCs w:val="21"/>
                <w:highlight w:val="none"/>
              </w:rPr>
            </w:pPr>
            <w:r>
              <w:rPr>
                <w:rFonts w:ascii="黑体" w:hAnsi="黑体" w:eastAsia="黑体"/>
                <w:bCs/>
                <w:color w:val="000000"/>
                <w:kern w:val="0"/>
                <w:szCs w:val="21"/>
                <w:highlight w:val="none"/>
              </w:rPr>
              <w:t>执法主体</w:t>
            </w:r>
          </w:p>
        </w:tc>
        <w:tc>
          <w:tcPr>
            <w:tcW w:w="886" w:type="dxa"/>
            <w:noWrap w:val="0"/>
            <w:tcMar>
              <w:left w:w="51" w:type="dxa"/>
              <w:right w:w="51" w:type="dxa"/>
            </w:tcMar>
            <w:vAlign w:val="center"/>
          </w:tcPr>
          <w:p w14:paraId="25982216">
            <w:pPr>
              <w:widowControl/>
              <w:jc w:val="center"/>
              <w:rPr>
                <w:rFonts w:hint="eastAsia" w:ascii="黑体" w:hAnsi="黑体" w:eastAsia="黑体"/>
                <w:bCs/>
                <w:color w:val="000000"/>
                <w:kern w:val="0"/>
                <w:szCs w:val="21"/>
                <w:highlight w:val="none"/>
              </w:rPr>
            </w:pPr>
            <w:r>
              <w:rPr>
                <w:rFonts w:ascii="黑体" w:hAnsi="黑体" w:eastAsia="黑体"/>
                <w:bCs/>
                <w:color w:val="000000"/>
                <w:kern w:val="0"/>
                <w:szCs w:val="21"/>
                <w:highlight w:val="none"/>
              </w:rPr>
              <w:t>承办</w:t>
            </w:r>
          </w:p>
          <w:p w14:paraId="0618CBB5">
            <w:pPr>
              <w:widowControl/>
              <w:jc w:val="center"/>
              <w:rPr>
                <w:rFonts w:ascii="黑体" w:hAnsi="黑体" w:eastAsia="黑体"/>
                <w:bCs/>
                <w:color w:val="000000"/>
                <w:kern w:val="0"/>
                <w:szCs w:val="21"/>
                <w:highlight w:val="none"/>
              </w:rPr>
            </w:pPr>
            <w:r>
              <w:rPr>
                <w:rFonts w:ascii="黑体" w:hAnsi="黑体" w:eastAsia="黑体"/>
                <w:bCs/>
                <w:color w:val="000000"/>
                <w:kern w:val="0"/>
                <w:szCs w:val="21"/>
                <w:highlight w:val="none"/>
              </w:rPr>
              <w:t>机构</w:t>
            </w:r>
          </w:p>
        </w:tc>
        <w:tc>
          <w:tcPr>
            <w:tcW w:w="9611" w:type="dxa"/>
            <w:noWrap w:val="0"/>
            <w:tcMar>
              <w:left w:w="51" w:type="dxa"/>
              <w:right w:w="51" w:type="dxa"/>
            </w:tcMar>
            <w:vAlign w:val="center"/>
          </w:tcPr>
          <w:p w14:paraId="563A0A97">
            <w:pPr>
              <w:widowControl/>
              <w:jc w:val="center"/>
              <w:rPr>
                <w:rFonts w:ascii="黑体" w:hAnsi="黑体" w:eastAsia="黑体"/>
                <w:bCs/>
                <w:color w:val="000000"/>
                <w:kern w:val="0"/>
                <w:szCs w:val="21"/>
              </w:rPr>
            </w:pPr>
            <w:r>
              <w:rPr>
                <w:rFonts w:ascii="黑体" w:hAnsi="黑体" w:eastAsia="黑体"/>
                <w:bCs/>
                <w:color w:val="000000"/>
                <w:kern w:val="0"/>
                <w:szCs w:val="21"/>
              </w:rPr>
              <w:t>执法依据</w:t>
            </w:r>
          </w:p>
        </w:tc>
        <w:tc>
          <w:tcPr>
            <w:tcW w:w="411" w:type="dxa"/>
            <w:noWrap w:val="0"/>
            <w:tcMar>
              <w:left w:w="51" w:type="dxa"/>
              <w:right w:w="51" w:type="dxa"/>
            </w:tcMar>
            <w:vAlign w:val="center"/>
          </w:tcPr>
          <w:p w14:paraId="5C0B7C17">
            <w:pPr>
              <w:widowControl/>
              <w:jc w:val="center"/>
              <w:rPr>
                <w:rFonts w:hint="eastAsia" w:ascii="黑体" w:hAnsi="黑体" w:eastAsia="黑体"/>
                <w:bCs/>
                <w:color w:val="000000"/>
                <w:kern w:val="0"/>
                <w:szCs w:val="21"/>
              </w:rPr>
            </w:pPr>
            <w:r>
              <w:rPr>
                <w:rFonts w:ascii="黑体" w:hAnsi="黑体" w:eastAsia="黑体"/>
                <w:bCs/>
                <w:color w:val="000000"/>
                <w:kern w:val="0"/>
                <w:szCs w:val="21"/>
              </w:rPr>
              <w:t>备</w:t>
            </w:r>
          </w:p>
          <w:p w14:paraId="2DC02D79">
            <w:pPr>
              <w:widowControl/>
              <w:jc w:val="center"/>
              <w:rPr>
                <w:rFonts w:ascii="黑体" w:hAnsi="黑体" w:eastAsia="黑体"/>
                <w:bCs/>
                <w:color w:val="000000"/>
                <w:kern w:val="0"/>
                <w:szCs w:val="21"/>
              </w:rPr>
            </w:pPr>
            <w:r>
              <w:rPr>
                <w:rFonts w:ascii="黑体" w:hAnsi="黑体" w:eastAsia="黑体"/>
                <w:bCs/>
                <w:color w:val="000000"/>
                <w:kern w:val="0"/>
                <w:szCs w:val="21"/>
              </w:rPr>
              <w:t>注</w:t>
            </w:r>
          </w:p>
        </w:tc>
      </w:tr>
      <w:tr w14:paraId="2644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17" w:type="dxa"/>
            <w:noWrap w:val="0"/>
            <w:tcMar>
              <w:left w:w="51" w:type="dxa"/>
              <w:right w:w="51" w:type="dxa"/>
            </w:tcMar>
            <w:vAlign w:val="center"/>
          </w:tcPr>
          <w:p w14:paraId="3BD2692F">
            <w:pPr>
              <w:widowControl/>
              <w:jc w:val="center"/>
              <w:rPr>
                <w:color w:val="000000"/>
                <w:kern w:val="0"/>
                <w:szCs w:val="21"/>
              </w:rPr>
            </w:pPr>
            <w:r>
              <w:rPr>
                <w:rFonts w:hint="eastAsia"/>
                <w:color w:val="000000"/>
                <w:szCs w:val="21"/>
                <w:lang w:val="en-US" w:eastAsia="zh-CN"/>
              </w:rPr>
              <w:t>1</w:t>
            </w:r>
          </w:p>
        </w:tc>
        <w:tc>
          <w:tcPr>
            <w:tcW w:w="1834" w:type="dxa"/>
            <w:noWrap w:val="0"/>
            <w:tcMar>
              <w:left w:w="51" w:type="dxa"/>
              <w:right w:w="51" w:type="dxa"/>
            </w:tcMar>
            <w:vAlign w:val="center"/>
          </w:tcPr>
          <w:p w14:paraId="0CED391B">
            <w:pPr>
              <w:widowControl/>
              <w:jc w:val="left"/>
              <w:rPr>
                <w:color w:val="000000"/>
                <w:kern w:val="0"/>
                <w:szCs w:val="21"/>
              </w:rPr>
            </w:pPr>
            <w:r>
              <w:rPr>
                <w:rFonts w:hAnsi="宋体"/>
                <w:color w:val="000000"/>
                <w:kern w:val="0"/>
                <w:szCs w:val="21"/>
              </w:rPr>
              <w:t>沼气发电项目核准</w:t>
            </w:r>
          </w:p>
        </w:tc>
        <w:tc>
          <w:tcPr>
            <w:tcW w:w="706" w:type="dxa"/>
            <w:noWrap w:val="0"/>
            <w:tcMar>
              <w:left w:w="51" w:type="dxa"/>
              <w:right w:w="51" w:type="dxa"/>
            </w:tcMar>
            <w:vAlign w:val="center"/>
          </w:tcPr>
          <w:p w14:paraId="06E2DB09">
            <w:pPr>
              <w:widowControl/>
              <w:jc w:val="center"/>
              <w:rPr>
                <w:color w:val="000000"/>
                <w:kern w:val="0"/>
                <w:szCs w:val="21"/>
              </w:rPr>
            </w:pPr>
            <w:r>
              <w:rPr>
                <w:rFonts w:hAnsi="宋体"/>
                <w:color w:val="000000"/>
                <w:kern w:val="0"/>
                <w:szCs w:val="21"/>
              </w:rPr>
              <w:t>行政许可</w:t>
            </w:r>
          </w:p>
        </w:tc>
        <w:tc>
          <w:tcPr>
            <w:tcW w:w="1174" w:type="dxa"/>
            <w:noWrap w:val="0"/>
            <w:tcMar>
              <w:left w:w="51" w:type="dxa"/>
              <w:right w:w="51" w:type="dxa"/>
            </w:tcMar>
            <w:vAlign w:val="center"/>
          </w:tcPr>
          <w:p w14:paraId="413EB163">
            <w:pPr>
              <w:widowControl/>
              <w:jc w:val="center"/>
              <w:rPr>
                <w:rFonts w:hint="default" w:eastAsia="宋体"/>
                <w:color w:val="000000"/>
                <w:kern w:val="0"/>
                <w:szCs w:val="21"/>
                <w:highlight w:val="none"/>
                <w:lang w:val="en-US" w:eastAsia="zh-CN"/>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DEF875E">
            <w:pPr>
              <w:widowControl/>
              <w:jc w:val="center"/>
              <w:rPr>
                <w:rFonts w:hint="eastAsia" w:eastAsia="宋体"/>
                <w:color w:val="000000"/>
                <w:kern w:val="0"/>
                <w:szCs w:val="21"/>
                <w:highlight w:val="none"/>
                <w:lang w:eastAsia="zh-CN"/>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90A9D36">
            <w:pPr>
              <w:widowControl/>
              <w:jc w:val="left"/>
              <w:rPr>
                <w:b/>
                <w:bCs/>
                <w:color w:val="000000"/>
                <w:kern w:val="0"/>
                <w:szCs w:val="21"/>
              </w:rPr>
            </w:pPr>
            <w:r>
              <w:rPr>
                <w:b/>
                <w:bCs/>
                <w:color w:val="000000"/>
                <w:kern w:val="0"/>
                <w:szCs w:val="21"/>
              </w:rPr>
              <w:t>1.</w:t>
            </w:r>
            <w:r>
              <w:rPr>
                <w:rFonts w:hAnsi="宋体"/>
                <w:b/>
                <w:bCs/>
                <w:color w:val="000000"/>
                <w:kern w:val="0"/>
                <w:szCs w:val="21"/>
              </w:rPr>
              <w:t>《企业投资项目核准和备案管理条例》（中华人民共和国国务院令〔</w:t>
            </w:r>
            <w:r>
              <w:rPr>
                <w:b/>
                <w:bCs/>
                <w:color w:val="000000"/>
                <w:kern w:val="0"/>
                <w:szCs w:val="21"/>
              </w:rPr>
              <w:t>2016</w:t>
            </w:r>
            <w:r>
              <w:rPr>
                <w:rFonts w:hAnsi="宋体"/>
                <w:b/>
                <w:bCs/>
                <w:color w:val="000000"/>
                <w:kern w:val="0"/>
                <w:szCs w:val="21"/>
              </w:rPr>
              <w:t>〕第</w:t>
            </w:r>
            <w:r>
              <w:rPr>
                <w:b/>
                <w:bCs/>
                <w:color w:val="000000"/>
                <w:kern w:val="0"/>
                <w:szCs w:val="21"/>
              </w:rPr>
              <w:t>673</w:t>
            </w:r>
            <w:r>
              <w:rPr>
                <w:rFonts w:hAnsi="宋体"/>
                <w:b/>
                <w:bCs/>
                <w:color w:val="000000"/>
                <w:kern w:val="0"/>
                <w:szCs w:val="21"/>
              </w:rPr>
              <w:t>号）第三条</w:t>
            </w:r>
            <w:r>
              <w:rPr>
                <w:b/>
                <w:bCs/>
                <w:color w:val="000000"/>
                <w:kern w:val="0"/>
                <w:szCs w:val="21"/>
              </w:rPr>
              <w:t xml:space="preserve">  </w:t>
            </w:r>
            <w:r>
              <w:rPr>
                <w:rFonts w:hAnsi="宋体"/>
                <w:color w:val="000000"/>
                <w:kern w:val="0"/>
                <w:szCs w:val="21"/>
              </w:rPr>
              <w:t>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r>
              <w:rPr>
                <w:color w:val="000000"/>
                <w:kern w:val="0"/>
                <w:szCs w:val="21"/>
              </w:rPr>
              <w:br w:type="textWrapping"/>
            </w:r>
            <w:r>
              <w:rPr>
                <w:b/>
                <w:bCs/>
                <w:color w:val="000000"/>
                <w:kern w:val="0"/>
                <w:szCs w:val="21"/>
              </w:rPr>
              <w:t>2.</w:t>
            </w:r>
            <w:r>
              <w:rPr>
                <w:rFonts w:hAnsi="宋体"/>
                <w:b/>
                <w:bCs/>
                <w:color w:val="000000"/>
                <w:kern w:val="0"/>
                <w:szCs w:val="21"/>
              </w:rPr>
              <w:t>《国务院关于发布政府核准的投资项目目录（</w:t>
            </w:r>
            <w:r>
              <w:rPr>
                <w:b/>
                <w:bCs/>
                <w:color w:val="000000"/>
                <w:kern w:val="0"/>
                <w:szCs w:val="21"/>
              </w:rPr>
              <w:t>2016</w:t>
            </w:r>
            <w:r>
              <w:rPr>
                <w:rFonts w:hAnsi="宋体"/>
                <w:b/>
                <w:bCs/>
                <w:color w:val="000000"/>
                <w:kern w:val="0"/>
                <w:szCs w:val="21"/>
              </w:rPr>
              <w:t>年本）的通知》（国发〔</w:t>
            </w:r>
            <w:r>
              <w:rPr>
                <w:b/>
                <w:bCs/>
                <w:color w:val="000000"/>
                <w:kern w:val="0"/>
                <w:szCs w:val="21"/>
              </w:rPr>
              <w:t>2016</w:t>
            </w:r>
            <w:r>
              <w:rPr>
                <w:rFonts w:hAnsi="宋体"/>
                <w:b/>
                <w:bCs/>
                <w:color w:val="000000"/>
                <w:kern w:val="0"/>
                <w:szCs w:val="21"/>
              </w:rPr>
              <w:t>〕第</w:t>
            </w:r>
            <w:r>
              <w:rPr>
                <w:b/>
                <w:bCs/>
                <w:color w:val="000000"/>
                <w:kern w:val="0"/>
                <w:szCs w:val="21"/>
              </w:rPr>
              <w:t>72</w:t>
            </w:r>
            <w:r>
              <w:rPr>
                <w:rFonts w:hAnsi="宋体"/>
                <w:b/>
                <w:bCs/>
                <w:color w:val="000000"/>
                <w:kern w:val="0"/>
                <w:szCs w:val="21"/>
              </w:rPr>
              <w:t>号）目录</w:t>
            </w:r>
            <w:r>
              <w:rPr>
                <w:b/>
                <w:bCs/>
                <w:color w:val="000000"/>
                <w:kern w:val="0"/>
                <w:szCs w:val="21"/>
              </w:rPr>
              <w:t xml:space="preserve"> </w:t>
            </w:r>
            <w:r>
              <w:rPr>
                <w:rFonts w:hAnsi="宋体"/>
                <w:b/>
                <w:bCs/>
                <w:color w:val="000000"/>
                <w:kern w:val="0"/>
                <w:szCs w:val="21"/>
              </w:rPr>
              <w:t>第二条第四款</w:t>
            </w:r>
            <w:r>
              <w:rPr>
                <w:b/>
                <w:bCs/>
                <w:color w:val="000000"/>
                <w:kern w:val="0"/>
                <w:szCs w:val="21"/>
              </w:rPr>
              <w:t xml:space="preserve">  </w:t>
            </w:r>
            <w:r>
              <w:rPr>
                <w:rFonts w:hAnsi="宋体"/>
                <w:color w:val="000000"/>
                <w:kern w:val="0"/>
                <w:szCs w:val="21"/>
              </w:rPr>
              <w:t>热电站（含自备电站）：由地方政府核准，其中抽凝式燃煤热电项目由省级政府在国家依据总量控制制定的建设规划内核准。</w:t>
            </w:r>
            <w:r>
              <w:rPr>
                <w:b/>
                <w:bCs/>
                <w:color w:val="000000"/>
                <w:kern w:val="0"/>
                <w:szCs w:val="21"/>
              </w:rPr>
              <w:br w:type="textWrapping"/>
            </w:r>
            <w:r>
              <w:rPr>
                <w:b/>
                <w:bCs/>
                <w:color w:val="000000"/>
                <w:kern w:val="0"/>
                <w:szCs w:val="21"/>
              </w:rPr>
              <w:t>3.</w:t>
            </w:r>
            <w:r>
              <w:rPr>
                <w:rFonts w:hAnsi="宋体"/>
                <w:b/>
                <w:bCs/>
                <w:color w:val="000000"/>
                <w:kern w:val="0"/>
                <w:szCs w:val="21"/>
              </w:rPr>
              <w:t>《湖南省人民政府关于发布〈湖南省政府核准的投资项目目录（</w:t>
            </w:r>
            <w:r>
              <w:rPr>
                <w:b/>
                <w:bCs/>
                <w:color w:val="000000"/>
                <w:kern w:val="0"/>
                <w:szCs w:val="21"/>
              </w:rPr>
              <w:t>2017</w:t>
            </w:r>
            <w:r>
              <w:rPr>
                <w:rFonts w:hAnsi="宋体"/>
                <w:b/>
                <w:bCs/>
                <w:color w:val="000000"/>
                <w:kern w:val="0"/>
                <w:szCs w:val="21"/>
              </w:rPr>
              <w:t>年本）〉的通知》（湘政发〔</w:t>
            </w:r>
            <w:r>
              <w:rPr>
                <w:b/>
                <w:bCs/>
                <w:color w:val="000000"/>
                <w:kern w:val="0"/>
                <w:szCs w:val="21"/>
              </w:rPr>
              <w:t>2017</w:t>
            </w:r>
            <w:r>
              <w:rPr>
                <w:rFonts w:hAnsi="宋体"/>
                <w:b/>
                <w:bCs/>
                <w:color w:val="000000"/>
                <w:kern w:val="0"/>
                <w:szCs w:val="21"/>
              </w:rPr>
              <w:t>〕第</w:t>
            </w:r>
            <w:r>
              <w:rPr>
                <w:b/>
                <w:bCs/>
                <w:color w:val="000000"/>
                <w:kern w:val="0"/>
                <w:szCs w:val="21"/>
              </w:rPr>
              <w:t>21</w:t>
            </w:r>
            <w:r>
              <w:rPr>
                <w:rFonts w:hAnsi="宋体"/>
                <w:b/>
                <w:bCs/>
                <w:color w:val="000000"/>
                <w:kern w:val="0"/>
                <w:szCs w:val="21"/>
              </w:rPr>
              <w:t>号）目录</w:t>
            </w:r>
            <w:r>
              <w:rPr>
                <w:b/>
                <w:bCs/>
                <w:color w:val="000000"/>
                <w:kern w:val="0"/>
                <w:szCs w:val="21"/>
              </w:rPr>
              <w:t xml:space="preserve"> </w:t>
            </w:r>
            <w:r>
              <w:rPr>
                <w:rFonts w:hAnsi="宋体"/>
                <w:b/>
                <w:bCs/>
                <w:color w:val="000000"/>
                <w:kern w:val="0"/>
                <w:szCs w:val="21"/>
              </w:rPr>
              <w:t>第二条第四款</w:t>
            </w:r>
            <w:r>
              <w:rPr>
                <w:b/>
                <w:bCs/>
                <w:color w:val="000000"/>
                <w:kern w:val="0"/>
                <w:szCs w:val="21"/>
              </w:rPr>
              <w:t xml:space="preserve"> </w:t>
            </w:r>
            <w:r>
              <w:rPr>
                <w:color w:val="000000"/>
                <w:kern w:val="0"/>
                <w:szCs w:val="21"/>
              </w:rPr>
              <w:t xml:space="preserve"> </w:t>
            </w:r>
            <w:r>
              <w:rPr>
                <w:rFonts w:hAnsi="宋体"/>
                <w:color w:val="000000"/>
                <w:kern w:val="0"/>
                <w:szCs w:val="21"/>
              </w:rPr>
              <w:t>热电站（含自备电站）：抽凝式燃煤热电项目由省政府在国家依据总量控制制定的建设规划内核准；燃煤背压热电、垃圾焚烧发电、生物质发电、</w:t>
            </w:r>
            <w:r>
              <w:rPr>
                <w:color w:val="000000"/>
                <w:kern w:val="0"/>
                <w:szCs w:val="21"/>
              </w:rPr>
              <w:t>6MW</w:t>
            </w:r>
            <w:r>
              <w:rPr>
                <w:rFonts w:hAnsi="宋体"/>
                <w:color w:val="000000"/>
                <w:kern w:val="0"/>
                <w:szCs w:val="21"/>
              </w:rPr>
              <w:t>以上余热余压发电、</w:t>
            </w:r>
            <w:r>
              <w:rPr>
                <w:color w:val="000000"/>
                <w:kern w:val="0"/>
                <w:szCs w:val="21"/>
              </w:rPr>
              <w:t>6MW</w:t>
            </w:r>
            <w:r>
              <w:rPr>
                <w:rFonts w:hAnsi="宋体"/>
                <w:color w:val="000000"/>
                <w:kern w:val="0"/>
                <w:szCs w:val="21"/>
              </w:rPr>
              <w:t>以上分布式燃气发电项目由省政府投资主管部门核准；沼气发电项目由市州或县市区政府核准，报省政府投资主管部门备案。</w:t>
            </w:r>
          </w:p>
          <w:p w14:paraId="0AEED1D7">
            <w:pPr>
              <w:widowControl/>
              <w:jc w:val="left"/>
              <w:rPr>
                <w:color w:val="000000"/>
                <w:kern w:val="0"/>
                <w:szCs w:val="21"/>
              </w:rPr>
            </w:pPr>
            <w:r>
              <w:rPr>
                <w:b/>
                <w:bCs/>
                <w:color w:val="000000"/>
                <w:kern w:val="0"/>
                <w:szCs w:val="21"/>
              </w:rPr>
              <w:t>4.</w:t>
            </w:r>
            <w:r>
              <w:rPr>
                <w:rFonts w:hAnsi="宋体"/>
                <w:b/>
                <w:bCs/>
                <w:color w:val="000000"/>
                <w:kern w:val="0"/>
                <w:szCs w:val="21"/>
              </w:rPr>
              <w:t>《湖南省企业投资项目核准和备案管理办法》</w:t>
            </w:r>
            <w:r>
              <w:rPr>
                <w:b/>
                <w:bCs/>
                <w:color w:val="000000"/>
                <w:kern w:val="0"/>
                <w:szCs w:val="21"/>
              </w:rPr>
              <w:t>(</w:t>
            </w:r>
            <w:r>
              <w:rPr>
                <w:rFonts w:hAnsi="宋体"/>
                <w:b/>
                <w:bCs/>
                <w:color w:val="000000"/>
                <w:kern w:val="0"/>
                <w:szCs w:val="21"/>
              </w:rPr>
              <w:t>湘政办发〔</w:t>
            </w:r>
            <w:r>
              <w:rPr>
                <w:b/>
                <w:bCs/>
                <w:color w:val="000000"/>
                <w:kern w:val="0"/>
                <w:szCs w:val="21"/>
              </w:rPr>
              <w:t>2017</w:t>
            </w:r>
            <w:r>
              <w:rPr>
                <w:rFonts w:hAnsi="宋体"/>
                <w:b/>
                <w:bCs/>
                <w:color w:val="000000"/>
                <w:kern w:val="0"/>
                <w:szCs w:val="21"/>
              </w:rPr>
              <w:t>〕第</w:t>
            </w:r>
            <w:r>
              <w:rPr>
                <w:b/>
                <w:bCs/>
                <w:color w:val="000000"/>
                <w:kern w:val="0"/>
                <w:szCs w:val="21"/>
              </w:rPr>
              <w:t>42</w:t>
            </w:r>
            <w:r>
              <w:rPr>
                <w:rFonts w:hAnsi="宋体"/>
                <w:b/>
                <w:bCs/>
                <w:color w:val="000000"/>
                <w:kern w:val="0"/>
                <w:szCs w:val="21"/>
              </w:rPr>
              <w:t>号</w:t>
            </w:r>
            <w:r>
              <w:rPr>
                <w:b/>
                <w:bCs/>
                <w:color w:val="000000"/>
                <w:kern w:val="0"/>
                <w:szCs w:val="21"/>
              </w:rPr>
              <w:t>)</w:t>
            </w:r>
            <w:r>
              <w:rPr>
                <w:rFonts w:hAnsi="宋体"/>
                <w:b/>
                <w:bCs/>
                <w:color w:val="000000"/>
                <w:kern w:val="0"/>
                <w:szCs w:val="21"/>
              </w:rPr>
              <w:t>第四条</w:t>
            </w:r>
            <w:r>
              <w:rPr>
                <w:b/>
                <w:bCs/>
                <w:color w:val="000000"/>
                <w:kern w:val="0"/>
                <w:szCs w:val="21"/>
              </w:rPr>
              <w:t xml:space="preserve">  </w:t>
            </w:r>
            <w:r>
              <w:rPr>
                <w:rFonts w:hAnsi="宋体"/>
                <w:color w:val="000000"/>
                <w:kern w:val="0"/>
                <w:szCs w:val="21"/>
              </w:rPr>
              <w:t>实行核准管理的具体项目范围以及核准权限，按《湖南省政府核准的投资项目目录》（以下简称《核准目录》）执行。法律、行政法规和国务院、省人民政府对项目核准的范围、权限有专门规定的，从其规定。</w:t>
            </w:r>
            <w:r>
              <w:rPr>
                <w:color w:val="000000"/>
                <w:kern w:val="0"/>
                <w:szCs w:val="21"/>
              </w:rPr>
              <w:t xml:space="preserve"> </w:t>
            </w:r>
            <w:r>
              <w:rPr>
                <w:rFonts w:hAnsi="宋体"/>
                <w:color w:val="000000"/>
                <w:kern w:val="0"/>
                <w:szCs w:val="21"/>
              </w:rPr>
              <w:t>《核准目录》由省发改委会同有关部门研究提出，报请省人民政府颁布实施，并根据情况适时调整。</w:t>
            </w:r>
            <w:r>
              <w:rPr>
                <w:color w:val="000000"/>
                <w:kern w:val="0"/>
                <w:szCs w:val="21"/>
              </w:rPr>
              <w:t xml:space="preserve"> </w:t>
            </w:r>
            <w:r>
              <w:rPr>
                <w:rFonts w:hAnsi="宋体"/>
                <w:color w:val="000000"/>
                <w:kern w:val="0"/>
                <w:szCs w:val="21"/>
              </w:rPr>
              <w:t>未经省人民政府批准，各部门、各地区不得擅自调整《核准目录》确定的核准范围和权限。</w:t>
            </w:r>
            <w:r>
              <w:rPr>
                <w:rFonts w:hAnsi="宋体"/>
                <w:b/>
                <w:bCs/>
                <w:color w:val="000000"/>
                <w:kern w:val="0"/>
                <w:szCs w:val="21"/>
              </w:rPr>
              <w:t>第五条</w:t>
            </w:r>
            <w:r>
              <w:rPr>
                <w:b/>
                <w:bCs/>
                <w:color w:val="000000"/>
                <w:kern w:val="0"/>
                <w:szCs w:val="21"/>
              </w:rPr>
              <w:t xml:space="preserve">  </w:t>
            </w:r>
            <w:r>
              <w:rPr>
                <w:rFonts w:hAnsi="宋体"/>
                <w:color w:val="000000"/>
                <w:kern w:val="0"/>
                <w:szCs w:val="21"/>
              </w:rPr>
              <w:t>按国家和省有关规定具有项目核准权限的行政机关为项目核准机关。省发改委负责《核准目录》中规定由省人民政府投资主管部门核准项目的核准。《核准目录》规定由市州、县市区人民政府核准的项目，其项目核准机关由市州人民政府确定。</w:t>
            </w:r>
            <w:r>
              <w:rPr>
                <w:color w:val="000000"/>
                <w:kern w:val="0"/>
                <w:szCs w:val="21"/>
              </w:rPr>
              <w:t xml:space="preserve"> </w:t>
            </w:r>
            <w:r>
              <w:rPr>
                <w:rFonts w:hAnsi="宋体"/>
                <w:color w:val="000000"/>
                <w:kern w:val="0"/>
                <w:szCs w:val="21"/>
              </w:rPr>
              <w:t>项目核准机关实施企业投资项目核准所需经费由本级财政予以保障。</w:t>
            </w:r>
          </w:p>
        </w:tc>
        <w:tc>
          <w:tcPr>
            <w:tcW w:w="411" w:type="dxa"/>
            <w:noWrap/>
            <w:tcMar>
              <w:left w:w="51" w:type="dxa"/>
              <w:right w:w="51" w:type="dxa"/>
            </w:tcMar>
            <w:vAlign w:val="center"/>
          </w:tcPr>
          <w:p w14:paraId="68665766">
            <w:pPr>
              <w:widowControl/>
              <w:jc w:val="left"/>
              <w:rPr>
                <w:color w:val="000000"/>
                <w:kern w:val="0"/>
                <w:szCs w:val="21"/>
              </w:rPr>
            </w:pPr>
            <w:r>
              <w:rPr>
                <w:rFonts w:hAnsi="宋体"/>
                <w:color w:val="000000"/>
                <w:kern w:val="0"/>
                <w:szCs w:val="21"/>
              </w:rPr>
              <w:t>　</w:t>
            </w:r>
          </w:p>
        </w:tc>
      </w:tr>
      <w:tr w14:paraId="7102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417" w:type="dxa"/>
            <w:noWrap w:val="0"/>
            <w:tcMar>
              <w:left w:w="51" w:type="dxa"/>
              <w:right w:w="51" w:type="dxa"/>
            </w:tcMar>
            <w:vAlign w:val="center"/>
          </w:tcPr>
          <w:p w14:paraId="6A290A3E">
            <w:pPr>
              <w:widowControl/>
              <w:jc w:val="center"/>
              <w:rPr>
                <w:rFonts w:hint="eastAsia" w:eastAsia="宋体"/>
                <w:color w:val="000000"/>
                <w:szCs w:val="21"/>
                <w:lang w:eastAsia="zh-CN"/>
              </w:rPr>
            </w:pPr>
            <w:r>
              <w:rPr>
                <w:rFonts w:hint="eastAsia"/>
                <w:color w:val="000000"/>
                <w:szCs w:val="21"/>
                <w:lang w:val="en-US" w:eastAsia="zh-CN"/>
              </w:rPr>
              <w:t>2</w:t>
            </w:r>
          </w:p>
        </w:tc>
        <w:tc>
          <w:tcPr>
            <w:tcW w:w="1834" w:type="dxa"/>
            <w:noWrap w:val="0"/>
            <w:tcMar>
              <w:left w:w="51" w:type="dxa"/>
              <w:right w:w="51" w:type="dxa"/>
            </w:tcMar>
            <w:vAlign w:val="center"/>
          </w:tcPr>
          <w:p w14:paraId="0ED3E3A2">
            <w:pPr>
              <w:widowControl/>
              <w:jc w:val="left"/>
              <w:textAlignment w:val="center"/>
              <w:rPr>
                <w:color w:val="000000"/>
                <w:kern w:val="0"/>
                <w:szCs w:val="21"/>
                <w:lang w:bidi="ar"/>
              </w:rPr>
            </w:pPr>
            <w:r>
              <w:rPr>
                <w:rFonts w:hAnsi="宋体"/>
                <w:color w:val="000000"/>
                <w:kern w:val="0"/>
                <w:szCs w:val="21"/>
                <w:lang w:bidi="ar"/>
              </w:rPr>
              <w:t>权限内单独修建人防工程的初步设计审查（两万平米以下单建人防工程）</w:t>
            </w:r>
          </w:p>
        </w:tc>
        <w:tc>
          <w:tcPr>
            <w:tcW w:w="706" w:type="dxa"/>
            <w:noWrap w:val="0"/>
            <w:tcMar>
              <w:left w:w="51" w:type="dxa"/>
              <w:right w:w="51" w:type="dxa"/>
            </w:tcMar>
            <w:vAlign w:val="center"/>
          </w:tcPr>
          <w:p w14:paraId="70FC4214">
            <w:pPr>
              <w:widowControl/>
              <w:jc w:val="center"/>
              <w:textAlignment w:val="center"/>
              <w:rPr>
                <w:color w:val="000000"/>
                <w:kern w:val="0"/>
                <w:szCs w:val="21"/>
                <w:lang w:bidi="ar"/>
              </w:rPr>
            </w:pPr>
            <w:r>
              <w:rPr>
                <w:rFonts w:hAnsi="宋体"/>
                <w:color w:val="000000"/>
                <w:kern w:val="0"/>
                <w:szCs w:val="21"/>
                <w:lang w:bidi="ar"/>
              </w:rPr>
              <w:t>行政许可</w:t>
            </w:r>
          </w:p>
        </w:tc>
        <w:tc>
          <w:tcPr>
            <w:tcW w:w="1174" w:type="dxa"/>
            <w:noWrap w:val="0"/>
            <w:tcMar>
              <w:left w:w="51" w:type="dxa"/>
              <w:right w:w="51" w:type="dxa"/>
            </w:tcMar>
            <w:vAlign w:val="center"/>
          </w:tcPr>
          <w:p w14:paraId="5D24DEF6">
            <w:pPr>
              <w:widowControl/>
              <w:jc w:val="center"/>
              <w:textAlignment w:val="center"/>
              <w:rPr>
                <w:color w:val="000000"/>
                <w:kern w:val="0"/>
                <w:szCs w:val="21"/>
                <w:highlight w:val="none"/>
                <w:lang w:bidi="ar"/>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C99B828">
            <w:pPr>
              <w:widowControl/>
              <w:jc w:val="center"/>
              <w:rPr>
                <w:color w:val="000000"/>
                <w:kern w:val="0"/>
                <w:szCs w:val="21"/>
                <w:highlight w:val="none"/>
                <w:lang w:bidi="ar"/>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40831A0C">
            <w:pPr>
              <w:widowControl/>
              <w:jc w:val="left"/>
              <w:textAlignment w:val="center"/>
              <w:rPr>
                <w:color w:val="000000"/>
                <w:kern w:val="0"/>
                <w:szCs w:val="21"/>
                <w:lang w:bidi="ar"/>
              </w:rPr>
            </w:pPr>
            <w:r>
              <w:rPr>
                <w:b/>
                <w:bCs/>
                <w:color w:val="000000"/>
                <w:kern w:val="0"/>
                <w:szCs w:val="21"/>
                <w:lang w:bidi="ar"/>
              </w:rPr>
              <w:t>1.</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办法》第十三条</w:t>
            </w:r>
            <w:r>
              <w:rPr>
                <w:b/>
                <w:bCs/>
                <w:color w:val="000000"/>
                <w:kern w:val="0"/>
                <w:szCs w:val="21"/>
                <w:lang w:bidi="ar"/>
              </w:rPr>
              <w:t xml:space="preserve"> </w:t>
            </w:r>
            <w:r>
              <w:rPr>
                <w:rFonts w:hAnsi="宋体"/>
                <w:color w:val="000000"/>
                <w:kern w:val="0"/>
                <w:szCs w:val="21"/>
                <w:lang w:bidi="ar"/>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《湖南省人民防空工程建设与维护管理规定》第十四条</w:t>
            </w:r>
            <w:r>
              <w:rPr>
                <w:b/>
                <w:bCs/>
                <w:color w:val="000000"/>
                <w:kern w:val="0"/>
                <w:szCs w:val="21"/>
                <w:lang w:bidi="ar"/>
              </w:rPr>
              <w:t xml:space="preserve"> </w:t>
            </w:r>
            <w:r>
              <w:rPr>
                <w:rFonts w:hAnsi="宋体"/>
                <w:color w:val="000000"/>
                <w:kern w:val="0"/>
                <w:szCs w:val="21"/>
                <w:lang w:bidi="ar"/>
              </w:rPr>
              <w:t>单建人防工程建设项目依照国家和省有关规定，由发展改革主管部门办理立项手续，在人防主管部门办理项目初步设计审查、质量与安全监督手续、开工报告手续和竣工验收备案。</w:t>
            </w:r>
          </w:p>
        </w:tc>
        <w:tc>
          <w:tcPr>
            <w:tcW w:w="411" w:type="dxa"/>
            <w:noWrap/>
            <w:tcMar>
              <w:left w:w="51" w:type="dxa"/>
              <w:right w:w="51" w:type="dxa"/>
            </w:tcMar>
            <w:vAlign w:val="center"/>
          </w:tcPr>
          <w:p w14:paraId="29B4B8E1">
            <w:pPr>
              <w:widowControl/>
              <w:jc w:val="left"/>
              <w:rPr>
                <w:color w:val="000000"/>
                <w:kern w:val="0"/>
                <w:szCs w:val="21"/>
              </w:rPr>
            </w:pPr>
          </w:p>
        </w:tc>
      </w:tr>
      <w:tr w14:paraId="689B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417" w:type="dxa"/>
            <w:noWrap w:val="0"/>
            <w:tcMar>
              <w:left w:w="51" w:type="dxa"/>
              <w:right w:w="51" w:type="dxa"/>
            </w:tcMar>
            <w:vAlign w:val="center"/>
          </w:tcPr>
          <w:p w14:paraId="4DDA3649">
            <w:pPr>
              <w:widowControl/>
              <w:jc w:val="center"/>
              <w:rPr>
                <w:rFonts w:hint="eastAsia" w:eastAsia="宋体"/>
                <w:color w:val="000000"/>
                <w:szCs w:val="21"/>
                <w:lang w:eastAsia="zh-CN"/>
              </w:rPr>
            </w:pPr>
            <w:r>
              <w:rPr>
                <w:rFonts w:hint="eastAsia"/>
                <w:color w:val="000000"/>
                <w:szCs w:val="21"/>
                <w:lang w:val="en-US" w:eastAsia="zh-CN"/>
              </w:rPr>
              <w:t>3</w:t>
            </w:r>
          </w:p>
        </w:tc>
        <w:tc>
          <w:tcPr>
            <w:tcW w:w="1834" w:type="dxa"/>
            <w:noWrap w:val="0"/>
            <w:tcMar>
              <w:left w:w="51" w:type="dxa"/>
              <w:right w:w="51" w:type="dxa"/>
            </w:tcMar>
            <w:vAlign w:val="center"/>
          </w:tcPr>
          <w:p w14:paraId="385A61F7">
            <w:pPr>
              <w:widowControl/>
              <w:jc w:val="left"/>
              <w:textAlignment w:val="center"/>
              <w:rPr>
                <w:color w:val="000000"/>
                <w:kern w:val="0"/>
                <w:szCs w:val="21"/>
              </w:rPr>
            </w:pPr>
            <w:r>
              <w:rPr>
                <w:rFonts w:hAnsi="宋体"/>
                <w:color w:val="000000"/>
                <w:kern w:val="0"/>
                <w:szCs w:val="21"/>
                <w:lang w:bidi="ar"/>
              </w:rPr>
              <w:t>权限内单独修建人防工程的报建审批（两万平米以下单建人防工程）</w:t>
            </w:r>
          </w:p>
        </w:tc>
        <w:tc>
          <w:tcPr>
            <w:tcW w:w="706" w:type="dxa"/>
            <w:noWrap w:val="0"/>
            <w:tcMar>
              <w:left w:w="51" w:type="dxa"/>
              <w:right w:w="51" w:type="dxa"/>
            </w:tcMar>
            <w:vAlign w:val="center"/>
          </w:tcPr>
          <w:p w14:paraId="1E20642A">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62423C56">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4732B84">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294B94C9">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办法》第十三条</w:t>
            </w:r>
            <w:r>
              <w:rPr>
                <w:color w:val="000000"/>
                <w:kern w:val="0"/>
                <w:szCs w:val="21"/>
                <w:lang w:bidi="ar"/>
              </w:rPr>
              <w:t xml:space="preserve"> </w:t>
            </w:r>
            <w:r>
              <w:rPr>
                <w:rFonts w:hAnsi="宋体"/>
                <w:color w:val="000000"/>
                <w:kern w:val="0"/>
                <w:szCs w:val="21"/>
                <w:lang w:bidi="ar"/>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《湖南省人民防空工程建设与维护管理规定》第十四条</w:t>
            </w:r>
            <w:r>
              <w:rPr>
                <w:color w:val="000000"/>
                <w:kern w:val="0"/>
                <w:szCs w:val="21"/>
                <w:lang w:bidi="ar"/>
              </w:rPr>
              <w:t xml:space="preserve"> </w:t>
            </w:r>
            <w:r>
              <w:rPr>
                <w:rFonts w:hAnsi="宋体"/>
                <w:color w:val="000000"/>
                <w:kern w:val="0"/>
                <w:szCs w:val="21"/>
                <w:lang w:bidi="ar"/>
              </w:rPr>
              <w:t>单建人防工程建设项目依照国家和省有关规定，由发展改革主管部门办理立项手续，在人防主管部门办理项目初步设计审查、质量与安全监督手续、开工报告手续和竣工验收备案。</w:t>
            </w:r>
          </w:p>
        </w:tc>
        <w:tc>
          <w:tcPr>
            <w:tcW w:w="411" w:type="dxa"/>
            <w:noWrap/>
            <w:tcMar>
              <w:left w:w="51" w:type="dxa"/>
              <w:right w:w="51" w:type="dxa"/>
            </w:tcMar>
            <w:vAlign w:val="center"/>
          </w:tcPr>
          <w:p w14:paraId="3FF2E9D0">
            <w:pPr>
              <w:widowControl/>
              <w:jc w:val="left"/>
              <w:rPr>
                <w:color w:val="000000"/>
                <w:kern w:val="0"/>
                <w:szCs w:val="21"/>
              </w:rPr>
            </w:pPr>
          </w:p>
        </w:tc>
      </w:tr>
      <w:tr w14:paraId="41C4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417" w:type="dxa"/>
            <w:noWrap w:val="0"/>
            <w:tcMar>
              <w:left w:w="51" w:type="dxa"/>
              <w:right w:w="51" w:type="dxa"/>
            </w:tcMar>
            <w:vAlign w:val="center"/>
          </w:tcPr>
          <w:p w14:paraId="09537F27">
            <w:pPr>
              <w:widowControl/>
              <w:jc w:val="center"/>
              <w:rPr>
                <w:rFonts w:hint="eastAsia" w:eastAsia="宋体"/>
                <w:color w:val="000000"/>
                <w:szCs w:val="21"/>
                <w:lang w:eastAsia="zh-CN"/>
              </w:rPr>
            </w:pPr>
            <w:r>
              <w:rPr>
                <w:rFonts w:hint="eastAsia"/>
                <w:color w:val="000000"/>
                <w:szCs w:val="21"/>
                <w:lang w:val="en-US" w:eastAsia="zh-CN"/>
              </w:rPr>
              <w:t>4</w:t>
            </w:r>
          </w:p>
        </w:tc>
        <w:tc>
          <w:tcPr>
            <w:tcW w:w="1834" w:type="dxa"/>
            <w:noWrap w:val="0"/>
            <w:tcMar>
              <w:left w:w="51" w:type="dxa"/>
              <w:right w:w="51" w:type="dxa"/>
            </w:tcMar>
            <w:vAlign w:val="center"/>
          </w:tcPr>
          <w:p w14:paraId="0E8E5C88">
            <w:pPr>
              <w:widowControl/>
              <w:jc w:val="left"/>
              <w:textAlignment w:val="center"/>
              <w:rPr>
                <w:color w:val="000000"/>
                <w:kern w:val="0"/>
                <w:szCs w:val="21"/>
              </w:rPr>
            </w:pPr>
            <w:r>
              <w:rPr>
                <w:rFonts w:hAnsi="宋体"/>
                <w:color w:val="000000"/>
                <w:kern w:val="0"/>
                <w:szCs w:val="21"/>
                <w:lang w:bidi="ar"/>
              </w:rPr>
              <w:t>权限内单独修建人防工程的施工图审查备案（两万平米以下单建人防工程）</w:t>
            </w:r>
          </w:p>
        </w:tc>
        <w:tc>
          <w:tcPr>
            <w:tcW w:w="706" w:type="dxa"/>
            <w:noWrap w:val="0"/>
            <w:tcMar>
              <w:left w:w="51" w:type="dxa"/>
              <w:right w:w="51" w:type="dxa"/>
            </w:tcMar>
            <w:vAlign w:val="center"/>
          </w:tcPr>
          <w:p w14:paraId="451EDA74">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7CADAFA5">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1FF1DDD">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3386786">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办法》第十三条</w:t>
            </w:r>
            <w:r>
              <w:rPr>
                <w:color w:val="000000"/>
                <w:kern w:val="0"/>
                <w:szCs w:val="21"/>
                <w:lang w:bidi="ar"/>
              </w:rPr>
              <w:t xml:space="preserve"> </w:t>
            </w:r>
            <w:r>
              <w:rPr>
                <w:rFonts w:hAnsi="宋体"/>
                <w:color w:val="000000"/>
                <w:kern w:val="0"/>
                <w:szCs w:val="21"/>
                <w:lang w:bidi="ar"/>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《湖南省人民防空工程建设与维护管理规定》第十四条</w:t>
            </w:r>
            <w:r>
              <w:rPr>
                <w:color w:val="000000"/>
                <w:kern w:val="0"/>
                <w:szCs w:val="21"/>
                <w:lang w:bidi="ar"/>
              </w:rPr>
              <w:t xml:space="preserve"> </w:t>
            </w:r>
            <w:r>
              <w:rPr>
                <w:rFonts w:hAnsi="宋体"/>
                <w:color w:val="000000"/>
                <w:kern w:val="0"/>
                <w:szCs w:val="21"/>
                <w:lang w:bidi="ar"/>
              </w:rPr>
              <w:t>单建人防工程建设项目依照国家和省有关规定，由发展改革主管部门办理立项手续，在人防主管部门办理项目初步设计审查、质量与安全监督手续、开工报告手续和竣工验收备案。</w:t>
            </w:r>
          </w:p>
        </w:tc>
        <w:tc>
          <w:tcPr>
            <w:tcW w:w="411" w:type="dxa"/>
            <w:noWrap/>
            <w:tcMar>
              <w:left w:w="51" w:type="dxa"/>
              <w:right w:w="51" w:type="dxa"/>
            </w:tcMar>
            <w:vAlign w:val="center"/>
          </w:tcPr>
          <w:p w14:paraId="6DB9E5DD">
            <w:pPr>
              <w:widowControl/>
              <w:jc w:val="left"/>
              <w:rPr>
                <w:color w:val="000000"/>
                <w:kern w:val="0"/>
                <w:szCs w:val="21"/>
              </w:rPr>
            </w:pPr>
          </w:p>
        </w:tc>
      </w:tr>
      <w:tr w14:paraId="55EA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417" w:type="dxa"/>
            <w:noWrap w:val="0"/>
            <w:tcMar>
              <w:left w:w="51" w:type="dxa"/>
              <w:right w:w="51" w:type="dxa"/>
            </w:tcMar>
            <w:vAlign w:val="center"/>
          </w:tcPr>
          <w:p w14:paraId="0A599B3C">
            <w:pPr>
              <w:widowControl/>
              <w:jc w:val="center"/>
              <w:rPr>
                <w:rFonts w:hint="eastAsia"/>
                <w:color w:val="000000"/>
                <w:szCs w:val="21"/>
                <w:lang w:val="en-US" w:eastAsia="zh-CN"/>
              </w:rPr>
            </w:pPr>
            <w:r>
              <w:rPr>
                <w:rFonts w:hint="eastAsia"/>
                <w:color w:val="000000"/>
                <w:szCs w:val="21"/>
                <w:lang w:val="en-US" w:eastAsia="zh-CN"/>
              </w:rPr>
              <w:t>5</w:t>
            </w:r>
          </w:p>
        </w:tc>
        <w:tc>
          <w:tcPr>
            <w:tcW w:w="1834" w:type="dxa"/>
            <w:noWrap w:val="0"/>
            <w:tcMar>
              <w:left w:w="51" w:type="dxa"/>
              <w:right w:w="51" w:type="dxa"/>
            </w:tcMar>
            <w:vAlign w:val="center"/>
          </w:tcPr>
          <w:p w14:paraId="27E30FA2">
            <w:pPr>
              <w:widowControl/>
              <w:jc w:val="left"/>
              <w:textAlignment w:val="center"/>
              <w:rPr>
                <w:color w:val="000000"/>
                <w:kern w:val="0"/>
                <w:szCs w:val="21"/>
              </w:rPr>
            </w:pPr>
            <w:r>
              <w:rPr>
                <w:rFonts w:hAnsi="宋体"/>
                <w:color w:val="000000"/>
                <w:kern w:val="0"/>
                <w:szCs w:val="21"/>
                <w:lang w:bidi="ar"/>
              </w:rPr>
              <w:t>权限内单独修建人防工程的施工图设计重大变更备案（两万平米以下单建人防工程）</w:t>
            </w:r>
          </w:p>
        </w:tc>
        <w:tc>
          <w:tcPr>
            <w:tcW w:w="706" w:type="dxa"/>
            <w:noWrap w:val="0"/>
            <w:tcMar>
              <w:left w:w="51" w:type="dxa"/>
              <w:right w:w="51" w:type="dxa"/>
            </w:tcMar>
            <w:vAlign w:val="center"/>
          </w:tcPr>
          <w:p w14:paraId="180B7314">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1E659BB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2705841">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25B15DA3">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办法》第十三条</w:t>
            </w:r>
            <w:r>
              <w:rPr>
                <w:color w:val="000000"/>
                <w:kern w:val="0"/>
                <w:szCs w:val="21"/>
                <w:lang w:bidi="ar"/>
              </w:rPr>
              <w:t xml:space="preserve"> </w:t>
            </w:r>
            <w:r>
              <w:rPr>
                <w:rFonts w:hAnsi="宋体"/>
                <w:color w:val="000000"/>
                <w:kern w:val="0"/>
                <w:szCs w:val="21"/>
                <w:lang w:bidi="ar"/>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《湖南省人民防空工程建设与维护管理规定》第十四条</w:t>
            </w:r>
            <w:r>
              <w:rPr>
                <w:color w:val="000000"/>
                <w:kern w:val="0"/>
                <w:szCs w:val="21"/>
                <w:lang w:bidi="ar"/>
              </w:rPr>
              <w:t xml:space="preserve"> </w:t>
            </w:r>
            <w:r>
              <w:rPr>
                <w:rFonts w:hAnsi="宋体"/>
                <w:color w:val="000000"/>
                <w:kern w:val="0"/>
                <w:szCs w:val="21"/>
                <w:lang w:bidi="ar"/>
              </w:rPr>
              <w:t>单建人防工程建设项目依照国家和省有关规定，由发展改革主管部门办理立项手续，在人防主管部门办理项目初步设计审查、质量与安全监督手续、开工报告手续和竣工验收备案。</w:t>
            </w:r>
          </w:p>
        </w:tc>
        <w:tc>
          <w:tcPr>
            <w:tcW w:w="411" w:type="dxa"/>
            <w:noWrap/>
            <w:tcMar>
              <w:left w:w="51" w:type="dxa"/>
              <w:right w:w="51" w:type="dxa"/>
            </w:tcMar>
            <w:vAlign w:val="center"/>
          </w:tcPr>
          <w:p w14:paraId="0B143E1C">
            <w:pPr>
              <w:widowControl/>
              <w:jc w:val="left"/>
              <w:rPr>
                <w:color w:val="000000"/>
                <w:kern w:val="0"/>
                <w:szCs w:val="21"/>
              </w:rPr>
            </w:pPr>
          </w:p>
        </w:tc>
      </w:tr>
      <w:tr w14:paraId="2EB4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417" w:type="dxa"/>
            <w:noWrap w:val="0"/>
            <w:tcMar>
              <w:left w:w="51" w:type="dxa"/>
              <w:right w:w="51" w:type="dxa"/>
            </w:tcMar>
            <w:vAlign w:val="center"/>
          </w:tcPr>
          <w:p w14:paraId="6DC659BE">
            <w:pPr>
              <w:widowControl/>
              <w:jc w:val="center"/>
              <w:rPr>
                <w:rFonts w:hint="eastAsia" w:eastAsia="宋体"/>
                <w:color w:val="000000"/>
                <w:szCs w:val="21"/>
                <w:lang w:eastAsia="zh-CN"/>
              </w:rPr>
            </w:pPr>
            <w:r>
              <w:rPr>
                <w:rFonts w:hint="eastAsia"/>
                <w:color w:val="000000"/>
                <w:szCs w:val="21"/>
                <w:lang w:val="en-US" w:eastAsia="zh-CN"/>
              </w:rPr>
              <w:t>6</w:t>
            </w:r>
          </w:p>
        </w:tc>
        <w:tc>
          <w:tcPr>
            <w:tcW w:w="1834" w:type="dxa"/>
            <w:noWrap w:val="0"/>
            <w:tcMar>
              <w:left w:w="51" w:type="dxa"/>
              <w:right w:w="51" w:type="dxa"/>
            </w:tcMar>
            <w:vAlign w:val="center"/>
          </w:tcPr>
          <w:p w14:paraId="40096B0D">
            <w:pPr>
              <w:widowControl/>
              <w:jc w:val="left"/>
              <w:textAlignment w:val="center"/>
              <w:rPr>
                <w:color w:val="000000"/>
                <w:kern w:val="0"/>
                <w:szCs w:val="21"/>
              </w:rPr>
            </w:pPr>
            <w:r>
              <w:rPr>
                <w:rFonts w:hAnsi="宋体"/>
                <w:color w:val="000000"/>
                <w:kern w:val="0"/>
                <w:szCs w:val="21"/>
                <w:lang w:bidi="ar"/>
              </w:rPr>
              <w:t>权限内单独修建人防工程的竣工验收备案（两万平米以下单建人防工程）</w:t>
            </w:r>
          </w:p>
        </w:tc>
        <w:tc>
          <w:tcPr>
            <w:tcW w:w="706" w:type="dxa"/>
            <w:noWrap w:val="0"/>
            <w:tcMar>
              <w:left w:w="51" w:type="dxa"/>
              <w:right w:w="51" w:type="dxa"/>
            </w:tcMar>
            <w:vAlign w:val="center"/>
          </w:tcPr>
          <w:p w14:paraId="3FBE706D">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7C1DFCCD">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BAAAEA2">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4365E3E">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办法》第十三条</w:t>
            </w:r>
            <w:r>
              <w:rPr>
                <w:color w:val="000000"/>
                <w:kern w:val="0"/>
                <w:szCs w:val="21"/>
                <w:lang w:bidi="ar"/>
              </w:rPr>
              <w:t xml:space="preserve"> </w:t>
            </w:r>
            <w:r>
              <w:rPr>
                <w:rFonts w:hAnsi="宋体"/>
                <w:color w:val="000000"/>
                <w:kern w:val="0"/>
                <w:szCs w:val="21"/>
                <w:lang w:bidi="ar"/>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《湖南省人民防空工程建设与维护管理规定》第十四条</w:t>
            </w:r>
            <w:r>
              <w:rPr>
                <w:color w:val="000000"/>
                <w:kern w:val="0"/>
                <w:szCs w:val="21"/>
                <w:lang w:bidi="ar"/>
              </w:rPr>
              <w:t xml:space="preserve"> </w:t>
            </w:r>
            <w:r>
              <w:rPr>
                <w:rFonts w:hAnsi="宋体"/>
                <w:color w:val="000000"/>
                <w:kern w:val="0"/>
                <w:szCs w:val="21"/>
                <w:lang w:bidi="ar"/>
              </w:rPr>
              <w:t>单建人防工程建设项目依照国家和省有关规定，由发展改革主管部门办理立项手续，在人防主管部门办理项目初步设计审查、质量与安全监督手续、开工报告手续和竣工验收备案。</w:t>
            </w:r>
          </w:p>
        </w:tc>
        <w:tc>
          <w:tcPr>
            <w:tcW w:w="411" w:type="dxa"/>
            <w:noWrap/>
            <w:tcMar>
              <w:left w:w="51" w:type="dxa"/>
              <w:right w:w="51" w:type="dxa"/>
            </w:tcMar>
            <w:vAlign w:val="center"/>
          </w:tcPr>
          <w:p w14:paraId="50D6CFF8">
            <w:pPr>
              <w:widowControl/>
              <w:jc w:val="left"/>
              <w:rPr>
                <w:color w:val="000000"/>
                <w:kern w:val="0"/>
                <w:szCs w:val="21"/>
              </w:rPr>
            </w:pPr>
          </w:p>
        </w:tc>
      </w:tr>
      <w:tr w14:paraId="3AC2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17" w:type="dxa"/>
            <w:noWrap w:val="0"/>
            <w:tcMar>
              <w:left w:w="51" w:type="dxa"/>
              <w:right w:w="51" w:type="dxa"/>
            </w:tcMar>
            <w:vAlign w:val="center"/>
          </w:tcPr>
          <w:p w14:paraId="3D16CCB3">
            <w:pPr>
              <w:widowControl/>
              <w:jc w:val="center"/>
              <w:rPr>
                <w:color w:val="000000"/>
                <w:szCs w:val="21"/>
              </w:rPr>
            </w:pPr>
            <w:r>
              <w:rPr>
                <w:color w:val="000000"/>
                <w:szCs w:val="21"/>
              </w:rPr>
              <w:t>7</w:t>
            </w:r>
          </w:p>
        </w:tc>
        <w:tc>
          <w:tcPr>
            <w:tcW w:w="1834" w:type="dxa"/>
            <w:noWrap w:val="0"/>
            <w:tcMar>
              <w:left w:w="51" w:type="dxa"/>
              <w:right w:w="51" w:type="dxa"/>
            </w:tcMar>
            <w:vAlign w:val="center"/>
          </w:tcPr>
          <w:p w14:paraId="6CB6697A">
            <w:pPr>
              <w:widowControl/>
              <w:jc w:val="left"/>
              <w:textAlignment w:val="center"/>
              <w:rPr>
                <w:color w:val="000000"/>
                <w:kern w:val="0"/>
                <w:szCs w:val="21"/>
              </w:rPr>
            </w:pPr>
            <w:r>
              <w:rPr>
                <w:rFonts w:hAnsi="宋体"/>
                <w:color w:val="000000"/>
                <w:kern w:val="0"/>
                <w:szCs w:val="21"/>
                <w:lang w:bidi="ar"/>
              </w:rPr>
              <w:t>权限内单独修建人防工程的开工报告批准（两万平米以下单建人防工程）</w:t>
            </w:r>
          </w:p>
        </w:tc>
        <w:tc>
          <w:tcPr>
            <w:tcW w:w="706" w:type="dxa"/>
            <w:noWrap w:val="0"/>
            <w:tcMar>
              <w:left w:w="51" w:type="dxa"/>
              <w:right w:w="51" w:type="dxa"/>
            </w:tcMar>
            <w:vAlign w:val="center"/>
          </w:tcPr>
          <w:p w14:paraId="7FF2D006">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028A95DD">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90D0614">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2B801B0">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办法》第十三条</w:t>
            </w:r>
            <w:r>
              <w:rPr>
                <w:color w:val="000000"/>
                <w:kern w:val="0"/>
                <w:szCs w:val="21"/>
                <w:lang w:bidi="ar"/>
              </w:rPr>
              <w:t xml:space="preserve"> </w:t>
            </w:r>
            <w:r>
              <w:rPr>
                <w:rFonts w:hAnsi="宋体"/>
                <w:color w:val="000000"/>
                <w:kern w:val="0"/>
                <w:szCs w:val="21"/>
                <w:lang w:bidi="ar"/>
              </w:rPr>
              <w:t>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《湖南省人民防空工程建设与维护管理规定》第十四条</w:t>
            </w:r>
            <w:r>
              <w:rPr>
                <w:color w:val="000000"/>
                <w:kern w:val="0"/>
                <w:szCs w:val="21"/>
                <w:lang w:bidi="ar"/>
              </w:rPr>
              <w:t xml:space="preserve"> </w:t>
            </w:r>
            <w:r>
              <w:rPr>
                <w:rFonts w:hAnsi="宋体"/>
                <w:color w:val="000000"/>
                <w:kern w:val="0"/>
                <w:szCs w:val="21"/>
                <w:lang w:bidi="ar"/>
              </w:rPr>
              <w:t>单建人防工程建设项目依照国家和省有关规定，由发展改革主管部门办理立项手续，在人防主管部门办理项目初步设计审查、质量与安全监督手续、开工报告手续和竣工验收备案。</w:t>
            </w:r>
          </w:p>
        </w:tc>
        <w:tc>
          <w:tcPr>
            <w:tcW w:w="411" w:type="dxa"/>
            <w:noWrap/>
            <w:tcMar>
              <w:left w:w="51" w:type="dxa"/>
              <w:right w:w="51" w:type="dxa"/>
            </w:tcMar>
            <w:vAlign w:val="center"/>
          </w:tcPr>
          <w:p w14:paraId="41B0D872">
            <w:pPr>
              <w:widowControl/>
              <w:jc w:val="left"/>
              <w:rPr>
                <w:color w:val="000000"/>
                <w:kern w:val="0"/>
                <w:szCs w:val="21"/>
              </w:rPr>
            </w:pPr>
          </w:p>
        </w:tc>
      </w:tr>
      <w:tr w14:paraId="2888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417" w:type="dxa"/>
            <w:noWrap w:val="0"/>
            <w:tcMar>
              <w:left w:w="51" w:type="dxa"/>
              <w:right w:w="51" w:type="dxa"/>
            </w:tcMar>
            <w:vAlign w:val="center"/>
          </w:tcPr>
          <w:p w14:paraId="4852C084">
            <w:pPr>
              <w:widowControl/>
              <w:jc w:val="center"/>
              <w:rPr>
                <w:color w:val="000000"/>
                <w:szCs w:val="21"/>
              </w:rPr>
            </w:pPr>
            <w:r>
              <w:rPr>
                <w:color w:val="000000"/>
                <w:szCs w:val="21"/>
              </w:rPr>
              <w:t>8</w:t>
            </w:r>
          </w:p>
        </w:tc>
        <w:tc>
          <w:tcPr>
            <w:tcW w:w="1834" w:type="dxa"/>
            <w:noWrap w:val="0"/>
            <w:tcMar>
              <w:left w:w="51" w:type="dxa"/>
              <w:right w:w="51" w:type="dxa"/>
            </w:tcMar>
            <w:vAlign w:val="center"/>
          </w:tcPr>
          <w:p w14:paraId="00D4BC88">
            <w:pPr>
              <w:widowControl/>
              <w:jc w:val="left"/>
              <w:textAlignment w:val="center"/>
              <w:rPr>
                <w:color w:val="000000"/>
                <w:kern w:val="0"/>
                <w:szCs w:val="21"/>
              </w:rPr>
            </w:pPr>
            <w:r>
              <w:rPr>
                <w:rFonts w:hAnsi="宋体"/>
                <w:color w:val="000000"/>
                <w:kern w:val="0"/>
                <w:szCs w:val="21"/>
                <w:lang w:bidi="ar"/>
              </w:rPr>
              <w:t>拆除人防通信设施审批</w:t>
            </w:r>
          </w:p>
        </w:tc>
        <w:tc>
          <w:tcPr>
            <w:tcW w:w="706" w:type="dxa"/>
            <w:noWrap w:val="0"/>
            <w:tcMar>
              <w:left w:w="51" w:type="dxa"/>
              <w:right w:w="51" w:type="dxa"/>
            </w:tcMar>
            <w:vAlign w:val="center"/>
          </w:tcPr>
          <w:p w14:paraId="53A7E0D7">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50710053">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552F0F1">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2DFF3D9">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《中华人民共和国人民防空法》第二十八条</w:t>
            </w:r>
            <w:r>
              <w:rPr>
                <w:color w:val="000000"/>
                <w:kern w:val="0"/>
                <w:szCs w:val="21"/>
                <w:lang w:bidi="ar"/>
              </w:rPr>
              <w:t xml:space="preserve"> </w:t>
            </w:r>
            <w:r>
              <w:rPr>
                <w:rFonts w:hAnsi="宋体"/>
                <w:color w:val="000000"/>
                <w:kern w:val="0"/>
                <w:szCs w:val="21"/>
                <w:lang w:bidi="ar"/>
              </w:rPr>
              <w:t>任何组织或者个人不得擅自拆除本法第二十一条规定的人民防空工程；确需拆除的，必须报经人民防空主管部门批准，并由拆除单位负责补建或者补偿。</w:t>
            </w:r>
            <w:r>
              <w:rPr>
                <w:color w:val="000000"/>
                <w:kern w:val="0"/>
                <w:szCs w:val="21"/>
                <w:lang w:bidi="ar"/>
              </w:rPr>
              <w:t xml:space="preserve"> </w:t>
            </w:r>
            <w:r>
              <w:rPr>
                <w:rFonts w:hAnsi="宋体"/>
                <w:color w:val="000000"/>
                <w:kern w:val="0"/>
                <w:szCs w:val="21"/>
                <w:lang w:bidi="ar"/>
              </w:rPr>
              <w:t>第四章通信和警报</w:t>
            </w:r>
            <w:r>
              <w:rPr>
                <w:color w:val="000000"/>
                <w:kern w:val="0"/>
                <w:szCs w:val="21"/>
                <w:lang w:bidi="ar"/>
              </w:rPr>
              <w:t xml:space="preserve"> </w:t>
            </w:r>
            <w:r>
              <w:rPr>
                <w:rFonts w:hAnsi="宋体"/>
                <w:color w:val="000000"/>
                <w:kern w:val="0"/>
                <w:szCs w:val="21"/>
                <w:lang w:bidi="ar"/>
              </w:rPr>
              <w:t>。第三十五条</w:t>
            </w:r>
            <w:r>
              <w:rPr>
                <w:color w:val="000000"/>
                <w:kern w:val="0"/>
                <w:szCs w:val="21"/>
                <w:lang w:bidi="ar"/>
              </w:rPr>
              <w:t xml:space="preserve">   </w:t>
            </w:r>
            <w:r>
              <w:rPr>
                <w:rFonts w:hAnsi="宋体"/>
                <w:color w:val="000000"/>
                <w:kern w:val="0"/>
                <w:szCs w:val="21"/>
                <w:lang w:bidi="ar"/>
              </w:rPr>
              <w:t>人民防空通信、警报设施必须保持良好使用状态。</w:t>
            </w:r>
            <w:r>
              <w:rPr>
                <w:color w:val="000000"/>
                <w:kern w:val="0"/>
                <w:szCs w:val="21"/>
                <w:lang w:bidi="ar"/>
              </w:rPr>
              <w:t xml:space="preserve"> </w:t>
            </w:r>
            <w:r>
              <w:rPr>
                <w:rFonts w:hAnsi="宋体"/>
                <w:color w:val="000000"/>
                <w:kern w:val="0"/>
                <w:szCs w:val="21"/>
                <w:lang w:bidi="ar"/>
              </w:rPr>
              <w:t>设置在有关单位的人民防空警报设施，由其所在单位维护管理，不得擅自拆除。</w:t>
            </w:r>
            <w:r>
              <w:rPr>
                <w:color w:val="000000"/>
                <w:kern w:val="0"/>
                <w:szCs w:val="21"/>
                <w:lang w:bidi="ar"/>
              </w:rPr>
              <w:t xml:space="preserve"> </w:t>
            </w:r>
            <w:r>
              <w:rPr>
                <w:rFonts w:hAnsi="宋体"/>
                <w:color w:val="000000"/>
                <w:kern w:val="0"/>
                <w:szCs w:val="21"/>
                <w:lang w:bidi="ar"/>
              </w:rPr>
              <w:t>县级以上地方各级人民政府根据需要可以组织试鸣防空警报；并在试鸣的五日以前发布公告。</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办法》第二十八条</w:t>
            </w:r>
            <w:r>
              <w:rPr>
                <w:color w:val="000000"/>
                <w:kern w:val="0"/>
                <w:szCs w:val="21"/>
                <w:lang w:bidi="ar"/>
              </w:rPr>
              <w:t xml:space="preserve"> </w:t>
            </w:r>
            <w:r>
              <w:rPr>
                <w:rFonts w:hAnsi="宋体"/>
                <w:color w:val="000000"/>
                <w:kern w:val="0"/>
                <w:szCs w:val="21"/>
                <w:lang w:bidi="ar"/>
              </w:rPr>
              <w:t>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411" w:type="dxa"/>
            <w:noWrap/>
            <w:tcMar>
              <w:left w:w="51" w:type="dxa"/>
              <w:right w:w="51" w:type="dxa"/>
            </w:tcMar>
            <w:vAlign w:val="center"/>
          </w:tcPr>
          <w:p w14:paraId="2036FF51">
            <w:pPr>
              <w:widowControl/>
              <w:jc w:val="left"/>
              <w:rPr>
                <w:color w:val="000000"/>
                <w:kern w:val="0"/>
                <w:szCs w:val="21"/>
              </w:rPr>
            </w:pPr>
          </w:p>
        </w:tc>
      </w:tr>
      <w:tr w14:paraId="64F4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417" w:type="dxa"/>
            <w:noWrap w:val="0"/>
            <w:tcMar>
              <w:left w:w="51" w:type="dxa"/>
              <w:right w:w="51" w:type="dxa"/>
            </w:tcMar>
            <w:vAlign w:val="center"/>
          </w:tcPr>
          <w:p w14:paraId="1E6577F4">
            <w:pPr>
              <w:widowControl/>
              <w:jc w:val="center"/>
              <w:rPr>
                <w:color w:val="000000"/>
                <w:szCs w:val="21"/>
              </w:rPr>
            </w:pPr>
            <w:r>
              <w:rPr>
                <w:color w:val="000000"/>
                <w:szCs w:val="21"/>
              </w:rPr>
              <w:t>9</w:t>
            </w:r>
          </w:p>
        </w:tc>
        <w:tc>
          <w:tcPr>
            <w:tcW w:w="1834" w:type="dxa"/>
            <w:noWrap w:val="0"/>
            <w:tcMar>
              <w:left w:w="51" w:type="dxa"/>
              <w:right w:w="51" w:type="dxa"/>
            </w:tcMar>
            <w:vAlign w:val="center"/>
          </w:tcPr>
          <w:p w14:paraId="7E06C68B">
            <w:pPr>
              <w:widowControl/>
              <w:jc w:val="left"/>
              <w:textAlignment w:val="center"/>
              <w:rPr>
                <w:color w:val="000000"/>
                <w:kern w:val="0"/>
                <w:szCs w:val="21"/>
              </w:rPr>
            </w:pPr>
            <w:r>
              <w:rPr>
                <w:rFonts w:hAnsi="宋体"/>
                <w:color w:val="000000"/>
                <w:kern w:val="0"/>
                <w:szCs w:val="21"/>
                <w:lang w:bidi="ar"/>
              </w:rPr>
              <w:t>改造人防通信设施审批</w:t>
            </w:r>
          </w:p>
        </w:tc>
        <w:tc>
          <w:tcPr>
            <w:tcW w:w="706" w:type="dxa"/>
            <w:noWrap w:val="0"/>
            <w:tcMar>
              <w:left w:w="51" w:type="dxa"/>
              <w:right w:w="51" w:type="dxa"/>
            </w:tcMar>
            <w:vAlign w:val="center"/>
          </w:tcPr>
          <w:p w14:paraId="58328B75">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044BCC58">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8A3E6E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7053304">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《中华人民共和国人民防空法》第二十八条</w:t>
            </w:r>
            <w:r>
              <w:rPr>
                <w:color w:val="000000"/>
                <w:kern w:val="0"/>
                <w:szCs w:val="21"/>
                <w:lang w:bidi="ar"/>
              </w:rPr>
              <w:t xml:space="preserve"> </w:t>
            </w:r>
            <w:r>
              <w:rPr>
                <w:rFonts w:hAnsi="宋体"/>
                <w:color w:val="000000"/>
                <w:kern w:val="0"/>
                <w:szCs w:val="21"/>
                <w:lang w:bidi="ar"/>
              </w:rPr>
              <w:t>任何组织或者个人不得擅自拆除本法第二十一条规定的人民防空工程；确需拆除的，必须报经人民防空主管部门批准，并由拆除单位负责补建或者补偿。</w:t>
            </w:r>
            <w:r>
              <w:rPr>
                <w:color w:val="000000"/>
                <w:kern w:val="0"/>
                <w:szCs w:val="21"/>
                <w:lang w:bidi="ar"/>
              </w:rPr>
              <w:t xml:space="preserve"> </w:t>
            </w:r>
            <w:r>
              <w:rPr>
                <w:rFonts w:hAnsi="宋体"/>
                <w:color w:val="000000"/>
                <w:kern w:val="0"/>
                <w:szCs w:val="21"/>
                <w:lang w:bidi="ar"/>
              </w:rPr>
              <w:t>第四章通信和警报</w:t>
            </w:r>
            <w:r>
              <w:rPr>
                <w:color w:val="000000"/>
                <w:kern w:val="0"/>
                <w:szCs w:val="21"/>
                <w:lang w:bidi="ar"/>
              </w:rPr>
              <w:t xml:space="preserve"> </w:t>
            </w:r>
            <w:r>
              <w:rPr>
                <w:rFonts w:hAnsi="宋体"/>
                <w:color w:val="000000"/>
                <w:kern w:val="0"/>
                <w:szCs w:val="21"/>
                <w:lang w:bidi="ar"/>
              </w:rPr>
              <w:t>。第三十五条</w:t>
            </w:r>
            <w:r>
              <w:rPr>
                <w:color w:val="000000"/>
                <w:kern w:val="0"/>
                <w:szCs w:val="21"/>
                <w:lang w:bidi="ar"/>
              </w:rPr>
              <w:t xml:space="preserve">   </w:t>
            </w:r>
            <w:r>
              <w:rPr>
                <w:rFonts w:hAnsi="宋体"/>
                <w:color w:val="000000"/>
                <w:kern w:val="0"/>
                <w:szCs w:val="21"/>
                <w:lang w:bidi="ar"/>
              </w:rPr>
              <w:t>人民防空通信、警报设施必须保持良好使用状态。</w:t>
            </w:r>
            <w:r>
              <w:rPr>
                <w:color w:val="000000"/>
                <w:kern w:val="0"/>
                <w:szCs w:val="21"/>
                <w:lang w:bidi="ar"/>
              </w:rPr>
              <w:t xml:space="preserve"> </w:t>
            </w:r>
            <w:r>
              <w:rPr>
                <w:rFonts w:hAnsi="宋体"/>
                <w:color w:val="000000"/>
                <w:kern w:val="0"/>
                <w:szCs w:val="21"/>
                <w:lang w:bidi="ar"/>
              </w:rPr>
              <w:t>设置在有关单位的人民防空警报设施，由其所在单位维护管理，不得擅自拆除。</w:t>
            </w:r>
            <w:r>
              <w:rPr>
                <w:color w:val="000000"/>
                <w:kern w:val="0"/>
                <w:szCs w:val="21"/>
                <w:lang w:bidi="ar"/>
              </w:rPr>
              <w:t xml:space="preserve"> </w:t>
            </w:r>
            <w:r>
              <w:rPr>
                <w:rFonts w:hAnsi="宋体"/>
                <w:color w:val="000000"/>
                <w:kern w:val="0"/>
                <w:szCs w:val="21"/>
                <w:lang w:bidi="ar"/>
              </w:rPr>
              <w:t>县级以上地方各级人民政府根据需要可以组织试鸣防空警报；并在试鸣的五日以前发布公告。</w:t>
            </w:r>
            <w:r>
              <w:rPr>
                <w:color w:val="000000"/>
                <w:kern w:val="0"/>
                <w:szCs w:val="21"/>
                <w:lang w:bidi="ar"/>
              </w:rPr>
              <w:t xml:space="preserve"> </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办法》第二十八条</w:t>
            </w:r>
            <w:r>
              <w:rPr>
                <w:color w:val="000000"/>
                <w:kern w:val="0"/>
                <w:szCs w:val="21"/>
                <w:lang w:bidi="ar"/>
              </w:rPr>
              <w:t xml:space="preserve"> </w:t>
            </w:r>
            <w:r>
              <w:rPr>
                <w:rFonts w:hAnsi="宋体"/>
                <w:color w:val="000000"/>
                <w:kern w:val="0"/>
                <w:szCs w:val="21"/>
                <w:lang w:bidi="ar"/>
              </w:rPr>
              <w:t>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411" w:type="dxa"/>
            <w:noWrap/>
            <w:tcMar>
              <w:left w:w="51" w:type="dxa"/>
              <w:right w:w="51" w:type="dxa"/>
            </w:tcMar>
            <w:vAlign w:val="center"/>
          </w:tcPr>
          <w:p w14:paraId="435E1D98">
            <w:pPr>
              <w:widowControl/>
              <w:jc w:val="left"/>
              <w:rPr>
                <w:color w:val="000000"/>
                <w:kern w:val="0"/>
                <w:szCs w:val="21"/>
              </w:rPr>
            </w:pPr>
          </w:p>
        </w:tc>
      </w:tr>
      <w:tr w14:paraId="75C7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417" w:type="dxa"/>
            <w:noWrap w:val="0"/>
            <w:tcMar>
              <w:left w:w="51" w:type="dxa"/>
              <w:right w:w="51" w:type="dxa"/>
            </w:tcMar>
            <w:vAlign w:val="center"/>
          </w:tcPr>
          <w:p w14:paraId="2F44A6C3">
            <w:pPr>
              <w:widowControl/>
              <w:jc w:val="center"/>
              <w:rPr>
                <w:color w:val="000000"/>
                <w:szCs w:val="21"/>
              </w:rPr>
            </w:pPr>
            <w:r>
              <w:rPr>
                <w:rFonts w:hint="eastAsia"/>
                <w:color w:val="000000"/>
                <w:szCs w:val="21"/>
                <w:lang w:val="en-US" w:eastAsia="zh-CN"/>
              </w:rPr>
              <w:t>1</w:t>
            </w:r>
            <w:r>
              <w:rPr>
                <w:color w:val="000000"/>
                <w:szCs w:val="21"/>
              </w:rPr>
              <w:t>0</w:t>
            </w:r>
          </w:p>
        </w:tc>
        <w:tc>
          <w:tcPr>
            <w:tcW w:w="1834" w:type="dxa"/>
            <w:noWrap w:val="0"/>
            <w:tcMar>
              <w:left w:w="51" w:type="dxa"/>
              <w:right w:w="51" w:type="dxa"/>
            </w:tcMar>
            <w:vAlign w:val="center"/>
          </w:tcPr>
          <w:p w14:paraId="529834D9">
            <w:pPr>
              <w:widowControl/>
              <w:jc w:val="left"/>
              <w:textAlignment w:val="center"/>
              <w:rPr>
                <w:color w:val="000000"/>
                <w:kern w:val="0"/>
                <w:szCs w:val="21"/>
              </w:rPr>
            </w:pPr>
            <w:r>
              <w:rPr>
                <w:rFonts w:hAnsi="宋体"/>
                <w:color w:val="000000"/>
                <w:kern w:val="0"/>
                <w:szCs w:val="21"/>
                <w:lang w:bidi="ar"/>
              </w:rPr>
              <w:t>报废人防通信设施审批</w:t>
            </w:r>
          </w:p>
        </w:tc>
        <w:tc>
          <w:tcPr>
            <w:tcW w:w="706" w:type="dxa"/>
            <w:noWrap w:val="0"/>
            <w:tcMar>
              <w:left w:w="51" w:type="dxa"/>
              <w:right w:w="51" w:type="dxa"/>
            </w:tcMar>
            <w:vAlign w:val="center"/>
          </w:tcPr>
          <w:p w14:paraId="589E666C">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1F33793B">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76F714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2E882D0">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《中华人民共和国人民防空法》第二十八条</w:t>
            </w:r>
            <w:r>
              <w:rPr>
                <w:color w:val="000000"/>
                <w:kern w:val="0"/>
                <w:szCs w:val="21"/>
                <w:lang w:bidi="ar"/>
              </w:rPr>
              <w:t xml:space="preserve"> </w:t>
            </w:r>
            <w:r>
              <w:rPr>
                <w:rFonts w:hAnsi="宋体"/>
                <w:color w:val="000000"/>
                <w:kern w:val="0"/>
                <w:szCs w:val="21"/>
                <w:lang w:bidi="ar"/>
              </w:rPr>
              <w:t>任何组织或者个人不得擅自拆除本法第二十一条规定的人民防空工程；确需拆除的，必须报经人民防空主管部门批准，并由拆除单位负责补建或者补偿。</w:t>
            </w:r>
            <w:r>
              <w:rPr>
                <w:color w:val="000000"/>
                <w:kern w:val="0"/>
                <w:szCs w:val="21"/>
                <w:lang w:bidi="ar"/>
              </w:rPr>
              <w:t xml:space="preserve"> </w:t>
            </w:r>
            <w:r>
              <w:rPr>
                <w:rFonts w:hAnsi="宋体"/>
                <w:color w:val="000000"/>
                <w:kern w:val="0"/>
                <w:szCs w:val="21"/>
                <w:lang w:bidi="ar"/>
              </w:rPr>
              <w:t>第四章通信和警报</w:t>
            </w:r>
            <w:r>
              <w:rPr>
                <w:color w:val="000000"/>
                <w:kern w:val="0"/>
                <w:szCs w:val="21"/>
                <w:lang w:bidi="ar"/>
              </w:rPr>
              <w:t xml:space="preserve"> </w:t>
            </w:r>
            <w:r>
              <w:rPr>
                <w:rFonts w:hAnsi="宋体"/>
                <w:color w:val="000000"/>
                <w:kern w:val="0"/>
                <w:szCs w:val="21"/>
                <w:lang w:bidi="ar"/>
              </w:rPr>
              <w:t>。第三十五条</w:t>
            </w:r>
            <w:r>
              <w:rPr>
                <w:color w:val="000000"/>
                <w:kern w:val="0"/>
                <w:szCs w:val="21"/>
                <w:lang w:bidi="ar"/>
              </w:rPr>
              <w:t xml:space="preserve">   </w:t>
            </w:r>
            <w:r>
              <w:rPr>
                <w:rFonts w:hAnsi="宋体"/>
                <w:color w:val="000000"/>
                <w:kern w:val="0"/>
                <w:szCs w:val="21"/>
                <w:lang w:bidi="ar"/>
              </w:rPr>
              <w:t>人民防空通信、警报设施必须保持良好使用状态。</w:t>
            </w:r>
            <w:r>
              <w:rPr>
                <w:color w:val="000000"/>
                <w:kern w:val="0"/>
                <w:szCs w:val="21"/>
                <w:lang w:bidi="ar"/>
              </w:rPr>
              <w:t xml:space="preserve"> </w:t>
            </w:r>
            <w:r>
              <w:rPr>
                <w:rFonts w:hAnsi="宋体"/>
                <w:color w:val="000000"/>
                <w:kern w:val="0"/>
                <w:szCs w:val="21"/>
                <w:lang w:bidi="ar"/>
              </w:rPr>
              <w:t>设置在有关单位的人民防空警报设施，由其所在单位维护管理，不得擅自拆除。</w:t>
            </w:r>
            <w:r>
              <w:rPr>
                <w:color w:val="000000"/>
                <w:kern w:val="0"/>
                <w:szCs w:val="21"/>
                <w:lang w:bidi="ar"/>
              </w:rPr>
              <w:t xml:space="preserve"> </w:t>
            </w:r>
            <w:r>
              <w:rPr>
                <w:rFonts w:hAnsi="宋体"/>
                <w:color w:val="000000"/>
                <w:kern w:val="0"/>
                <w:szCs w:val="21"/>
                <w:lang w:bidi="ar"/>
              </w:rPr>
              <w:t>县级以上地方各级人民政府根据需要可以组织试鸣防空警报；并在试鸣的五日以前发布公告。</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办法》第二十八条</w:t>
            </w:r>
            <w:r>
              <w:rPr>
                <w:color w:val="000000"/>
                <w:kern w:val="0"/>
                <w:szCs w:val="21"/>
                <w:lang w:bidi="ar"/>
              </w:rPr>
              <w:t xml:space="preserve"> </w:t>
            </w:r>
            <w:r>
              <w:rPr>
                <w:rFonts w:hAnsi="宋体"/>
                <w:color w:val="000000"/>
                <w:kern w:val="0"/>
                <w:szCs w:val="21"/>
                <w:lang w:bidi="ar"/>
              </w:rPr>
              <w:t>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r>
              <w:rPr>
                <w:color w:val="000000"/>
                <w:kern w:val="0"/>
                <w:szCs w:val="21"/>
                <w:lang w:bidi="ar"/>
              </w:rPr>
              <w:br w:type="textWrapping"/>
            </w:r>
            <w:r>
              <w:rPr>
                <w:color w:val="000000"/>
                <w:kern w:val="0"/>
                <w:szCs w:val="21"/>
                <w:lang w:bidi="ar"/>
              </w:rPr>
              <w:t>3.</w:t>
            </w:r>
            <w:r>
              <w:rPr>
                <w:rFonts w:hAnsi="宋体"/>
                <w:color w:val="000000"/>
                <w:kern w:val="0"/>
                <w:szCs w:val="21"/>
                <w:lang w:bidi="ar"/>
              </w:rPr>
              <w:t>《湖南省人民防空通信管理办法》第十七条：防空警报通信设施达到使用期限或者因故损坏需要报废的，经市州人民防空主管部门认定后，由该设施产权单位拆除并重装新的防空警报通信设施。</w:t>
            </w:r>
          </w:p>
        </w:tc>
        <w:tc>
          <w:tcPr>
            <w:tcW w:w="411" w:type="dxa"/>
            <w:noWrap/>
            <w:tcMar>
              <w:left w:w="51" w:type="dxa"/>
              <w:right w:w="51" w:type="dxa"/>
            </w:tcMar>
            <w:vAlign w:val="center"/>
          </w:tcPr>
          <w:p w14:paraId="0966DFEF">
            <w:pPr>
              <w:widowControl/>
              <w:jc w:val="left"/>
              <w:rPr>
                <w:color w:val="000000"/>
                <w:kern w:val="0"/>
                <w:szCs w:val="21"/>
              </w:rPr>
            </w:pPr>
          </w:p>
        </w:tc>
      </w:tr>
      <w:tr w14:paraId="00B3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417" w:type="dxa"/>
            <w:noWrap w:val="0"/>
            <w:tcMar>
              <w:left w:w="51" w:type="dxa"/>
              <w:right w:w="51" w:type="dxa"/>
            </w:tcMar>
            <w:vAlign w:val="center"/>
          </w:tcPr>
          <w:p w14:paraId="3FBBEE95">
            <w:pPr>
              <w:widowControl/>
              <w:jc w:val="center"/>
              <w:rPr>
                <w:color w:val="000000"/>
                <w:szCs w:val="21"/>
              </w:rPr>
            </w:pPr>
            <w:r>
              <w:rPr>
                <w:rFonts w:hint="eastAsia"/>
                <w:color w:val="000000"/>
                <w:szCs w:val="21"/>
                <w:lang w:val="en-US" w:eastAsia="zh-CN"/>
              </w:rPr>
              <w:t>1</w:t>
            </w:r>
            <w:r>
              <w:rPr>
                <w:color w:val="000000"/>
                <w:szCs w:val="21"/>
              </w:rPr>
              <w:t>1</w:t>
            </w:r>
          </w:p>
        </w:tc>
        <w:tc>
          <w:tcPr>
            <w:tcW w:w="1834" w:type="dxa"/>
            <w:noWrap w:val="0"/>
            <w:tcMar>
              <w:left w:w="51" w:type="dxa"/>
              <w:right w:w="51" w:type="dxa"/>
            </w:tcMar>
            <w:vAlign w:val="center"/>
          </w:tcPr>
          <w:p w14:paraId="14F9EA85">
            <w:pPr>
              <w:widowControl/>
              <w:jc w:val="left"/>
              <w:textAlignment w:val="center"/>
              <w:rPr>
                <w:color w:val="000000"/>
                <w:kern w:val="0"/>
                <w:szCs w:val="21"/>
              </w:rPr>
            </w:pPr>
            <w:r>
              <w:rPr>
                <w:rFonts w:hAnsi="宋体"/>
                <w:color w:val="000000"/>
                <w:kern w:val="0"/>
                <w:szCs w:val="21"/>
                <w:lang w:bidi="ar"/>
              </w:rPr>
              <w:t>拆除人防工程审批</w:t>
            </w:r>
          </w:p>
        </w:tc>
        <w:tc>
          <w:tcPr>
            <w:tcW w:w="706" w:type="dxa"/>
            <w:noWrap w:val="0"/>
            <w:tcMar>
              <w:left w:w="51" w:type="dxa"/>
              <w:right w:w="51" w:type="dxa"/>
            </w:tcMar>
            <w:vAlign w:val="center"/>
          </w:tcPr>
          <w:p w14:paraId="768F324C">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2AA15705">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B8E173D">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BBE047B">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《中华人民共和国人民防空法》第二十八条</w:t>
            </w:r>
            <w:r>
              <w:rPr>
                <w:color w:val="000000"/>
                <w:kern w:val="0"/>
                <w:szCs w:val="21"/>
                <w:lang w:bidi="ar"/>
              </w:rPr>
              <w:t xml:space="preserve">  </w:t>
            </w:r>
            <w:r>
              <w:rPr>
                <w:rFonts w:hAnsi="宋体"/>
                <w:color w:val="000000"/>
                <w:kern w:val="0"/>
                <w:szCs w:val="21"/>
                <w:lang w:bidi="ar"/>
              </w:rPr>
              <w:t>任何组织或者个人不得擅自拆除本法第二十一条规定的人民防空工程；确需拆除的，必须报经人民防空主管部门批准，并由拆除单位负责补建或者补偿。</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办法》第二十六条</w:t>
            </w:r>
            <w:r>
              <w:rPr>
                <w:b/>
                <w:bCs/>
                <w:color w:val="000000"/>
                <w:kern w:val="0"/>
                <w:szCs w:val="21"/>
                <w:lang w:bidi="ar"/>
              </w:rPr>
              <w:t xml:space="preserve"> </w:t>
            </w:r>
            <w:r>
              <w:rPr>
                <w:rFonts w:hAnsi="宋体"/>
                <w:color w:val="000000"/>
                <w:kern w:val="0"/>
                <w:szCs w:val="21"/>
                <w:lang w:bidi="ar"/>
              </w:rPr>
              <w:t>人民防空工程的改造、拆除、报废，应当报经人民防空主管部门批准。改造人民防空工程的，不得降低国家规定的防护标准。因工程建设拆除或者报废人民防空工程的，建设单位应当按照拆除、报废的建筑面积、防护等级就近补建；补建确有困难的，经人民防空主管部门批准，缴纳建设同面积同等级的人民防空工程所需的费用，由人民防空主管部门按照人民防空工程建设规划补建。</w:t>
            </w:r>
          </w:p>
        </w:tc>
        <w:tc>
          <w:tcPr>
            <w:tcW w:w="411" w:type="dxa"/>
            <w:noWrap/>
            <w:tcMar>
              <w:left w:w="51" w:type="dxa"/>
              <w:right w:w="51" w:type="dxa"/>
            </w:tcMar>
            <w:vAlign w:val="center"/>
          </w:tcPr>
          <w:p w14:paraId="381826F4">
            <w:pPr>
              <w:widowControl/>
              <w:jc w:val="left"/>
              <w:rPr>
                <w:color w:val="000000"/>
                <w:kern w:val="0"/>
                <w:szCs w:val="21"/>
              </w:rPr>
            </w:pPr>
          </w:p>
        </w:tc>
      </w:tr>
      <w:tr w14:paraId="6F51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noWrap w:val="0"/>
            <w:tcMar>
              <w:left w:w="51" w:type="dxa"/>
              <w:right w:w="51" w:type="dxa"/>
            </w:tcMar>
            <w:vAlign w:val="center"/>
          </w:tcPr>
          <w:p w14:paraId="09935E00">
            <w:pPr>
              <w:widowControl/>
              <w:jc w:val="center"/>
              <w:rPr>
                <w:color w:val="000000"/>
                <w:szCs w:val="21"/>
              </w:rPr>
            </w:pPr>
            <w:r>
              <w:rPr>
                <w:rFonts w:hint="eastAsia"/>
                <w:color w:val="000000"/>
                <w:szCs w:val="21"/>
                <w:lang w:val="en-US" w:eastAsia="zh-CN"/>
              </w:rPr>
              <w:t>1</w:t>
            </w:r>
            <w:r>
              <w:rPr>
                <w:color w:val="000000"/>
                <w:szCs w:val="21"/>
              </w:rPr>
              <w:t>2</w:t>
            </w:r>
          </w:p>
        </w:tc>
        <w:tc>
          <w:tcPr>
            <w:tcW w:w="1834" w:type="dxa"/>
            <w:noWrap w:val="0"/>
            <w:tcMar>
              <w:left w:w="51" w:type="dxa"/>
              <w:right w:w="51" w:type="dxa"/>
            </w:tcMar>
            <w:vAlign w:val="center"/>
          </w:tcPr>
          <w:p w14:paraId="6D4E2C00">
            <w:pPr>
              <w:widowControl/>
              <w:jc w:val="left"/>
              <w:textAlignment w:val="center"/>
              <w:rPr>
                <w:color w:val="000000"/>
                <w:kern w:val="0"/>
                <w:szCs w:val="21"/>
              </w:rPr>
            </w:pPr>
            <w:r>
              <w:rPr>
                <w:rFonts w:hAnsi="宋体"/>
                <w:color w:val="000000"/>
                <w:kern w:val="0"/>
                <w:szCs w:val="21"/>
                <w:lang w:bidi="ar"/>
              </w:rPr>
              <w:t>改造人防工程审批</w:t>
            </w:r>
          </w:p>
        </w:tc>
        <w:tc>
          <w:tcPr>
            <w:tcW w:w="706" w:type="dxa"/>
            <w:noWrap w:val="0"/>
            <w:tcMar>
              <w:left w:w="51" w:type="dxa"/>
              <w:right w:w="51" w:type="dxa"/>
            </w:tcMar>
            <w:vAlign w:val="center"/>
          </w:tcPr>
          <w:p w14:paraId="00FA9B26">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28F465C5">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521F24C">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3B07900">
            <w:pPr>
              <w:widowControl/>
              <w:jc w:val="left"/>
              <w:textAlignment w:val="center"/>
              <w:rPr>
                <w:b/>
                <w:bCs/>
                <w:color w:val="000000"/>
                <w:kern w:val="0"/>
                <w:szCs w:val="21"/>
              </w:rPr>
            </w:pP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办法》第二十六条</w:t>
            </w:r>
            <w:r>
              <w:rPr>
                <w:color w:val="000000"/>
                <w:kern w:val="0"/>
                <w:szCs w:val="21"/>
                <w:lang w:bidi="ar"/>
              </w:rPr>
              <w:t xml:space="preserve"> </w:t>
            </w:r>
            <w:r>
              <w:rPr>
                <w:rFonts w:hAnsi="宋体"/>
                <w:color w:val="000000"/>
                <w:kern w:val="0"/>
                <w:szCs w:val="21"/>
                <w:lang w:bidi="ar"/>
              </w:rPr>
              <w:t>人民防空工程的改造、拆除、报废，应当报经人民防空主管部门批准。改造人民防空工程的，不得降低国家规定的防护标准。因工程建设拆除或者报废人民防空工程的，建设单位应当按照拆除、报废的建筑面积、防护等级就近补建；补建确有困难的，经人民防空主管部门批准，缴纳建设同面积同等级的人民防空工程所需的费用，由人民防空主管部门按照人民防空工程建设规划补建。</w:t>
            </w:r>
          </w:p>
        </w:tc>
        <w:tc>
          <w:tcPr>
            <w:tcW w:w="411" w:type="dxa"/>
            <w:noWrap/>
            <w:tcMar>
              <w:left w:w="51" w:type="dxa"/>
              <w:right w:w="51" w:type="dxa"/>
            </w:tcMar>
            <w:vAlign w:val="center"/>
          </w:tcPr>
          <w:p w14:paraId="777929A9">
            <w:pPr>
              <w:widowControl/>
              <w:jc w:val="left"/>
              <w:rPr>
                <w:color w:val="000000"/>
                <w:kern w:val="0"/>
                <w:szCs w:val="21"/>
              </w:rPr>
            </w:pPr>
          </w:p>
        </w:tc>
      </w:tr>
      <w:tr w14:paraId="7284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noWrap w:val="0"/>
            <w:tcMar>
              <w:left w:w="51" w:type="dxa"/>
              <w:right w:w="51" w:type="dxa"/>
            </w:tcMar>
            <w:vAlign w:val="center"/>
          </w:tcPr>
          <w:p w14:paraId="1C3CE831">
            <w:pPr>
              <w:widowControl/>
              <w:jc w:val="center"/>
              <w:rPr>
                <w:color w:val="000000"/>
                <w:szCs w:val="21"/>
              </w:rPr>
            </w:pPr>
            <w:r>
              <w:rPr>
                <w:rFonts w:hint="eastAsia"/>
                <w:color w:val="000000"/>
                <w:szCs w:val="21"/>
                <w:lang w:val="en-US" w:eastAsia="zh-CN"/>
              </w:rPr>
              <w:t>1</w:t>
            </w:r>
            <w:r>
              <w:rPr>
                <w:color w:val="000000"/>
                <w:szCs w:val="21"/>
              </w:rPr>
              <w:t>3</w:t>
            </w:r>
          </w:p>
        </w:tc>
        <w:tc>
          <w:tcPr>
            <w:tcW w:w="1834" w:type="dxa"/>
            <w:noWrap w:val="0"/>
            <w:tcMar>
              <w:left w:w="51" w:type="dxa"/>
              <w:right w:w="51" w:type="dxa"/>
            </w:tcMar>
            <w:vAlign w:val="center"/>
          </w:tcPr>
          <w:p w14:paraId="2A630D8B">
            <w:pPr>
              <w:widowControl/>
              <w:jc w:val="left"/>
              <w:textAlignment w:val="center"/>
              <w:rPr>
                <w:color w:val="000000"/>
                <w:kern w:val="0"/>
                <w:szCs w:val="21"/>
              </w:rPr>
            </w:pPr>
            <w:r>
              <w:rPr>
                <w:rFonts w:hAnsi="宋体"/>
                <w:color w:val="000000"/>
                <w:kern w:val="0"/>
                <w:szCs w:val="21"/>
                <w:lang w:bidi="ar"/>
              </w:rPr>
              <w:t>报废人防工程审批</w:t>
            </w:r>
          </w:p>
        </w:tc>
        <w:tc>
          <w:tcPr>
            <w:tcW w:w="706" w:type="dxa"/>
            <w:noWrap w:val="0"/>
            <w:tcMar>
              <w:left w:w="51" w:type="dxa"/>
              <w:right w:w="51" w:type="dxa"/>
            </w:tcMar>
            <w:vAlign w:val="center"/>
          </w:tcPr>
          <w:p w14:paraId="459C2A8E">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526BC51B">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223C7B8">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222B4211">
            <w:pPr>
              <w:widowControl/>
              <w:jc w:val="left"/>
              <w:textAlignment w:val="center"/>
              <w:rPr>
                <w:b/>
                <w:bCs/>
                <w:color w:val="000000"/>
                <w:kern w:val="0"/>
                <w:szCs w:val="21"/>
              </w:rPr>
            </w:pP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办法》第二十六条</w:t>
            </w:r>
            <w:r>
              <w:rPr>
                <w:color w:val="000000"/>
                <w:kern w:val="0"/>
                <w:szCs w:val="21"/>
                <w:lang w:bidi="ar"/>
              </w:rPr>
              <w:t xml:space="preserve"> </w:t>
            </w:r>
            <w:r>
              <w:rPr>
                <w:rFonts w:hAnsi="宋体"/>
                <w:color w:val="000000"/>
                <w:kern w:val="0"/>
                <w:szCs w:val="21"/>
                <w:lang w:bidi="ar"/>
              </w:rPr>
              <w:t>人民防空工程的改造、拆除、报废，应当报经人民防空主管部门批准。改造人民防空工程的，不得降低国家规定的防护标准。因工程建设拆除或者报废人民防空工程的，建设单位应当按照拆除、报废的建筑面积、防护等级就近补建；补建确有困难的，经人民防空主管部门批准，缴纳建设同面积同等级的人民防空工程所需的费用，由人民防空主管部门按照人民防空工程建设规划补建。</w:t>
            </w:r>
          </w:p>
        </w:tc>
        <w:tc>
          <w:tcPr>
            <w:tcW w:w="411" w:type="dxa"/>
            <w:noWrap/>
            <w:tcMar>
              <w:left w:w="51" w:type="dxa"/>
              <w:right w:w="51" w:type="dxa"/>
            </w:tcMar>
            <w:vAlign w:val="center"/>
          </w:tcPr>
          <w:p w14:paraId="7C320A84">
            <w:pPr>
              <w:widowControl/>
              <w:jc w:val="left"/>
              <w:rPr>
                <w:color w:val="000000"/>
                <w:kern w:val="0"/>
                <w:szCs w:val="21"/>
              </w:rPr>
            </w:pPr>
          </w:p>
        </w:tc>
      </w:tr>
      <w:tr w14:paraId="28E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417" w:type="dxa"/>
            <w:noWrap w:val="0"/>
            <w:tcMar>
              <w:left w:w="51" w:type="dxa"/>
              <w:right w:w="51" w:type="dxa"/>
            </w:tcMar>
            <w:vAlign w:val="center"/>
          </w:tcPr>
          <w:p w14:paraId="4362C0FA">
            <w:pPr>
              <w:widowControl/>
              <w:jc w:val="center"/>
              <w:rPr>
                <w:color w:val="000000"/>
                <w:szCs w:val="21"/>
              </w:rPr>
            </w:pPr>
            <w:r>
              <w:rPr>
                <w:rFonts w:hint="eastAsia"/>
                <w:color w:val="000000"/>
                <w:szCs w:val="21"/>
                <w:lang w:val="en-US" w:eastAsia="zh-CN"/>
              </w:rPr>
              <w:t>1</w:t>
            </w:r>
            <w:r>
              <w:rPr>
                <w:color w:val="000000"/>
                <w:szCs w:val="21"/>
              </w:rPr>
              <w:t>4</w:t>
            </w:r>
          </w:p>
        </w:tc>
        <w:tc>
          <w:tcPr>
            <w:tcW w:w="1834" w:type="dxa"/>
            <w:noWrap w:val="0"/>
            <w:tcMar>
              <w:left w:w="51" w:type="dxa"/>
              <w:right w:w="51" w:type="dxa"/>
            </w:tcMar>
            <w:vAlign w:val="center"/>
          </w:tcPr>
          <w:p w14:paraId="007142C0">
            <w:pPr>
              <w:widowControl/>
              <w:jc w:val="left"/>
              <w:textAlignment w:val="center"/>
              <w:rPr>
                <w:color w:val="000000"/>
                <w:kern w:val="0"/>
                <w:szCs w:val="21"/>
              </w:rPr>
            </w:pPr>
            <w:r>
              <w:rPr>
                <w:rFonts w:hAnsi="宋体"/>
                <w:color w:val="000000"/>
                <w:kern w:val="0"/>
                <w:szCs w:val="21"/>
                <w:lang w:bidi="ar"/>
              </w:rPr>
              <w:t>拆除防空警报通信设施审批</w:t>
            </w:r>
          </w:p>
        </w:tc>
        <w:tc>
          <w:tcPr>
            <w:tcW w:w="706" w:type="dxa"/>
            <w:noWrap w:val="0"/>
            <w:tcMar>
              <w:left w:w="51" w:type="dxa"/>
              <w:right w:w="51" w:type="dxa"/>
            </w:tcMar>
            <w:vAlign w:val="center"/>
          </w:tcPr>
          <w:p w14:paraId="0D3ACE2F">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1444C805">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1B6AE71">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B31E361">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《中华人民共和国人民防空法》第三十五条</w:t>
            </w:r>
            <w:r>
              <w:rPr>
                <w:color w:val="000000"/>
                <w:kern w:val="0"/>
                <w:szCs w:val="21"/>
                <w:lang w:bidi="ar"/>
              </w:rPr>
              <w:t xml:space="preserve">  </w:t>
            </w:r>
            <w:r>
              <w:rPr>
                <w:rFonts w:hAnsi="宋体"/>
                <w:color w:val="000000"/>
                <w:kern w:val="0"/>
                <w:szCs w:val="21"/>
                <w:lang w:bidi="ar"/>
              </w:rPr>
              <w:t>民防空通信、警报设施必须保持良好使用状态。设置在有关单位的人民防空警报设施，由其所在单位维护管理，不得擅自拆除。县级以上地方各级人民政府根据需要可以组织试鸣防空警报；并在试鸣的五日以前发布公告；</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办法》第二十八条</w:t>
            </w:r>
            <w:r>
              <w:rPr>
                <w:color w:val="000000"/>
                <w:kern w:val="0"/>
                <w:szCs w:val="21"/>
                <w:lang w:bidi="ar"/>
              </w:rPr>
              <w:t xml:space="preserve"> </w:t>
            </w:r>
            <w:r>
              <w:rPr>
                <w:rFonts w:hAnsi="宋体"/>
                <w:color w:val="000000"/>
                <w:kern w:val="0"/>
                <w:szCs w:val="21"/>
                <w:lang w:bidi="ar"/>
              </w:rPr>
              <w:t>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411" w:type="dxa"/>
            <w:noWrap/>
            <w:tcMar>
              <w:left w:w="51" w:type="dxa"/>
              <w:right w:w="51" w:type="dxa"/>
            </w:tcMar>
            <w:vAlign w:val="center"/>
          </w:tcPr>
          <w:p w14:paraId="51B4F031">
            <w:pPr>
              <w:widowControl/>
              <w:jc w:val="left"/>
              <w:rPr>
                <w:color w:val="000000"/>
                <w:kern w:val="0"/>
                <w:szCs w:val="21"/>
              </w:rPr>
            </w:pPr>
          </w:p>
        </w:tc>
      </w:tr>
      <w:tr w14:paraId="169B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417" w:type="dxa"/>
            <w:noWrap w:val="0"/>
            <w:tcMar>
              <w:left w:w="51" w:type="dxa"/>
              <w:right w:w="51" w:type="dxa"/>
            </w:tcMar>
            <w:vAlign w:val="center"/>
          </w:tcPr>
          <w:p w14:paraId="42723549">
            <w:pPr>
              <w:widowControl/>
              <w:jc w:val="center"/>
              <w:rPr>
                <w:color w:val="000000"/>
                <w:szCs w:val="21"/>
              </w:rPr>
            </w:pPr>
            <w:r>
              <w:rPr>
                <w:rFonts w:hint="eastAsia"/>
                <w:color w:val="000000"/>
                <w:szCs w:val="21"/>
                <w:lang w:val="en-US" w:eastAsia="zh-CN"/>
              </w:rPr>
              <w:t>1</w:t>
            </w:r>
            <w:r>
              <w:rPr>
                <w:color w:val="000000"/>
                <w:szCs w:val="21"/>
              </w:rPr>
              <w:t>5</w:t>
            </w:r>
          </w:p>
        </w:tc>
        <w:tc>
          <w:tcPr>
            <w:tcW w:w="1834" w:type="dxa"/>
            <w:noWrap w:val="0"/>
            <w:tcMar>
              <w:left w:w="51" w:type="dxa"/>
              <w:right w:w="51" w:type="dxa"/>
            </w:tcMar>
            <w:vAlign w:val="center"/>
          </w:tcPr>
          <w:p w14:paraId="74E80D11">
            <w:pPr>
              <w:widowControl/>
              <w:jc w:val="left"/>
              <w:textAlignment w:val="center"/>
              <w:rPr>
                <w:color w:val="000000"/>
                <w:kern w:val="0"/>
                <w:szCs w:val="21"/>
              </w:rPr>
            </w:pPr>
            <w:r>
              <w:rPr>
                <w:rFonts w:hAnsi="宋体"/>
                <w:color w:val="000000"/>
                <w:kern w:val="0"/>
                <w:szCs w:val="21"/>
                <w:lang w:bidi="ar"/>
              </w:rPr>
              <w:t>迁移防空警报通信设施审批</w:t>
            </w:r>
          </w:p>
        </w:tc>
        <w:tc>
          <w:tcPr>
            <w:tcW w:w="706" w:type="dxa"/>
            <w:noWrap w:val="0"/>
            <w:tcMar>
              <w:left w:w="51" w:type="dxa"/>
              <w:right w:w="51" w:type="dxa"/>
            </w:tcMar>
            <w:vAlign w:val="center"/>
          </w:tcPr>
          <w:p w14:paraId="6DA1D6AB">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2F239063">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5D5B753">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34489143">
            <w:pPr>
              <w:widowControl/>
              <w:jc w:val="left"/>
              <w:textAlignment w:val="center"/>
              <w:rPr>
                <w:b/>
                <w:bCs/>
                <w:color w:val="000000"/>
                <w:kern w:val="0"/>
                <w:szCs w:val="21"/>
              </w:rPr>
            </w:pP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办法》第二十八条</w:t>
            </w:r>
            <w:r>
              <w:rPr>
                <w:b/>
                <w:bCs/>
                <w:color w:val="000000"/>
                <w:kern w:val="0"/>
                <w:szCs w:val="21"/>
                <w:lang w:bidi="ar"/>
              </w:rPr>
              <w:t xml:space="preserve"> </w:t>
            </w:r>
            <w:r>
              <w:rPr>
                <w:color w:val="000000"/>
                <w:kern w:val="0"/>
                <w:szCs w:val="21"/>
                <w:lang w:bidi="ar"/>
              </w:rPr>
              <w:t xml:space="preserve"> </w:t>
            </w:r>
            <w:r>
              <w:rPr>
                <w:rFonts w:hAnsi="宋体"/>
                <w:color w:val="000000"/>
                <w:kern w:val="0"/>
                <w:szCs w:val="21"/>
                <w:lang w:bidi="ar"/>
              </w:rPr>
              <w:t>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411" w:type="dxa"/>
            <w:noWrap/>
            <w:tcMar>
              <w:left w:w="51" w:type="dxa"/>
              <w:right w:w="51" w:type="dxa"/>
            </w:tcMar>
            <w:vAlign w:val="center"/>
          </w:tcPr>
          <w:p w14:paraId="471AFB6E">
            <w:pPr>
              <w:widowControl/>
              <w:jc w:val="left"/>
              <w:rPr>
                <w:color w:val="000000"/>
                <w:kern w:val="0"/>
                <w:szCs w:val="21"/>
              </w:rPr>
            </w:pPr>
          </w:p>
        </w:tc>
      </w:tr>
      <w:tr w14:paraId="7B38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417" w:type="dxa"/>
            <w:noWrap w:val="0"/>
            <w:tcMar>
              <w:left w:w="51" w:type="dxa"/>
              <w:right w:w="51" w:type="dxa"/>
            </w:tcMar>
            <w:vAlign w:val="center"/>
          </w:tcPr>
          <w:p w14:paraId="56FB87A4">
            <w:pPr>
              <w:widowControl/>
              <w:jc w:val="center"/>
              <w:rPr>
                <w:color w:val="000000"/>
                <w:szCs w:val="21"/>
              </w:rPr>
            </w:pPr>
            <w:r>
              <w:rPr>
                <w:rFonts w:hint="eastAsia"/>
                <w:color w:val="000000"/>
                <w:szCs w:val="21"/>
                <w:lang w:val="en-US" w:eastAsia="zh-CN"/>
              </w:rPr>
              <w:t>1</w:t>
            </w:r>
            <w:r>
              <w:rPr>
                <w:color w:val="000000"/>
                <w:szCs w:val="21"/>
              </w:rPr>
              <w:t>6</w:t>
            </w:r>
          </w:p>
        </w:tc>
        <w:tc>
          <w:tcPr>
            <w:tcW w:w="1834" w:type="dxa"/>
            <w:noWrap w:val="0"/>
            <w:tcMar>
              <w:left w:w="51" w:type="dxa"/>
              <w:right w:w="51" w:type="dxa"/>
            </w:tcMar>
            <w:vAlign w:val="center"/>
          </w:tcPr>
          <w:p w14:paraId="0F2599BD">
            <w:pPr>
              <w:widowControl/>
              <w:jc w:val="left"/>
              <w:textAlignment w:val="center"/>
              <w:rPr>
                <w:color w:val="000000"/>
                <w:kern w:val="0"/>
                <w:szCs w:val="21"/>
              </w:rPr>
            </w:pPr>
            <w:r>
              <w:rPr>
                <w:rFonts w:hAnsi="宋体"/>
                <w:color w:val="000000"/>
                <w:kern w:val="0"/>
                <w:szCs w:val="21"/>
                <w:lang w:bidi="ar"/>
              </w:rPr>
              <w:t>城市地下空间开发利用中人防工程竣工验收认可</w:t>
            </w:r>
          </w:p>
        </w:tc>
        <w:tc>
          <w:tcPr>
            <w:tcW w:w="706" w:type="dxa"/>
            <w:noWrap w:val="0"/>
            <w:tcMar>
              <w:left w:w="51" w:type="dxa"/>
              <w:right w:w="51" w:type="dxa"/>
            </w:tcMar>
            <w:vAlign w:val="center"/>
          </w:tcPr>
          <w:p w14:paraId="2827D5A9">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0EBBD8B7">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29E219F">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1FC5FEA">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《中华人民共和国人民防空法》第十四</w:t>
            </w:r>
            <w:r>
              <w:rPr>
                <w:rFonts w:hAnsi="宋体"/>
                <w:color w:val="000000"/>
                <w:kern w:val="0"/>
                <w:szCs w:val="21"/>
                <w:lang w:bidi="ar"/>
              </w:rPr>
              <w:t>条</w:t>
            </w:r>
            <w:r>
              <w:rPr>
                <w:color w:val="000000"/>
                <w:kern w:val="0"/>
                <w:szCs w:val="21"/>
                <w:lang w:bidi="ar"/>
              </w:rPr>
              <w:t xml:space="preserve"> </w:t>
            </w:r>
            <w:r>
              <w:rPr>
                <w:rFonts w:hAnsi="宋体"/>
                <w:color w:val="000000"/>
                <w:kern w:val="0"/>
                <w:szCs w:val="21"/>
                <w:lang w:bidi="ar"/>
              </w:rPr>
              <w:t>城市的地下交通干线以及其他地下工程的建设，应当兼顾人民防空需要。</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办法》第十条</w:t>
            </w:r>
            <w:r>
              <w:rPr>
                <w:color w:val="000000"/>
                <w:kern w:val="0"/>
                <w:szCs w:val="21"/>
                <w:lang w:bidi="ar"/>
              </w:rPr>
              <w:t xml:space="preserve"> </w:t>
            </w:r>
            <w:r>
              <w:rPr>
                <w:rFonts w:hAnsi="宋体"/>
                <w:color w:val="000000"/>
                <w:kern w:val="0"/>
                <w:szCs w:val="21"/>
                <w:lang w:bidi="ar"/>
              </w:rPr>
              <w:t>县级以上人民政府编制城市总体规划时，在城市建设布局、建筑密度，城市主要道路、广场、绿地和水面的分布以及城市地下空间的开发利用等方面，应当充分考虑人民防空的需要，提高城市整体防护能力。第十一条</w:t>
            </w:r>
            <w:r>
              <w:rPr>
                <w:color w:val="000000"/>
                <w:kern w:val="0"/>
                <w:szCs w:val="21"/>
                <w:lang w:bidi="ar"/>
              </w:rPr>
              <w:t xml:space="preserve">   </w:t>
            </w:r>
            <w:r>
              <w:rPr>
                <w:rFonts w:hAnsi="宋体"/>
                <w:color w:val="000000"/>
                <w:kern w:val="0"/>
                <w:szCs w:val="21"/>
                <w:lang w:bidi="ar"/>
              </w:rPr>
              <w:t>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城市地铁、隧道等地下交通干线、交通综合枢纽，以及其他地下工程的关键部位和重点设施，必须符合人民防空防护标准和要求。人民防空主管部门应当参加其设计审查、质量监督和竣工验收认可工作。城市地下交通设施应当按照规划与人民防空疏散干道、连接通道连通，或者预留连通口。第十九条</w:t>
            </w:r>
            <w:r>
              <w:rPr>
                <w:color w:val="000000"/>
                <w:kern w:val="0"/>
                <w:szCs w:val="21"/>
                <w:lang w:bidi="ar"/>
              </w:rPr>
              <w:t xml:space="preserve">   </w:t>
            </w:r>
            <w:r>
              <w:rPr>
                <w:rFonts w:hAnsi="宋体"/>
                <w:color w:val="000000"/>
                <w:kern w:val="0"/>
                <w:szCs w:val="21"/>
                <w:lang w:bidi="ar"/>
              </w:rPr>
              <w:t>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第二十一条</w:t>
            </w:r>
            <w:r>
              <w:rPr>
                <w:color w:val="000000"/>
                <w:kern w:val="0"/>
                <w:szCs w:val="21"/>
                <w:lang w:bidi="ar"/>
              </w:rPr>
              <w:t xml:space="preserve">   </w:t>
            </w:r>
            <w:r>
              <w:rPr>
                <w:rFonts w:hAnsi="宋体"/>
                <w:color w:val="000000"/>
                <w:kern w:val="0"/>
                <w:szCs w:val="21"/>
                <w:lang w:bidi="ar"/>
              </w:rPr>
              <w:t>人民防空工程所需专用人民防空防护设备，必须符合国家规定的质量标准，并按照有关规定在土建施工时安装、预留、预埋。第二十二条</w:t>
            </w:r>
            <w:r>
              <w:rPr>
                <w:color w:val="000000"/>
                <w:kern w:val="0"/>
                <w:szCs w:val="21"/>
                <w:lang w:bidi="ar"/>
              </w:rPr>
              <w:t xml:space="preserve">   </w:t>
            </w:r>
            <w:r>
              <w:rPr>
                <w:rFonts w:hAnsi="宋体"/>
                <w:color w:val="000000"/>
                <w:kern w:val="0"/>
                <w:szCs w:val="21"/>
                <w:lang w:bidi="ar"/>
              </w:rPr>
              <w:t>建设单位应当将人民防空工程档案报人民防空主管部门备案。</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《湖南省人民防空工程建设与维护管理规定》第十九条</w:t>
            </w:r>
            <w:r>
              <w:rPr>
                <w:color w:val="000000"/>
                <w:kern w:val="0"/>
                <w:szCs w:val="21"/>
                <w:lang w:bidi="ar"/>
              </w:rPr>
              <w:t xml:space="preserve"> </w:t>
            </w:r>
            <w:r>
              <w:rPr>
                <w:rFonts w:hAnsi="宋体"/>
                <w:color w:val="000000"/>
                <w:kern w:val="0"/>
                <w:szCs w:val="21"/>
                <w:lang w:bidi="ar"/>
              </w:rPr>
              <w:t>城市地下空间开发利用兼顾人民防空需要</w:t>
            </w:r>
            <w:r>
              <w:rPr>
                <w:color w:val="000000"/>
                <w:kern w:val="0"/>
                <w:szCs w:val="21"/>
                <w:lang w:bidi="ar"/>
              </w:rPr>
              <w:t>,</w:t>
            </w:r>
            <w:r>
              <w:rPr>
                <w:rFonts w:hAnsi="宋体"/>
                <w:color w:val="000000"/>
                <w:kern w:val="0"/>
                <w:szCs w:val="21"/>
                <w:lang w:bidi="ar"/>
              </w:rPr>
              <w:t>应当执行下列规定</w:t>
            </w:r>
            <w:r>
              <w:rPr>
                <w:color w:val="000000"/>
                <w:kern w:val="0"/>
                <w:szCs w:val="21"/>
                <w:lang w:bidi="ar"/>
              </w:rPr>
              <w:t>:</w:t>
            </w:r>
            <w:r>
              <w:rPr>
                <w:rFonts w:hAnsi="宋体"/>
                <w:color w:val="000000"/>
                <w:kern w:val="0"/>
                <w:szCs w:val="21"/>
                <w:lang w:bidi="ar"/>
              </w:rPr>
              <w:t>（一）城市地铁、隧道等地下交通干线、交通综合枢纽符合人防工程防护规范及标准；（二）除单建人防工程外的其他独立开发的地下空间项目，修建不低于地下总建筑面积</w:t>
            </w:r>
            <w:r>
              <w:rPr>
                <w:color w:val="000000"/>
                <w:kern w:val="0"/>
                <w:szCs w:val="21"/>
                <w:lang w:bidi="ar"/>
              </w:rPr>
              <w:t>40%</w:t>
            </w:r>
            <w:r>
              <w:rPr>
                <w:rFonts w:hAnsi="宋体"/>
                <w:color w:val="000000"/>
                <w:kern w:val="0"/>
                <w:szCs w:val="21"/>
                <w:lang w:bidi="ar"/>
              </w:rPr>
              <w:t>的人防工程。人防主管部门参与城市地下空间开发项目的审查。</w:t>
            </w:r>
          </w:p>
        </w:tc>
        <w:tc>
          <w:tcPr>
            <w:tcW w:w="411" w:type="dxa"/>
            <w:noWrap/>
            <w:tcMar>
              <w:left w:w="51" w:type="dxa"/>
              <w:right w:w="51" w:type="dxa"/>
            </w:tcMar>
            <w:vAlign w:val="center"/>
          </w:tcPr>
          <w:p w14:paraId="12DDAF05">
            <w:pPr>
              <w:widowControl/>
              <w:jc w:val="left"/>
              <w:rPr>
                <w:color w:val="000000"/>
                <w:kern w:val="0"/>
                <w:szCs w:val="21"/>
              </w:rPr>
            </w:pPr>
          </w:p>
        </w:tc>
      </w:tr>
      <w:tr w14:paraId="3F86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417" w:type="dxa"/>
            <w:noWrap w:val="0"/>
            <w:tcMar>
              <w:left w:w="51" w:type="dxa"/>
              <w:right w:w="51" w:type="dxa"/>
            </w:tcMar>
            <w:vAlign w:val="center"/>
          </w:tcPr>
          <w:p w14:paraId="7AF9481C">
            <w:pPr>
              <w:widowControl/>
              <w:jc w:val="center"/>
              <w:rPr>
                <w:color w:val="000000"/>
                <w:szCs w:val="21"/>
              </w:rPr>
            </w:pPr>
            <w:r>
              <w:rPr>
                <w:rFonts w:hint="eastAsia"/>
                <w:color w:val="000000"/>
                <w:szCs w:val="21"/>
                <w:lang w:val="en-US" w:eastAsia="zh-CN"/>
              </w:rPr>
              <w:t>1</w:t>
            </w:r>
            <w:r>
              <w:rPr>
                <w:color w:val="000000"/>
                <w:szCs w:val="21"/>
              </w:rPr>
              <w:t>7</w:t>
            </w:r>
          </w:p>
        </w:tc>
        <w:tc>
          <w:tcPr>
            <w:tcW w:w="1834" w:type="dxa"/>
            <w:noWrap w:val="0"/>
            <w:tcMar>
              <w:left w:w="51" w:type="dxa"/>
              <w:right w:w="51" w:type="dxa"/>
            </w:tcMar>
            <w:vAlign w:val="center"/>
          </w:tcPr>
          <w:p w14:paraId="34C38962">
            <w:pPr>
              <w:widowControl/>
              <w:jc w:val="left"/>
              <w:textAlignment w:val="center"/>
              <w:rPr>
                <w:color w:val="000000"/>
                <w:kern w:val="0"/>
                <w:szCs w:val="21"/>
              </w:rPr>
            </w:pPr>
            <w:r>
              <w:rPr>
                <w:rFonts w:hAnsi="宋体"/>
                <w:color w:val="000000"/>
                <w:kern w:val="0"/>
                <w:szCs w:val="21"/>
                <w:lang w:bidi="ar"/>
              </w:rPr>
              <w:t>城市地下空间开发利用中人防工程的档案备案</w:t>
            </w:r>
          </w:p>
        </w:tc>
        <w:tc>
          <w:tcPr>
            <w:tcW w:w="706" w:type="dxa"/>
            <w:noWrap w:val="0"/>
            <w:tcMar>
              <w:left w:w="51" w:type="dxa"/>
              <w:right w:w="51" w:type="dxa"/>
            </w:tcMar>
            <w:vAlign w:val="center"/>
          </w:tcPr>
          <w:p w14:paraId="3708BFF9">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2724B4CC">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E018DBF">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03BD7CD5">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《中华人民共和国人民防空法》第十四条</w:t>
            </w:r>
            <w:r>
              <w:rPr>
                <w:color w:val="000000"/>
                <w:kern w:val="0"/>
                <w:szCs w:val="21"/>
                <w:lang w:bidi="ar"/>
              </w:rPr>
              <w:t xml:space="preserve"> </w:t>
            </w:r>
            <w:r>
              <w:rPr>
                <w:rFonts w:hAnsi="宋体"/>
                <w:color w:val="000000"/>
                <w:kern w:val="0"/>
                <w:szCs w:val="21"/>
                <w:lang w:bidi="ar"/>
              </w:rPr>
              <w:t>城市的地下交通干线以及其他地下工程的建设，应当兼顾人民防空需要。</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办法》第十条</w:t>
            </w:r>
            <w:r>
              <w:rPr>
                <w:color w:val="000000"/>
                <w:kern w:val="0"/>
                <w:szCs w:val="21"/>
                <w:lang w:bidi="ar"/>
              </w:rPr>
              <w:t xml:space="preserve"> </w:t>
            </w:r>
            <w:r>
              <w:rPr>
                <w:rFonts w:hAnsi="宋体"/>
                <w:color w:val="000000"/>
                <w:kern w:val="0"/>
                <w:szCs w:val="21"/>
                <w:lang w:bidi="ar"/>
              </w:rPr>
              <w:t>县级以上人民政府编制城市总体规划时，在城市建设布局、建筑密度，城市主要道路、广场、绿地和水面的分布以及城市地下空间的开发利用等方面，应当充分考虑人民防空的需要，提高城市整体防护能力。第十一条</w:t>
            </w:r>
            <w:r>
              <w:rPr>
                <w:color w:val="000000"/>
                <w:kern w:val="0"/>
                <w:szCs w:val="21"/>
                <w:lang w:bidi="ar"/>
              </w:rPr>
              <w:t xml:space="preserve">   </w:t>
            </w:r>
            <w:r>
              <w:rPr>
                <w:rFonts w:hAnsi="宋体"/>
                <w:color w:val="000000"/>
                <w:kern w:val="0"/>
                <w:szCs w:val="21"/>
                <w:lang w:bidi="ar"/>
              </w:rPr>
              <w:t>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城市地铁、隧道等地下交通干线、交通综合枢纽，以及其他地下工程的关键部位和重点设施，必须符合人民防空防护标准和要求。人民防空主管部门应当参加其设计审查、质量监督和竣工验收认可工作。城市地下交通设施应当按照规划与人民防空疏散干道、连接通道连通，或者预留连通口。第十九条</w:t>
            </w:r>
            <w:r>
              <w:rPr>
                <w:color w:val="000000"/>
                <w:kern w:val="0"/>
                <w:szCs w:val="21"/>
                <w:lang w:bidi="ar"/>
              </w:rPr>
              <w:t xml:space="preserve">   </w:t>
            </w:r>
            <w:r>
              <w:rPr>
                <w:rFonts w:hAnsi="宋体"/>
                <w:color w:val="000000"/>
                <w:kern w:val="0"/>
                <w:szCs w:val="21"/>
                <w:lang w:bidi="ar"/>
              </w:rPr>
              <w:t>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第二十一条</w:t>
            </w:r>
            <w:r>
              <w:rPr>
                <w:color w:val="000000"/>
                <w:kern w:val="0"/>
                <w:szCs w:val="21"/>
                <w:lang w:bidi="ar"/>
              </w:rPr>
              <w:t xml:space="preserve">   </w:t>
            </w:r>
            <w:r>
              <w:rPr>
                <w:rFonts w:hAnsi="宋体"/>
                <w:color w:val="000000"/>
                <w:kern w:val="0"/>
                <w:szCs w:val="21"/>
                <w:lang w:bidi="ar"/>
              </w:rPr>
              <w:t>人民防空工程所需专用人民防空防护设备，必须符合国家规定的质量标准，并按照有关规定在土建施工时安装、预留、预埋。第二十二条</w:t>
            </w:r>
            <w:r>
              <w:rPr>
                <w:color w:val="000000"/>
                <w:kern w:val="0"/>
                <w:szCs w:val="21"/>
                <w:lang w:bidi="ar"/>
              </w:rPr>
              <w:t xml:space="preserve">   </w:t>
            </w:r>
            <w:r>
              <w:rPr>
                <w:rFonts w:hAnsi="宋体"/>
                <w:color w:val="000000"/>
                <w:kern w:val="0"/>
                <w:szCs w:val="21"/>
                <w:lang w:bidi="ar"/>
              </w:rPr>
              <w:t>建设单位应当将人民防空工程档案报人民防空主管部门备案。</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《湖南省人民防空工程建设与维护管理规定》第十九条</w:t>
            </w:r>
            <w:r>
              <w:rPr>
                <w:color w:val="000000"/>
                <w:kern w:val="0"/>
                <w:szCs w:val="21"/>
                <w:lang w:bidi="ar"/>
              </w:rPr>
              <w:t xml:space="preserve"> </w:t>
            </w:r>
            <w:r>
              <w:rPr>
                <w:rFonts w:hAnsi="宋体"/>
                <w:color w:val="000000"/>
                <w:kern w:val="0"/>
                <w:szCs w:val="21"/>
                <w:lang w:bidi="ar"/>
              </w:rPr>
              <w:t>城市地下空间开发利用兼顾人民防空需要</w:t>
            </w:r>
            <w:r>
              <w:rPr>
                <w:color w:val="000000"/>
                <w:kern w:val="0"/>
                <w:szCs w:val="21"/>
                <w:lang w:bidi="ar"/>
              </w:rPr>
              <w:t>,</w:t>
            </w:r>
            <w:r>
              <w:rPr>
                <w:rFonts w:hAnsi="宋体"/>
                <w:color w:val="000000"/>
                <w:kern w:val="0"/>
                <w:szCs w:val="21"/>
                <w:lang w:bidi="ar"/>
              </w:rPr>
              <w:t>应当执行下列规定</w:t>
            </w:r>
            <w:r>
              <w:rPr>
                <w:color w:val="000000"/>
                <w:kern w:val="0"/>
                <w:szCs w:val="21"/>
                <w:lang w:bidi="ar"/>
              </w:rPr>
              <w:t>:</w:t>
            </w:r>
            <w:r>
              <w:rPr>
                <w:rFonts w:hAnsi="宋体"/>
                <w:color w:val="000000"/>
                <w:kern w:val="0"/>
                <w:szCs w:val="21"/>
                <w:lang w:bidi="ar"/>
              </w:rPr>
              <w:t>（一）城市地铁、隧道等地下交通干线、交通综合枢纽符合人防工程防护规范及标准；（二）除单建人防工程外的其他独立开发的地下空间项目，修建不低于地下总建筑面积</w:t>
            </w:r>
            <w:r>
              <w:rPr>
                <w:color w:val="000000"/>
                <w:kern w:val="0"/>
                <w:szCs w:val="21"/>
                <w:lang w:bidi="ar"/>
              </w:rPr>
              <w:t>40%</w:t>
            </w:r>
            <w:r>
              <w:rPr>
                <w:rFonts w:hAnsi="宋体"/>
                <w:color w:val="000000"/>
                <w:kern w:val="0"/>
                <w:szCs w:val="21"/>
                <w:lang w:bidi="ar"/>
              </w:rPr>
              <w:t>的人防工程。人防主管部门参与城市地下空间开发项目的审查。</w:t>
            </w:r>
          </w:p>
        </w:tc>
        <w:tc>
          <w:tcPr>
            <w:tcW w:w="411" w:type="dxa"/>
            <w:noWrap/>
            <w:tcMar>
              <w:left w:w="51" w:type="dxa"/>
              <w:right w:w="51" w:type="dxa"/>
            </w:tcMar>
            <w:vAlign w:val="center"/>
          </w:tcPr>
          <w:p w14:paraId="278192A7">
            <w:pPr>
              <w:widowControl/>
              <w:jc w:val="left"/>
              <w:rPr>
                <w:color w:val="000000"/>
                <w:kern w:val="0"/>
                <w:szCs w:val="21"/>
              </w:rPr>
            </w:pPr>
          </w:p>
        </w:tc>
      </w:tr>
      <w:tr w14:paraId="6313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6" w:hRule="atLeast"/>
          <w:jc w:val="center"/>
        </w:trPr>
        <w:tc>
          <w:tcPr>
            <w:tcW w:w="417" w:type="dxa"/>
            <w:noWrap w:val="0"/>
            <w:tcMar>
              <w:left w:w="51" w:type="dxa"/>
              <w:right w:w="51" w:type="dxa"/>
            </w:tcMar>
            <w:vAlign w:val="center"/>
          </w:tcPr>
          <w:p w14:paraId="66622355">
            <w:pPr>
              <w:widowControl/>
              <w:jc w:val="center"/>
              <w:rPr>
                <w:color w:val="000000"/>
                <w:szCs w:val="21"/>
              </w:rPr>
            </w:pPr>
            <w:r>
              <w:rPr>
                <w:rFonts w:hint="eastAsia"/>
                <w:color w:val="000000"/>
                <w:szCs w:val="21"/>
                <w:lang w:val="en-US" w:eastAsia="zh-CN"/>
              </w:rPr>
              <w:t>1</w:t>
            </w:r>
            <w:r>
              <w:rPr>
                <w:color w:val="000000"/>
                <w:szCs w:val="21"/>
              </w:rPr>
              <w:t>8</w:t>
            </w:r>
          </w:p>
        </w:tc>
        <w:tc>
          <w:tcPr>
            <w:tcW w:w="1834" w:type="dxa"/>
            <w:noWrap w:val="0"/>
            <w:tcMar>
              <w:left w:w="51" w:type="dxa"/>
              <w:right w:w="51" w:type="dxa"/>
            </w:tcMar>
            <w:vAlign w:val="center"/>
          </w:tcPr>
          <w:p w14:paraId="07E8D499">
            <w:pPr>
              <w:widowControl/>
              <w:jc w:val="left"/>
              <w:textAlignment w:val="center"/>
              <w:rPr>
                <w:color w:val="000000"/>
                <w:kern w:val="0"/>
                <w:szCs w:val="21"/>
              </w:rPr>
            </w:pPr>
            <w:r>
              <w:rPr>
                <w:rFonts w:hAnsi="宋体"/>
                <w:color w:val="000000"/>
                <w:kern w:val="0"/>
                <w:szCs w:val="21"/>
                <w:lang w:bidi="ar"/>
              </w:rPr>
              <w:t>城市地下空间开发利用中人防工程报建审批</w:t>
            </w:r>
          </w:p>
        </w:tc>
        <w:tc>
          <w:tcPr>
            <w:tcW w:w="706" w:type="dxa"/>
            <w:noWrap w:val="0"/>
            <w:tcMar>
              <w:left w:w="51" w:type="dxa"/>
              <w:right w:w="51" w:type="dxa"/>
            </w:tcMar>
            <w:vAlign w:val="center"/>
          </w:tcPr>
          <w:p w14:paraId="1D4EEFB1">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2450A73C">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B5ECBB9">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B9800DF">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《中华人民共和国人民防空法》第十四条</w:t>
            </w:r>
            <w:r>
              <w:rPr>
                <w:color w:val="000000"/>
                <w:kern w:val="0"/>
                <w:szCs w:val="21"/>
                <w:lang w:bidi="ar"/>
              </w:rPr>
              <w:t xml:space="preserve"> </w:t>
            </w:r>
            <w:r>
              <w:rPr>
                <w:rFonts w:hAnsi="宋体"/>
                <w:color w:val="000000"/>
                <w:kern w:val="0"/>
                <w:szCs w:val="21"/>
                <w:lang w:bidi="ar"/>
              </w:rPr>
              <w:t>城市的地下交通干线以及其他地下工程的建设，应当兼顾人民防空需要。</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办法》第十条</w:t>
            </w:r>
            <w:r>
              <w:rPr>
                <w:b/>
                <w:bCs/>
                <w:color w:val="000000"/>
                <w:kern w:val="0"/>
                <w:szCs w:val="21"/>
                <w:lang w:bidi="ar"/>
              </w:rPr>
              <w:t xml:space="preserve"> </w:t>
            </w:r>
            <w:r>
              <w:rPr>
                <w:rFonts w:hAnsi="宋体"/>
                <w:color w:val="000000"/>
                <w:kern w:val="0"/>
                <w:szCs w:val="21"/>
                <w:lang w:bidi="ar"/>
              </w:rPr>
              <w:t>县级以上人民政府编制城市总体规划时，在城市建设布局、建筑密度，城市主要道路、广场、绿地和水面的分布以及城市地下空间的开发利用等方面，应当充分考虑人民防空的需要，提高城市整体防护能力。</w:t>
            </w:r>
            <w:r>
              <w:rPr>
                <w:rFonts w:hAnsi="宋体"/>
                <w:b/>
                <w:bCs/>
                <w:color w:val="000000"/>
                <w:kern w:val="0"/>
                <w:szCs w:val="21"/>
                <w:lang w:bidi="ar"/>
              </w:rPr>
              <w:t>第十一条</w:t>
            </w:r>
            <w:r>
              <w:rPr>
                <w:b/>
                <w:bCs/>
                <w:color w:val="000000"/>
                <w:kern w:val="0"/>
                <w:szCs w:val="21"/>
                <w:lang w:bidi="ar"/>
              </w:rPr>
              <w:t xml:space="preserve"> </w:t>
            </w:r>
            <w:r>
              <w:rPr>
                <w:rFonts w:hAnsi="宋体"/>
                <w:color w:val="000000"/>
                <w:kern w:val="0"/>
                <w:szCs w:val="21"/>
                <w:lang w:bidi="ar"/>
              </w:rPr>
              <w:t>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城市地铁、隧道等地下交通干线、交通综合枢纽，以及其他地下工程的关键部位和重点设施，必须符合人民防空防护标准和要求。人民防空主管部门应当参加其设计审查、质量监督和竣工验收认可工作。城市地下交通设施应当按照规划与人民防空疏散干道、连接通道连通，或者预留连通口。</w:t>
            </w:r>
            <w:r>
              <w:rPr>
                <w:rFonts w:hAnsi="宋体"/>
                <w:b/>
                <w:bCs/>
                <w:color w:val="000000"/>
                <w:kern w:val="0"/>
                <w:szCs w:val="21"/>
                <w:lang w:bidi="ar"/>
              </w:rPr>
              <w:t>第十九条</w:t>
            </w:r>
            <w:r>
              <w:rPr>
                <w:color w:val="000000"/>
                <w:kern w:val="0"/>
                <w:szCs w:val="21"/>
                <w:lang w:bidi="ar"/>
              </w:rPr>
              <w:t xml:space="preserve"> </w:t>
            </w:r>
            <w:r>
              <w:rPr>
                <w:rFonts w:hAnsi="宋体"/>
                <w:color w:val="000000"/>
                <w:kern w:val="0"/>
                <w:szCs w:val="21"/>
                <w:lang w:bidi="ar"/>
              </w:rPr>
              <w:t>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r>
              <w:rPr>
                <w:rFonts w:hAnsi="宋体"/>
                <w:b/>
                <w:bCs/>
                <w:color w:val="000000"/>
                <w:kern w:val="0"/>
                <w:szCs w:val="21"/>
                <w:lang w:bidi="ar"/>
              </w:rPr>
              <w:t>第二十一条</w:t>
            </w:r>
            <w:r>
              <w:rPr>
                <w:color w:val="000000"/>
                <w:kern w:val="0"/>
                <w:szCs w:val="21"/>
                <w:lang w:bidi="ar"/>
              </w:rPr>
              <w:t xml:space="preserve"> </w:t>
            </w:r>
            <w:r>
              <w:rPr>
                <w:rFonts w:hAnsi="宋体"/>
                <w:color w:val="000000"/>
                <w:kern w:val="0"/>
                <w:szCs w:val="21"/>
                <w:lang w:bidi="ar"/>
              </w:rPr>
              <w:t>人民防空工程所需专用人民防空防护设备，必须符合国家规定的质量标准，并按照有关规定在土建施工时安装、预留、预埋。</w:t>
            </w:r>
            <w:r>
              <w:rPr>
                <w:rFonts w:hAnsi="宋体"/>
                <w:b/>
                <w:bCs/>
                <w:color w:val="000000"/>
                <w:kern w:val="0"/>
                <w:szCs w:val="21"/>
                <w:lang w:bidi="ar"/>
              </w:rPr>
              <w:t>第二十二条</w:t>
            </w:r>
            <w:r>
              <w:rPr>
                <w:b/>
                <w:bCs/>
                <w:color w:val="000000"/>
                <w:kern w:val="0"/>
                <w:szCs w:val="21"/>
                <w:lang w:bidi="ar"/>
              </w:rPr>
              <w:t xml:space="preserve"> </w:t>
            </w:r>
            <w:r>
              <w:rPr>
                <w:color w:val="000000"/>
                <w:kern w:val="0"/>
                <w:szCs w:val="21"/>
                <w:lang w:bidi="ar"/>
              </w:rPr>
              <w:t xml:space="preserve"> </w:t>
            </w:r>
            <w:r>
              <w:rPr>
                <w:rFonts w:hAnsi="宋体"/>
                <w:color w:val="000000"/>
                <w:kern w:val="0"/>
                <w:szCs w:val="21"/>
                <w:lang w:bidi="ar"/>
              </w:rPr>
              <w:t>建设单位应当将人民防空工程档案报人民防空主管部门备案。</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《湖南省人民防空工程建设与维护管理规定》第十九条</w:t>
            </w:r>
            <w:r>
              <w:rPr>
                <w:color w:val="000000"/>
                <w:kern w:val="0"/>
                <w:szCs w:val="21"/>
                <w:lang w:bidi="ar"/>
              </w:rPr>
              <w:t xml:space="preserve"> </w:t>
            </w:r>
            <w:r>
              <w:rPr>
                <w:rFonts w:hAnsi="宋体"/>
                <w:color w:val="000000"/>
                <w:kern w:val="0"/>
                <w:szCs w:val="21"/>
                <w:lang w:bidi="ar"/>
              </w:rPr>
              <w:t>城市地下空间开发利用兼顾人民防空需要</w:t>
            </w:r>
            <w:r>
              <w:rPr>
                <w:color w:val="000000"/>
                <w:kern w:val="0"/>
                <w:szCs w:val="21"/>
                <w:lang w:bidi="ar"/>
              </w:rPr>
              <w:t>,</w:t>
            </w:r>
            <w:r>
              <w:rPr>
                <w:rFonts w:hAnsi="宋体"/>
                <w:color w:val="000000"/>
                <w:kern w:val="0"/>
                <w:szCs w:val="21"/>
                <w:lang w:bidi="ar"/>
              </w:rPr>
              <w:t>应当执行下列规定</w:t>
            </w:r>
            <w:r>
              <w:rPr>
                <w:color w:val="000000"/>
                <w:kern w:val="0"/>
                <w:szCs w:val="21"/>
                <w:lang w:bidi="ar"/>
              </w:rPr>
              <w:t>:</w:t>
            </w:r>
            <w:r>
              <w:rPr>
                <w:rFonts w:hAnsi="宋体"/>
                <w:color w:val="000000"/>
                <w:kern w:val="0"/>
                <w:szCs w:val="21"/>
                <w:lang w:bidi="ar"/>
              </w:rPr>
              <w:t>（一）城市地铁、隧道等地下交通干线、交通综合枢纽符合人防工程防护规范及标准；（二）除单建人防工程外的其他独立开发的地下空间项目，修建不低于地下总建筑面积</w:t>
            </w:r>
            <w:r>
              <w:rPr>
                <w:color w:val="000000"/>
                <w:kern w:val="0"/>
                <w:szCs w:val="21"/>
                <w:lang w:bidi="ar"/>
              </w:rPr>
              <w:t>40%</w:t>
            </w:r>
            <w:r>
              <w:rPr>
                <w:rFonts w:hAnsi="宋体"/>
                <w:color w:val="000000"/>
                <w:kern w:val="0"/>
                <w:szCs w:val="21"/>
                <w:lang w:bidi="ar"/>
              </w:rPr>
              <w:t>的人防工程。人防主管部门参与城市地下空间开发项目的审查。</w:t>
            </w:r>
          </w:p>
        </w:tc>
        <w:tc>
          <w:tcPr>
            <w:tcW w:w="411" w:type="dxa"/>
            <w:noWrap/>
            <w:tcMar>
              <w:left w:w="51" w:type="dxa"/>
              <w:right w:w="51" w:type="dxa"/>
            </w:tcMar>
            <w:vAlign w:val="center"/>
          </w:tcPr>
          <w:p w14:paraId="59F223EB">
            <w:pPr>
              <w:widowControl/>
              <w:jc w:val="left"/>
              <w:rPr>
                <w:color w:val="000000"/>
                <w:kern w:val="0"/>
                <w:szCs w:val="21"/>
              </w:rPr>
            </w:pPr>
          </w:p>
        </w:tc>
      </w:tr>
      <w:tr w14:paraId="1D2A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417" w:type="dxa"/>
            <w:noWrap w:val="0"/>
            <w:tcMar>
              <w:left w:w="51" w:type="dxa"/>
              <w:right w:w="51" w:type="dxa"/>
            </w:tcMar>
            <w:vAlign w:val="center"/>
          </w:tcPr>
          <w:p w14:paraId="38FFCC29">
            <w:pPr>
              <w:widowControl/>
              <w:jc w:val="center"/>
              <w:rPr>
                <w:color w:val="000000"/>
                <w:szCs w:val="21"/>
              </w:rPr>
            </w:pPr>
            <w:r>
              <w:rPr>
                <w:rFonts w:hint="eastAsia"/>
                <w:color w:val="000000"/>
                <w:szCs w:val="21"/>
                <w:lang w:val="en-US" w:eastAsia="zh-CN"/>
              </w:rPr>
              <w:t>1</w:t>
            </w:r>
            <w:r>
              <w:rPr>
                <w:color w:val="000000"/>
                <w:szCs w:val="21"/>
              </w:rPr>
              <w:t>9</w:t>
            </w:r>
          </w:p>
        </w:tc>
        <w:tc>
          <w:tcPr>
            <w:tcW w:w="1834" w:type="dxa"/>
            <w:noWrap w:val="0"/>
            <w:tcMar>
              <w:left w:w="51" w:type="dxa"/>
              <w:right w:w="51" w:type="dxa"/>
            </w:tcMar>
            <w:vAlign w:val="center"/>
          </w:tcPr>
          <w:p w14:paraId="458A2856">
            <w:pPr>
              <w:widowControl/>
              <w:jc w:val="left"/>
              <w:textAlignment w:val="center"/>
              <w:rPr>
                <w:color w:val="000000"/>
                <w:kern w:val="0"/>
                <w:szCs w:val="21"/>
              </w:rPr>
            </w:pPr>
            <w:r>
              <w:rPr>
                <w:rFonts w:hAnsi="宋体"/>
                <w:color w:val="000000"/>
                <w:kern w:val="0"/>
                <w:szCs w:val="21"/>
                <w:lang w:bidi="ar"/>
              </w:rPr>
              <w:t>城市地下空间开发利用中人防工程防护事项的施工图设计重大变更备案</w:t>
            </w:r>
          </w:p>
        </w:tc>
        <w:tc>
          <w:tcPr>
            <w:tcW w:w="706" w:type="dxa"/>
            <w:noWrap w:val="0"/>
            <w:tcMar>
              <w:left w:w="51" w:type="dxa"/>
              <w:right w:w="51" w:type="dxa"/>
            </w:tcMar>
            <w:vAlign w:val="center"/>
          </w:tcPr>
          <w:p w14:paraId="1790D602">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46341663">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6CA4A04">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4A581FB5">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《中华人民共和国人民防空法》第十四条</w:t>
            </w:r>
            <w:r>
              <w:rPr>
                <w:color w:val="000000"/>
                <w:kern w:val="0"/>
                <w:szCs w:val="21"/>
                <w:lang w:bidi="ar"/>
              </w:rPr>
              <w:t xml:space="preserve"> </w:t>
            </w:r>
            <w:r>
              <w:rPr>
                <w:rFonts w:hAnsi="宋体"/>
                <w:color w:val="000000"/>
                <w:kern w:val="0"/>
                <w:szCs w:val="21"/>
                <w:lang w:bidi="ar"/>
              </w:rPr>
              <w:t>城市的地下交通干线以及其他地下工程的建设，应当兼顾人民防空需要。</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办法》第十条</w:t>
            </w:r>
            <w:r>
              <w:rPr>
                <w:color w:val="000000"/>
                <w:kern w:val="0"/>
                <w:szCs w:val="21"/>
                <w:lang w:bidi="ar"/>
              </w:rPr>
              <w:t xml:space="preserve"> </w:t>
            </w:r>
            <w:r>
              <w:rPr>
                <w:rFonts w:hAnsi="宋体"/>
                <w:color w:val="000000"/>
                <w:kern w:val="0"/>
                <w:szCs w:val="21"/>
                <w:lang w:bidi="ar"/>
              </w:rPr>
              <w:t>县级以上人民政府编制城市总体规划时，在城市建设布局、建筑密度，城市主要道路、广场、绿地和水面的分布以及城市地下空间的开发利用等方面，应当充分考虑人民防空的需要，提高城市整体防护能力。</w:t>
            </w:r>
            <w:r>
              <w:rPr>
                <w:rFonts w:hAnsi="宋体"/>
                <w:b/>
                <w:bCs/>
                <w:color w:val="000000"/>
                <w:kern w:val="0"/>
                <w:szCs w:val="21"/>
                <w:lang w:bidi="ar"/>
              </w:rPr>
              <w:t>第十一条</w:t>
            </w:r>
            <w:r>
              <w:rPr>
                <w:b/>
                <w:bCs/>
                <w:color w:val="000000"/>
                <w:kern w:val="0"/>
                <w:szCs w:val="21"/>
                <w:lang w:bidi="ar"/>
              </w:rPr>
              <w:t xml:space="preserve"> </w:t>
            </w:r>
            <w:r>
              <w:rPr>
                <w:rFonts w:hAnsi="宋体"/>
                <w:color w:val="000000"/>
                <w:kern w:val="0"/>
                <w:szCs w:val="21"/>
                <w:lang w:bidi="ar"/>
              </w:rPr>
              <w:t>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城市地铁、隧道等地下交通干线、交通综合枢纽，以及其他地下工程的关键部位和重点设施，必须符合人民防空防护标准和要求。人民防空主管部门应当参加其设计审查、质量监督和竣工验收认可工作。城市地下交通设施应当按照规划与人民防空疏散干道、连接通道连通，或者预留连通口。</w:t>
            </w:r>
            <w:r>
              <w:rPr>
                <w:rFonts w:hAnsi="宋体"/>
                <w:b/>
                <w:bCs/>
                <w:color w:val="000000"/>
                <w:kern w:val="0"/>
                <w:szCs w:val="21"/>
                <w:lang w:bidi="ar"/>
              </w:rPr>
              <w:t>第十九条</w:t>
            </w:r>
            <w:r>
              <w:rPr>
                <w:color w:val="000000"/>
                <w:kern w:val="0"/>
                <w:szCs w:val="21"/>
                <w:lang w:bidi="ar"/>
              </w:rPr>
              <w:t xml:space="preserve"> </w:t>
            </w:r>
            <w:r>
              <w:rPr>
                <w:rFonts w:hAnsi="宋体"/>
                <w:color w:val="000000"/>
                <w:kern w:val="0"/>
                <w:szCs w:val="21"/>
                <w:lang w:bidi="ar"/>
              </w:rPr>
              <w:t>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r>
              <w:rPr>
                <w:rFonts w:hAnsi="宋体"/>
                <w:b/>
                <w:bCs/>
                <w:color w:val="000000"/>
                <w:kern w:val="0"/>
                <w:szCs w:val="21"/>
                <w:lang w:bidi="ar"/>
              </w:rPr>
              <w:t>第二十一条</w:t>
            </w:r>
            <w:r>
              <w:rPr>
                <w:color w:val="000000"/>
                <w:kern w:val="0"/>
                <w:szCs w:val="21"/>
                <w:lang w:bidi="ar"/>
              </w:rPr>
              <w:t xml:space="preserve"> </w:t>
            </w:r>
            <w:r>
              <w:rPr>
                <w:rFonts w:hAnsi="宋体"/>
                <w:color w:val="000000"/>
                <w:kern w:val="0"/>
                <w:szCs w:val="21"/>
                <w:lang w:bidi="ar"/>
              </w:rPr>
              <w:t>人民防空工程所需专用人民防空防护设备，必须符合国家规定的质量标准，并按照有关规定在土建施工时安装、预留、预埋。</w:t>
            </w:r>
            <w:r>
              <w:rPr>
                <w:rFonts w:hAnsi="宋体"/>
                <w:b/>
                <w:bCs/>
                <w:color w:val="000000"/>
                <w:kern w:val="0"/>
                <w:szCs w:val="21"/>
                <w:lang w:bidi="ar"/>
              </w:rPr>
              <w:t>第二十二条</w:t>
            </w:r>
            <w:r>
              <w:rPr>
                <w:color w:val="000000"/>
                <w:kern w:val="0"/>
                <w:szCs w:val="21"/>
                <w:lang w:bidi="ar"/>
              </w:rPr>
              <w:t xml:space="preserve"> </w:t>
            </w:r>
            <w:r>
              <w:rPr>
                <w:rFonts w:hAnsi="宋体"/>
                <w:color w:val="000000"/>
                <w:kern w:val="0"/>
                <w:szCs w:val="21"/>
                <w:lang w:bidi="ar"/>
              </w:rPr>
              <w:t>建设单位应当将人民防空工程档案报人民防空主管部门备案。</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《湖南省人民防空工程建设与维护管理规定》第十九条</w:t>
            </w:r>
            <w:r>
              <w:rPr>
                <w:color w:val="000000"/>
                <w:kern w:val="0"/>
                <w:szCs w:val="21"/>
                <w:lang w:bidi="ar"/>
              </w:rPr>
              <w:t xml:space="preserve"> </w:t>
            </w:r>
            <w:r>
              <w:rPr>
                <w:rFonts w:hAnsi="宋体"/>
                <w:color w:val="000000"/>
                <w:kern w:val="0"/>
                <w:szCs w:val="21"/>
                <w:lang w:bidi="ar"/>
              </w:rPr>
              <w:t>城市地下空间开发利用兼顾人民防空需要</w:t>
            </w:r>
            <w:r>
              <w:rPr>
                <w:color w:val="000000"/>
                <w:kern w:val="0"/>
                <w:szCs w:val="21"/>
                <w:lang w:bidi="ar"/>
              </w:rPr>
              <w:t>,</w:t>
            </w:r>
            <w:r>
              <w:rPr>
                <w:rFonts w:hAnsi="宋体"/>
                <w:color w:val="000000"/>
                <w:kern w:val="0"/>
                <w:szCs w:val="21"/>
                <w:lang w:bidi="ar"/>
              </w:rPr>
              <w:t>应当执行下列规定</w:t>
            </w:r>
            <w:r>
              <w:rPr>
                <w:color w:val="000000"/>
                <w:kern w:val="0"/>
                <w:szCs w:val="21"/>
                <w:lang w:bidi="ar"/>
              </w:rPr>
              <w:t>:</w:t>
            </w:r>
            <w:r>
              <w:rPr>
                <w:rFonts w:hAnsi="宋体"/>
                <w:color w:val="000000"/>
                <w:kern w:val="0"/>
                <w:szCs w:val="21"/>
                <w:lang w:bidi="ar"/>
              </w:rPr>
              <w:t>（一）城市地铁、隧道等地下交通干线、交通综合枢纽符合人防工程防护规范及标准；（二）除单建人防工程外的其他独立开发的地下空间项目，修建不低于地下总建筑面积</w:t>
            </w:r>
            <w:r>
              <w:rPr>
                <w:color w:val="000000"/>
                <w:kern w:val="0"/>
                <w:szCs w:val="21"/>
                <w:lang w:bidi="ar"/>
              </w:rPr>
              <w:t>40%</w:t>
            </w:r>
            <w:r>
              <w:rPr>
                <w:rFonts w:hAnsi="宋体"/>
                <w:color w:val="000000"/>
                <w:kern w:val="0"/>
                <w:szCs w:val="21"/>
                <w:lang w:bidi="ar"/>
              </w:rPr>
              <w:t>的人防工程。人防主管部门参与城市地下空间开发项目的审查。</w:t>
            </w:r>
          </w:p>
        </w:tc>
        <w:tc>
          <w:tcPr>
            <w:tcW w:w="411" w:type="dxa"/>
            <w:noWrap/>
            <w:tcMar>
              <w:left w:w="51" w:type="dxa"/>
              <w:right w:w="51" w:type="dxa"/>
            </w:tcMar>
            <w:vAlign w:val="center"/>
          </w:tcPr>
          <w:p w14:paraId="5F1D1D2F">
            <w:pPr>
              <w:widowControl/>
              <w:jc w:val="left"/>
              <w:rPr>
                <w:color w:val="000000"/>
                <w:kern w:val="0"/>
                <w:szCs w:val="21"/>
              </w:rPr>
            </w:pPr>
          </w:p>
        </w:tc>
      </w:tr>
      <w:tr w14:paraId="064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417" w:type="dxa"/>
            <w:noWrap w:val="0"/>
            <w:tcMar>
              <w:left w:w="51" w:type="dxa"/>
              <w:right w:w="51" w:type="dxa"/>
            </w:tcMar>
            <w:vAlign w:val="center"/>
          </w:tcPr>
          <w:p w14:paraId="70A4FDA3">
            <w:pPr>
              <w:widowControl/>
              <w:jc w:val="center"/>
              <w:rPr>
                <w:color w:val="000000"/>
                <w:szCs w:val="21"/>
              </w:rPr>
            </w:pPr>
            <w:r>
              <w:rPr>
                <w:rFonts w:hint="eastAsia"/>
                <w:color w:val="000000"/>
                <w:szCs w:val="21"/>
                <w:lang w:val="en-US" w:eastAsia="zh-CN"/>
              </w:rPr>
              <w:t>2</w:t>
            </w:r>
            <w:r>
              <w:rPr>
                <w:color w:val="000000"/>
                <w:szCs w:val="21"/>
              </w:rPr>
              <w:t>0</w:t>
            </w:r>
          </w:p>
        </w:tc>
        <w:tc>
          <w:tcPr>
            <w:tcW w:w="1834" w:type="dxa"/>
            <w:noWrap w:val="0"/>
            <w:tcMar>
              <w:left w:w="51" w:type="dxa"/>
              <w:right w:w="51" w:type="dxa"/>
            </w:tcMar>
            <w:vAlign w:val="center"/>
          </w:tcPr>
          <w:p w14:paraId="14027263">
            <w:pPr>
              <w:widowControl/>
              <w:jc w:val="left"/>
              <w:textAlignment w:val="center"/>
              <w:rPr>
                <w:color w:val="000000"/>
                <w:kern w:val="0"/>
                <w:szCs w:val="21"/>
              </w:rPr>
            </w:pPr>
            <w:r>
              <w:rPr>
                <w:rFonts w:hAnsi="宋体"/>
                <w:color w:val="000000"/>
                <w:kern w:val="0"/>
                <w:szCs w:val="21"/>
                <w:lang w:bidi="ar"/>
              </w:rPr>
              <w:t>办理城市地下空间开发利用中人防工程的质量监督手续</w:t>
            </w:r>
          </w:p>
        </w:tc>
        <w:tc>
          <w:tcPr>
            <w:tcW w:w="706" w:type="dxa"/>
            <w:noWrap w:val="0"/>
            <w:tcMar>
              <w:left w:w="51" w:type="dxa"/>
              <w:right w:w="51" w:type="dxa"/>
            </w:tcMar>
            <w:vAlign w:val="center"/>
          </w:tcPr>
          <w:p w14:paraId="018B3266">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1953FFCD">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4F141E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BA245EA">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《中华人民共和国人民防空法》第十四条</w:t>
            </w:r>
            <w:r>
              <w:rPr>
                <w:color w:val="000000"/>
                <w:kern w:val="0"/>
                <w:szCs w:val="21"/>
                <w:lang w:bidi="ar"/>
              </w:rPr>
              <w:t xml:space="preserve"> </w:t>
            </w:r>
            <w:r>
              <w:rPr>
                <w:rFonts w:hAnsi="宋体"/>
                <w:color w:val="000000"/>
                <w:kern w:val="0"/>
                <w:szCs w:val="21"/>
                <w:lang w:bidi="ar"/>
              </w:rPr>
              <w:t>城市的地下交通干线以及其他地下工程的建设，应当兼顾人民防空需要。</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办法》第十条</w:t>
            </w:r>
            <w:r>
              <w:rPr>
                <w:b/>
                <w:bCs/>
                <w:color w:val="000000"/>
                <w:kern w:val="0"/>
                <w:szCs w:val="21"/>
                <w:lang w:bidi="ar"/>
              </w:rPr>
              <w:t xml:space="preserve"> </w:t>
            </w:r>
            <w:r>
              <w:rPr>
                <w:rFonts w:hAnsi="宋体"/>
                <w:color w:val="000000"/>
                <w:kern w:val="0"/>
                <w:szCs w:val="21"/>
                <w:lang w:bidi="ar"/>
              </w:rPr>
              <w:t>县级以上人民政府编制城市总体规划时，在城市建设布局、建筑密度，城市主要道路、广场、绿地和水面的分布以及城市地下空间的开发利用等方面，应当充分考虑人民防空的需要，提高城市整体防护能力。</w:t>
            </w:r>
            <w:r>
              <w:rPr>
                <w:rFonts w:hAnsi="宋体"/>
                <w:b/>
                <w:bCs/>
                <w:color w:val="000000"/>
                <w:kern w:val="0"/>
                <w:szCs w:val="21"/>
                <w:lang w:bidi="ar"/>
              </w:rPr>
              <w:t>第十一条</w:t>
            </w:r>
            <w:r>
              <w:rPr>
                <w:b/>
                <w:bCs/>
                <w:color w:val="000000"/>
                <w:kern w:val="0"/>
                <w:szCs w:val="21"/>
                <w:lang w:bidi="ar"/>
              </w:rPr>
              <w:t xml:space="preserve"> </w:t>
            </w:r>
            <w:r>
              <w:rPr>
                <w:rFonts w:hAnsi="宋体"/>
                <w:color w:val="000000"/>
                <w:kern w:val="0"/>
                <w:szCs w:val="21"/>
                <w:lang w:bidi="ar"/>
              </w:rPr>
              <w:t>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城市地铁、隧道等地下交通干线、交通综合枢纽，以及其他地下工程的关键部位和重点设施，必须符合人民防空防护标准和要求。人民防空主管部门应当参加其设计审查、质量监督和竣工验收认可工作。城市地下交通设施应当按照规划与人民防空疏散干道、连接通道连通，或者预留连通口。</w:t>
            </w:r>
            <w:r>
              <w:rPr>
                <w:rFonts w:hAnsi="宋体"/>
                <w:b/>
                <w:bCs/>
                <w:color w:val="000000"/>
                <w:kern w:val="0"/>
                <w:szCs w:val="21"/>
                <w:lang w:bidi="ar"/>
              </w:rPr>
              <w:t>第十九条</w:t>
            </w:r>
            <w:r>
              <w:rPr>
                <w:b/>
                <w:bCs/>
                <w:color w:val="000000"/>
                <w:kern w:val="0"/>
                <w:szCs w:val="21"/>
                <w:lang w:bidi="ar"/>
              </w:rPr>
              <w:t xml:space="preserve"> </w:t>
            </w:r>
            <w:r>
              <w:rPr>
                <w:rFonts w:hAnsi="宋体"/>
                <w:color w:val="000000"/>
                <w:kern w:val="0"/>
                <w:szCs w:val="21"/>
                <w:lang w:bidi="ar"/>
              </w:rPr>
              <w:t>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r>
              <w:rPr>
                <w:rFonts w:hAnsi="宋体"/>
                <w:b/>
                <w:bCs/>
                <w:color w:val="000000"/>
                <w:kern w:val="0"/>
                <w:szCs w:val="21"/>
                <w:lang w:bidi="ar"/>
              </w:rPr>
              <w:t>第二十一条</w:t>
            </w:r>
            <w:r>
              <w:rPr>
                <w:color w:val="000000"/>
                <w:kern w:val="0"/>
                <w:szCs w:val="21"/>
                <w:lang w:bidi="ar"/>
              </w:rPr>
              <w:t xml:space="preserve">  </w:t>
            </w:r>
            <w:r>
              <w:rPr>
                <w:rFonts w:hAnsi="宋体"/>
                <w:color w:val="000000"/>
                <w:kern w:val="0"/>
                <w:szCs w:val="21"/>
                <w:lang w:bidi="ar"/>
              </w:rPr>
              <w:t>人民防空工程所需专用人民防空防护设备，必须符合国家规定的质量标准，并按照有关规定在土建施工时安装、预留、预埋。第二十二条</w:t>
            </w:r>
            <w:r>
              <w:rPr>
                <w:color w:val="000000"/>
                <w:kern w:val="0"/>
                <w:szCs w:val="21"/>
                <w:lang w:bidi="ar"/>
              </w:rPr>
              <w:t xml:space="preserve">   </w:t>
            </w:r>
            <w:r>
              <w:rPr>
                <w:rFonts w:hAnsi="宋体"/>
                <w:color w:val="000000"/>
                <w:kern w:val="0"/>
                <w:szCs w:val="21"/>
                <w:lang w:bidi="ar"/>
              </w:rPr>
              <w:t>建设单位应当将人民防空工程档案报人民防空主管部门备案。</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《湖南省人民防空工程建设与维护管理规定》第十九条</w:t>
            </w:r>
            <w:r>
              <w:rPr>
                <w:color w:val="000000"/>
                <w:kern w:val="0"/>
                <w:szCs w:val="21"/>
                <w:lang w:bidi="ar"/>
              </w:rPr>
              <w:t xml:space="preserve"> </w:t>
            </w:r>
            <w:r>
              <w:rPr>
                <w:rFonts w:hAnsi="宋体"/>
                <w:color w:val="000000"/>
                <w:kern w:val="0"/>
                <w:szCs w:val="21"/>
                <w:lang w:bidi="ar"/>
              </w:rPr>
              <w:t>城市地下空间开发利用兼顾人民防空需要</w:t>
            </w:r>
            <w:r>
              <w:rPr>
                <w:color w:val="000000"/>
                <w:kern w:val="0"/>
                <w:szCs w:val="21"/>
                <w:lang w:bidi="ar"/>
              </w:rPr>
              <w:t>,</w:t>
            </w:r>
            <w:r>
              <w:rPr>
                <w:rFonts w:hAnsi="宋体"/>
                <w:color w:val="000000"/>
                <w:kern w:val="0"/>
                <w:szCs w:val="21"/>
                <w:lang w:bidi="ar"/>
              </w:rPr>
              <w:t>应当执行下列规定</w:t>
            </w:r>
            <w:r>
              <w:rPr>
                <w:color w:val="000000"/>
                <w:kern w:val="0"/>
                <w:szCs w:val="21"/>
                <w:lang w:bidi="ar"/>
              </w:rPr>
              <w:t>:</w:t>
            </w:r>
            <w:r>
              <w:rPr>
                <w:rFonts w:hAnsi="宋体"/>
                <w:color w:val="000000"/>
                <w:kern w:val="0"/>
                <w:szCs w:val="21"/>
                <w:lang w:bidi="ar"/>
              </w:rPr>
              <w:t>（一）城市地铁、隧道等地下交通干线、交通综合枢纽符合人防工程防护规范及标准；（二）除单建人防工程外的其他独立开发的地下空间项目，修建不低于地下总建筑面积</w:t>
            </w:r>
            <w:r>
              <w:rPr>
                <w:color w:val="000000"/>
                <w:kern w:val="0"/>
                <w:szCs w:val="21"/>
                <w:lang w:bidi="ar"/>
              </w:rPr>
              <w:t>40%</w:t>
            </w:r>
            <w:r>
              <w:rPr>
                <w:rFonts w:hAnsi="宋体"/>
                <w:color w:val="000000"/>
                <w:kern w:val="0"/>
                <w:szCs w:val="21"/>
                <w:lang w:bidi="ar"/>
              </w:rPr>
              <w:t>的人防工程。人防主管部门参与城市地下空间开发项目的审查。</w:t>
            </w:r>
          </w:p>
        </w:tc>
        <w:tc>
          <w:tcPr>
            <w:tcW w:w="411" w:type="dxa"/>
            <w:noWrap/>
            <w:tcMar>
              <w:left w:w="51" w:type="dxa"/>
              <w:right w:w="51" w:type="dxa"/>
            </w:tcMar>
            <w:vAlign w:val="center"/>
          </w:tcPr>
          <w:p w14:paraId="27ECD29C">
            <w:pPr>
              <w:widowControl/>
              <w:jc w:val="left"/>
              <w:rPr>
                <w:color w:val="000000"/>
                <w:kern w:val="0"/>
                <w:szCs w:val="21"/>
              </w:rPr>
            </w:pPr>
          </w:p>
        </w:tc>
      </w:tr>
      <w:tr w14:paraId="6B7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jc w:val="center"/>
        </w:trPr>
        <w:tc>
          <w:tcPr>
            <w:tcW w:w="417" w:type="dxa"/>
            <w:noWrap w:val="0"/>
            <w:tcMar>
              <w:left w:w="51" w:type="dxa"/>
              <w:right w:w="51" w:type="dxa"/>
            </w:tcMar>
            <w:vAlign w:val="center"/>
          </w:tcPr>
          <w:p w14:paraId="76DF0B5A">
            <w:pPr>
              <w:widowControl/>
              <w:jc w:val="center"/>
              <w:rPr>
                <w:color w:val="000000"/>
                <w:szCs w:val="21"/>
              </w:rPr>
            </w:pPr>
            <w:r>
              <w:rPr>
                <w:rFonts w:hint="eastAsia"/>
                <w:color w:val="000000"/>
                <w:szCs w:val="21"/>
                <w:lang w:val="en-US" w:eastAsia="zh-CN"/>
              </w:rPr>
              <w:t>2</w:t>
            </w:r>
            <w:r>
              <w:rPr>
                <w:color w:val="000000"/>
                <w:szCs w:val="21"/>
              </w:rPr>
              <w:t>1</w:t>
            </w:r>
          </w:p>
        </w:tc>
        <w:tc>
          <w:tcPr>
            <w:tcW w:w="1834" w:type="dxa"/>
            <w:noWrap w:val="0"/>
            <w:tcMar>
              <w:left w:w="51" w:type="dxa"/>
              <w:right w:w="51" w:type="dxa"/>
            </w:tcMar>
            <w:vAlign w:val="center"/>
          </w:tcPr>
          <w:p w14:paraId="2B18A229">
            <w:pPr>
              <w:widowControl/>
              <w:jc w:val="left"/>
              <w:textAlignment w:val="center"/>
              <w:rPr>
                <w:color w:val="000000"/>
                <w:kern w:val="0"/>
                <w:szCs w:val="21"/>
              </w:rPr>
            </w:pPr>
            <w:r>
              <w:rPr>
                <w:rFonts w:hAnsi="宋体"/>
                <w:color w:val="000000"/>
                <w:kern w:val="0"/>
                <w:szCs w:val="21"/>
                <w:lang w:bidi="ar"/>
              </w:rPr>
              <w:t>新建民用建筑防空地下室竣工验收认可</w:t>
            </w:r>
          </w:p>
        </w:tc>
        <w:tc>
          <w:tcPr>
            <w:tcW w:w="706" w:type="dxa"/>
            <w:noWrap w:val="0"/>
            <w:tcMar>
              <w:left w:w="51" w:type="dxa"/>
              <w:right w:w="51" w:type="dxa"/>
            </w:tcMar>
            <w:vAlign w:val="center"/>
          </w:tcPr>
          <w:p w14:paraId="77E31A91">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3A2128B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2A274B8">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2089C26D">
            <w:pPr>
              <w:widowControl/>
              <w:spacing w:line="300" w:lineRule="exact"/>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br w:type="textWrapping"/>
            </w:r>
            <w:r>
              <w:rPr>
                <w:color w:val="000000"/>
                <w:kern w:val="0"/>
                <w:szCs w:val="21"/>
                <w:lang w:bidi="ar"/>
              </w:rPr>
              <w:t xml:space="preserve"> </w:t>
            </w:r>
            <w:r>
              <w:rPr>
                <w:b/>
                <w:bCs/>
                <w:color w:val="000000"/>
                <w:kern w:val="0"/>
                <w:szCs w:val="21"/>
                <w:lang w:bidi="ar"/>
              </w:rPr>
              <w:t>2.</w:t>
            </w:r>
            <w:r>
              <w:rPr>
                <w:rFonts w:hAnsi="宋体"/>
                <w:b/>
                <w:bCs/>
                <w:color w:val="000000"/>
                <w:kern w:val="0"/>
                <w:szCs w:val="21"/>
                <w:lang w:bidi="ar"/>
              </w:rPr>
              <w:t>《关于加强人民防空工作的决定》（中发〔</w:t>
            </w:r>
            <w:r>
              <w:rPr>
                <w:b/>
                <w:bCs/>
                <w:color w:val="000000"/>
                <w:kern w:val="0"/>
                <w:szCs w:val="21"/>
                <w:lang w:bidi="ar"/>
              </w:rPr>
              <w:t>2001</w:t>
            </w:r>
            <w:r>
              <w:rPr>
                <w:rFonts w:hAnsi="宋体"/>
                <w:b/>
                <w:bCs/>
                <w:color w:val="000000"/>
                <w:kern w:val="0"/>
                <w:szCs w:val="21"/>
                <w:lang w:bidi="ar"/>
              </w:rPr>
              <w:t>〕</w:t>
            </w:r>
            <w:r>
              <w:rPr>
                <w:b/>
                <w:bCs/>
                <w:color w:val="000000"/>
                <w:kern w:val="0"/>
                <w:szCs w:val="21"/>
                <w:lang w:bidi="ar"/>
              </w:rPr>
              <w:t>9</w:t>
            </w:r>
            <w:r>
              <w:rPr>
                <w:rFonts w:hAnsi="宋体"/>
                <w:b/>
                <w:bCs/>
                <w:color w:val="000000"/>
                <w:kern w:val="0"/>
                <w:szCs w:val="21"/>
                <w:lang w:bidi="ar"/>
              </w:rPr>
              <w:t>号）第</w:t>
            </w:r>
            <w:r>
              <w:rPr>
                <w:b/>
                <w:bCs/>
                <w:color w:val="000000"/>
                <w:kern w:val="0"/>
                <w:szCs w:val="21"/>
                <w:lang w:bidi="ar"/>
              </w:rPr>
              <w:t>9</w:t>
            </w:r>
            <w:r>
              <w:rPr>
                <w:rFonts w:hAnsi="宋体"/>
                <w:b/>
                <w:bCs/>
                <w:color w:val="000000"/>
                <w:kern w:val="0"/>
                <w:szCs w:val="21"/>
                <w:lang w:bidi="ar"/>
              </w:rPr>
              <w:t>条</w:t>
            </w:r>
            <w:r>
              <w:rPr>
                <w:color w:val="000000"/>
                <w:kern w:val="0"/>
                <w:szCs w:val="21"/>
                <w:lang w:bidi="ar"/>
              </w:rPr>
              <w:t xml:space="preserve"> </w:t>
            </w:r>
            <w:r>
              <w:rPr>
                <w:rFonts w:hAnsi="宋体"/>
                <w:color w:val="000000"/>
                <w:kern w:val="0"/>
                <w:szCs w:val="21"/>
                <w:lang w:bidi="ar"/>
              </w:rPr>
              <w:t>城市及城市规划区内的新建民用建筑，必须依法同步建设防空地下室。人民防空</w:t>
            </w:r>
            <w:r>
              <w:rPr>
                <w:color w:val="000000"/>
                <w:kern w:val="0"/>
                <w:szCs w:val="21"/>
                <w:lang w:bidi="ar"/>
              </w:rPr>
              <w:t xml:space="preserve"> </w:t>
            </w:r>
            <w:r>
              <w:rPr>
                <w:rFonts w:hAnsi="宋体"/>
                <w:color w:val="000000"/>
                <w:kern w:val="0"/>
                <w:szCs w:val="21"/>
                <w:lang w:bidi="ar"/>
              </w:rPr>
              <w:t>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w:t>
            </w:r>
            <w:r>
              <w:rPr>
                <w:color w:val="000000"/>
                <w:kern w:val="0"/>
                <w:szCs w:val="21"/>
                <w:lang w:bidi="ar"/>
              </w:rPr>
              <w:t xml:space="preserve"> </w:t>
            </w:r>
            <w:r>
              <w:rPr>
                <w:rFonts w:hAnsi="宋体"/>
                <w:color w:val="000000"/>
                <w:kern w:val="0"/>
                <w:szCs w:val="21"/>
                <w:lang w:bidi="ar"/>
              </w:rPr>
              <w:t>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办法》第十九条</w:t>
            </w:r>
            <w:r>
              <w:rPr>
                <w:color w:val="000000"/>
                <w:kern w:val="0"/>
                <w:szCs w:val="21"/>
                <w:lang w:bidi="ar"/>
              </w:rPr>
              <w:t xml:space="preserve"> </w:t>
            </w:r>
            <w:r>
              <w:rPr>
                <w:rFonts w:hAnsi="宋体"/>
                <w:color w:val="000000"/>
                <w:kern w:val="0"/>
                <w:szCs w:val="21"/>
                <w:lang w:bidi="ar"/>
              </w:rPr>
              <w:t>人民防空主管部门负责防空地下室人民防空防护部分的工程质量监督管理。</w:t>
            </w:r>
            <w:r>
              <w:rPr>
                <w:color w:val="000000"/>
                <w:kern w:val="0"/>
                <w:szCs w:val="21"/>
                <w:lang w:bidi="ar"/>
              </w:rPr>
              <w:br w:type="textWrapping"/>
            </w:r>
            <w:r>
              <w:rPr>
                <w:rFonts w:hAnsi="宋体"/>
                <w:color w:val="000000"/>
                <w:kern w:val="0"/>
                <w:szCs w:val="21"/>
                <w:lang w:bidi="ar"/>
              </w:rPr>
              <w:t>防空地下室竣工验收后，建设单位应当取得人民防空主管部门的认可文件；未取得认可文件的，住房和城乡建设主管部门不得办理工程竣工验收备案手续，房产管理部门不得办理房屋权属登记、发放房屋所有权证书。</w:t>
            </w:r>
          </w:p>
        </w:tc>
        <w:tc>
          <w:tcPr>
            <w:tcW w:w="411" w:type="dxa"/>
            <w:noWrap/>
            <w:tcMar>
              <w:left w:w="51" w:type="dxa"/>
              <w:right w:w="51" w:type="dxa"/>
            </w:tcMar>
            <w:vAlign w:val="center"/>
          </w:tcPr>
          <w:p w14:paraId="057C7613">
            <w:pPr>
              <w:widowControl/>
              <w:jc w:val="left"/>
              <w:rPr>
                <w:color w:val="000000"/>
                <w:kern w:val="0"/>
                <w:szCs w:val="21"/>
              </w:rPr>
            </w:pPr>
          </w:p>
        </w:tc>
      </w:tr>
      <w:tr w14:paraId="6EE8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417" w:type="dxa"/>
            <w:noWrap w:val="0"/>
            <w:tcMar>
              <w:left w:w="51" w:type="dxa"/>
              <w:right w:w="51" w:type="dxa"/>
            </w:tcMar>
            <w:vAlign w:val="center"/>
          </w:tcPr>
          <w:p w14:paraId="6E559001">
            <w:pPr>
              <w:widowControl/>
              <w:jc w:val="center"/>
              <w:rPr>
                <w:color w:val="000000"/>
                <w:szCs w:val="21"/>
              </w:rPr>
            </w:pPr>
            <w:r>
              <w:rPr>
                <w:rFonts w:hint="eastAsia"/>
                <w:color w:val="000000"/>
                <w:szCs w:val="21"/>
                <w:lang w:val="en-US" w:eastAsia="zh-CN"/>
              </w:rPr>
              <w:t>2</w:t>
            </w:r>
            <w:r>
              <w:rPr>
                <w:color w:val="000000"/>
                <w:szCs w:val="21"/>
              </w:rPr>
              <w:t>2</w:t>
            </w:r>
          </w:p>
        </w:tc>
        <w:tc>
          <w:tcPr>
            <w:tcW w:w="1834" w:type="dxa"/>
            <w:noWrap w:val="0"/>
            <w:tcMar>
              <w:left w:w="51" w:type="dxa"/>
              <w:right w:w="51" w:type="dxa"/>
            </w:tcMar>
            <w:vAlign w:val="center"/>
          </w:tcPr>
          <w:p w14:paraId="282200B4">
            <w:pPr>
              <w:widowControl/>
              <w:jc w:val="left"/>
              <w:textAlignment w:val="center"/>
              <w:rPr>
                <w:color w:val="000000"/>
                <w:kern w:val="0"/>
                <w:szCs w:val="21"/>
              </w:rPr>
            </w:pPr>
            <w:r>
              <w:rPr>
                <w:rFonts w:hAnsi="宋体"/>
                <w:color w:val="000000"/>
                <w:kern w:val="0"/>
                <w:szCs w:val="21"/>
                <w:lang w:bidi="ar"/>
              </w:rPr>
              <w:t>新建民用建筑防空地下室的档案备案</w:t>
            </w:r>
          </w:p>
        </w:tc>
        <w:tc>
          <w:tcPr>
            <w:tcW w:w="706" w:type="dxa"/>
            <w:noWrap w:val="0"/>
            <w:tcMar>
              <w:left w:w="51" w:type="dxa"/>
              <w:right w:w="51" w:type="dxa"/>
            </w:tcMar>
            <w:vAlign w:val="center"/>
          </w:tcPr>
          <w:p w14:paraId="606EEB05">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7DF5F31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9F40D5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4A0BACF6">
            <w:pPr>
              <w:widowControl/>
              <w:spacing w:line="300" w:lineRule="exact"/>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《关于加强人民防空工作的决定》（中发〔</w:t>
            </w:r>
            <w:r>
              <w:rPr>
                <w:b/>
                <w:bCs/>
                <w:color w:val="000000"/>
                <w:kern w:val="0"/>
                <w:szCs w:val="21"/>
                <w:lang w:bidi="ar"/>
              </w:rPr>
              <w:t>2001</w:t>
            </w:r>
            <w:r>
              <w:rPr>
                <w:rFonts w:hAnsi="宋体"/>
                <w:b/>
                <w:bCs/>
                <w:color w:val="000000"/>
                <w:kern w:val="0"/>
                <w:szCs w:val="21"/>
                <w:lang w:bidi="ar"/>
              </w:rPr>
              <w:t>〕</w:t>
            </w:r>
            <w:r>
              <w:rPr>
                <w:b/>
                <w:bCs/>
                <w:color w:val="000000"/>
                <w:kern w:val="0"/>
                <w:szCs w:val="21"/>
                <w:lang w:bidi="ar"/>
              </w:rPr>
              <w:t>9</w:t>
            </w:r>
            <w:r>
              <w:rPr>
                <w:rFonts w:hAnsi="宋体"/>
                <w:b/>
                <w:bCs/>
                <w:color w:val="000000"/>
                <w:kern w:val="0"/>
                <w:szCs w:val="21"/>
                <w:lang w:bidi="ar"/>
              </w:rPr>
              <w:t>号）第</w:t>
            </w:r>
            <w:r>
              <w:rPr>
                <w:b/>
                <w:bCs/>
                <w:color w:val="000000"/>
                <w:kern w:val="0"/>
                <w:szCs w:val="21"/>
                <w:lang w:bidi="ar"/>
              </w:rPr>
              <w:t>9</w:t>
            </w:r>
            <w:r>
              <w:rPr>
                <w:rFonts w:hAnsi="宋体"/>
                <w:b/>
                <w:bCs/>
                <w:color w:val="000000"/>
                <w:kern w:val="0"/>
                <w:szCs w:val="21"/>
                <w:lang w:bidi="ar"/>
              </w:rPr>
              <w:t>条</w:t>
            </w:r>
            <w:r>
              <w:rPr>
                <w:color w:val="000000"/>
                <w:kern w:val="0"/>
                <w:szCs w:val="21"/>
                <w:lang w:bidi="ar"/>
              </w:rPr>
              <w:t xml:space="preserve"> </w:t>
            </w:r>
            <w:r>
              <w:rPr>
                <w:rFonts w:hAnsi="宋体"/>
                <w:color w:val="000000"/>
                <w:kern w:val="0"/>
                <w:szCs w:val="21"/>
                <w:lang w:bidi="ar"/>
              </w:rPr>
              <w:t>城市及城市规划区内的新建民用建筑，必须依法同步建设防空地下室。人民防空</w:t>
            </w:r>
            <w:r>
              <w:rPr>
                <w:color w:val="000000"/>
                <w:kern w:val="0"/>
                <w:szCs w:val="21"/>
                <w:lang w:bidi="ar"/>
              </w:rPr>
              <w:t xml:space="preserve"> </w:t>
            </w:r>
            <w:r>
              <w:rPr>
                <w:rFonts w:hAnsi="宋体"/>
                <w:color w:val="000000"/>
                <w:kern w:val="0"/>
                <w:szCs w:val="21"/>
                <w:lang w:bidi="ar"/>
              </w:rPr>
              <w:t>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w:t>
            </w:r>
            <w:r>
              <w:rPr>
                <w:color w:val="000000"/>
                <w:kern w:val="0"/>
                <w:szCs w:val="21"/>
                <w:lang w:bidi="ar"/>
              </w:rPr>
              <w:t xml:space="preserve"> </w:t>
            </w:r>
            <w:r>
              <w:rPr>
                <w:rFonts w:hAnsi="宋体"/>
                <w:color w:val="000000"/>
                <w:kern w:val="0"/>
                <w:szCs w:val="21"/>
                <w:lang w:bidi="ar"/>
              </w:rPr>
              <w:t>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办法》第二十二条</w:t>
            </w:r>
            <w:r>
              <w:rPr>
                <w:color w:val="000000"/>
                <w:kern w:val="0"/>
                <w:szCs w:val="21"/>
                <w:lang w:bidi="ar"/>
              </w:rPr>
              <w:t xml:space="preserve"> </w:t>
            </w:r>
            <w:r>
              <w:rPr>
                <w:rFonts w:hAnsi="宋体"/>
                <w:color w:val="000000"/>
                <w:kern w:val="0"/>
                <w:szCs w:val="21"/>
                <w:lang w:bidi="ar"/>
              </w:rPr>
              <w:t>建设单位应当将人民防空工程档案报人民防空主管部门备案。</w:t>
            </w:r>
          </w:p>
        </w:tc>
        <w:tc>
          <w:tcPr>
            <w:tcW w:w="411" w:type="dxa"/>
            <w:noWrap/>
            <w:tcMar>
              <w:left w:w="51" w:type="dxa"/>
              <w:right w:w="51" w:type="dxa"/>
            </w:tcMar>
            <w:vAlign w:val="center"/>
          </w:tcPr>
          <w:p w14:paraId="371FEDB3">
            <w:pPr>
              <w:widowControl/>
              <w:jc w:val="left"/>
              <w:rPr>
                <w:color w:val="000000"/>
                <w:kern w:val="0"/>
                <w:szCs w:val="21"/>
              </w:rPr>
            </w:pPr>
          </w:p>
        </w:tc>
      </w:tr>
      <w:tr w14:paraId="52CE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417" w:type="dxa"/>
            <w:noWrap w:val="0"/>
            <w:tcMar>
              <w:left w:w="51" w:type="dxa"/>
              <w:right w:w="51" w:type="dxa"/>
            </w:tcMar>
            <w:vAlign w:val="center"/>
          </w:tcPr>
          <w:p w14:paraId="75250450">
            <w:pPr>
              <w:widowControl/>
              <w:jc w:val="center"/>
              <w:rPr>
                <w:color w:val="000000"/>
                <w:szCs w:val="21"/>
              </w:rPr>
            </w:pPr>
            <w:r>
              <w:rPr>
                <w:rFonts w:hint="eastAsia"/>
                <w:color w:val="000000"/>
                <w:szCs w:val="21"/>
                <w:lang w:val="en-US" w:eastAsia="zh-CN"/>
              </w:rPr>
              <w:t>2</w:t>
            </w:r>
            <w:r>
              <w:rPr>
                <w:color w:val="000000"/>
                <w:szCs w:val="21"/>
              </w:rPr>
              <w:t>3</w:t>
            </w:r>
          </w:p>
        </w:tc>
        <w:tc>
          <w:tcPr>
            <w:tcW w:w="1834" w:type="dxa"/>
            <w:noWrap w:val="0"/>
            <w:tcMar>
              <w:left w:w="51" w:type="dxa"/>
              <w:right w:w="51" w:type="dxa"/>
            </w:tcMar>
            <w:vAlign w:val="center"/>
          </w:tcPr>
          <w:p w14:paraId="382C9F70">
            <w:pPr>
              <w:widowControl/>
              <w:jc w:val="left"/>
              <w:textAlignment w:val="center"/>
              <w:rPr>
                <w:color w:val="000000"/>
                <w:kern w:val="0"/>
                <w:szCs w:val="21"/>
              </w:rPr>
            </w:pPr>
            <w:r>
              <w:rPr>
                <w:rFonts w:hAnsi="宋体"/>
                <w:color w:val="000000"/>
                <w:kern w:val="0"/>
                <w:szCs w:val="21"/>
                <w:lang w:bidi="ar"/>
              </w:rPr>
              <w:t>新建民用建筑防空地下室的报建审批</w:t>
            </w:r>
          </w:p>
        </w:tc>
        <w:tc>
          <w:tcPr>
            <w:tcW w:w="706" w:type="dxa"/>
            <w:noWrap w:val="0"/>
            <w:tcMar>
              <w:left w:w="51" w:type="dxa"/>
              <w:right w:w="51" w:type="dxa"/>
            </w:tcMar>
            <w:vAlign w:val="center"/>
          </w:tcPr>
          <w:p w14:paraId="38D6195D">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1E76A46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88C2BB8">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076C65FC">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《关于加强人民防空工作的决定》（中发〔</w:t>
            </w:r>
            <w:r>
              <w:rPr>
                <w:b/>
                <w:bCs/>
                <w:color w:val="000000"/>
                <w:kern w:val="0"/>
                <w:szCs w:val="21"/>
                <w:lang w:bidi="ar"/>
              </w:rPr>
              <w:t>2001</w:t>
            </w:r>
            <w:r>
              <w:rPr>
                <w:rFonts w:hAnsi="宋体"/>
                <w:b/>
                <w:bCs/>
                <w:color w:val="000000"/>
                <w:kern w:val="0"/>
                <w:szCs w:val="21"/>
                <w:lang w:bidi="ar"/>
              </w:rPr>
              <w:t>〕</w:t>
            </w:r>
            <w:r>
              <w:rPr>
                <w:b/>
                <w:bCs/>
                <w:color w:val="000000"/>
                <w:kern w:val="0"/>
                <w:szCs w:val="21"/>
                <w:lang w:bidi="ar"/>
              </w:rPr>
              <w:t>9</w:t>
            </w:r>
            <w:r>
              <w:rPr>
                <w:rFonts w:hAnsi="宋体"/>
                <w:b/>
                <w:bCs/>
                <w:color w:val="000000"/>
                <w:kern w:val="0"/>
                <w:szCs w:val="21"/>
                <w:lang w:bidi="ar"/>
              </w:rPr>
              <w:t>号）第</w:t>
            </w:r>
            <w:r>
              <w:rPr>
                <w:b/>
                <w:bCs/>
                <w:color w:val="000000"/>
                <w:kern w:val="0"/>
                <w:szCs w:val="21"/>
                <w:lang w:bidi="ar"/>
              </w:rPr>
              <w:t>9</w:t>
            </w:r>
            <w:r>
              <w:rPr>
                <w:rFonts w:hAnsi="宋体"/>
                <w:b/>
                <w:bCs/>
                <w:color w:val="000000"/>
                <w:kern w:val="0"/>
                <w:szCs w:val="21"/>
                <w:lang w:bidi="ar"/>
              </w:rPr>
              <w:t>条</w:t>
            </w:r>
            <w:r>
              <w:rPr>
                <w:color w:val="000000"/>
                <w:kern w:val="0"/>
                <w:szCs w:val="21"/>
                <w:lang w:bidi="ar"/>
              </w:rPr>
              <w:t xml:space="preserve"> </w:t>
            </w:r>
            <w:r>
              <w:rPr>
                <w:rFonts w:hAnsi="宋体"/>
                <w:color w:val="000000"/>
                <w:kern w:val="0"/>
                <w:szCs w:val="21"/>
                <w:lang w:bidi="ar"/>
              </w:rPr>
              <w:t>城市及城市规划区内的新建民用建筑，必须依法同步建设防空地下室。对应建防空地下室的建设项目，未经人民防空主管部门审核批准，建设、消防等部门不能办理相关手续。</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办法》第十四条</w:t>
            </w:r>
            <w:r>
              <w:rPr>
                <w:color w:val="000000"/>
                <w:kern w:val="0"/>
                <w:szCs w:val="21"/>
                <w:lang w:bidi="ar"/>
              </w:rPr>
              <w:t xml:space="preserve"> </w:t>
            </w:r>
            <w:r>
              <w:rPr>
                <w:rFonts w:hAnsi="宋体"/>
                <w:color w:val="000000"/>
                <w:kern w:val="0"/>
                <w:szCs w:val="21"/>
                <w:lang w:bidi="ar"/>
              </w:rPr>
              <w:t>城市新建民用建筑应当根据国家和省人民政府的有关规定，按照地面建筑面积的一定比例修建战时可用于防空的地下室</w:t>
            </w:r>
            <w:r>
              <w:rPr>
                <w:color w:val="000000"/>
                <w:kern w:val="0"/>
                <w:szCs w:val="21"/>
                <w:lang w:bidi="ar"/>
              </w:rPr>
              <w:t>(</w:t>
            </w:r>
            <w:r>
              <w:rPr>
                <w:rFonts w:hAnsi="宋体"/>
                <w:color w:val="000000"/>
                <w:kern w:val="0"/>
                <w:szCs w:val="21"/>
                <w:lang w:bidi="ar"/>
              </w:rPr>
              <w:t>以下简称防空地下室</w:t>
            </w:r>
            <w:r>
              <w:rPr>
                <w:color w:val="000000"/>
                <w:kern w:val="0"/>
                <w:szCs w:val="21"/>
                <w:lang w:bidi="ar"/>
              </w:rPr>
              <w:t>)</w:t>
            </w:r>
            <w:r>
              <w:rPr>
                <w:rFonts w:hAnsi="宋体"/>
                <w:color w:val="000000"/>
                <w:kern w:val="0"/>
                <w:szCs w:val="21"/>
                <w:lang w:bidi="ar"/>
              </w:rPr>
              <w:t>，并与地面建筑同步设计、施工，同时投入使用。</w:t>
            </w:r>
            <w:r>
              <w:rPr>
                <w:rFonts w:hAnsi="宋体"/>
                <w:b/>
                <w:bCs/>
                <w:color w:val="000000"/>
                <w:kern w:val="0"/>
                <w:szCs w:val="21"/>
                <w:lang w:bidi="ar"/>
              </w:rPr>
              <w:t>第十八条</w:t>
            </w:r>
            <w:r>
              <w:rPr>
                <w:b/>
                <w:bCs/>
                <w:color w:val="000000"/>
                <w:kern w:val="0"/>
                <w:szCs w:val="21"/>
                <w:lang w:bidi="ar"/>
              </w:rPr>
              <w:t> </w:t>
            </w:r>
            <w:r>
              <w:rPr>
                <w:rFonts w:hAnsi="宋体"/>
                <w:color w:val="000000"/>
                <w:kern w:val="0"/>
                <w:szCs w:val="21"/>
                <w:lang w:bidi="ar"/>
              </w:rPr>
              <w:t>人民防空主管部门参与应建防空地下室的民用建筑项目的报建联审，负责防空地下室人民防空部分除施工图设计文件以外的设计审查；未经审查或者审查不合格的，自然资源、住房和城乡建设主管部门不得核发建设工程许可证、施工许可证。</w:t>
            </w:r>
          </w:p>
        </w:tc>
        <w:tc>
          <w:tcPr>
            <w:tcW w:w="411" w:type="dxa"/>
            <w:noWrap/>
            <w:tcMar>
              <w:left w:w="51" w:type="dxa"/>
              <w:right w:w="51" w:type="dxa"/>
            </w:tcMar>
            <w:vAlign w:val="center"/>
          </w:tcPr>
          <w:p w14:paraId="3E8A2421">
            <w:pPr>
              <w:widowControl/>
              <w:jc w:val="left"/>
              <w:rPr>
                <w:color w:val="000000"/>
                <w:kern w:val="0"/>
                <w:szCs w:val="21"/>
              </w:rPr>
            </w:pPr>
          </w:p>
        </w:tc>
      </w:tr>
      <w:tr w14:paraId="0160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jc w:val="center"/>
        </w:trPr>
        <w:tc>
          <w:tcPr>
            <w:tcW w:w="417" w:type="dxa"/>
            <w:noWrap w:val="0"/>
            <w:tcMar>
              <w:left w:w="51" w:type="dxa"/>
              <w:right w:w="51" w:type="dxa"/>
            </w:tcMar>
            <w:vAlign w:val="center"/>
          </w:tcPr>
          <w:p w14:paraId="2E324BD4">
            <w:pPr>
              <w:widowControl/>
              <w:jc w:val="center"/>
              <w:rPr>
                <w:color w:val="000000"/>
                <w:szCs w:val="21"/>
              </w:rPr>
            </w:pPr>
            <w:r>
              <w:rPr>
                <w:rFonts w:hint="eastAsia"/>
                <w:color w:val="000000"/>
                <w:szCs w:val="21"/>
                <w:lang w:val="en-US" w:eastAsia="zh-CN"/>
              </w:rPr>
              <w:t>2</w:t>
            </w:r>
            <w:r>
              <w:rPr>
                <w:color w:val="000000"/>
                <w:szCs w:val="21"/>
              </w:rPr>
              <w:t>4</w:t>
            </w:r>
          </w:p>
        </w:tc>
        <w:tc>
          <w:tcPr>
            <w:tcW w:w="1834" w:type="dxa"/>
            <w:noWrap w:val="0"/>
            <w:tcMar>
              <w:left w:w="51" w:type="dxa"/>
              <w:right w:w="51" w:type="dxa"/>
            </w:tcMar>
            <w:vAlign w:val="center"/>
          </w:tcPr>
          <w:p w14:paraId="043D900A">
            <w:pPr>
              <w:widowControl/>
              <w:jc w:val="left"/>
              <w:textAlignment w:val="center"/>
              <w:rPr>
                <w:color w:val="000000"/>
                <w:kern w:val="0"/>
                <w:szCs w:val="21"/>
              </w:rPr>
            </w:pPr>
            <w:r>
              <w:rPr>
                <w:rFonts w:hAnsi="宋体"/>
                <w:color w:val="000000"/>
                <w:kern w:val="0"/>
                <w:szCs w:val="21"/>
                <w:lang w:bidi="ar"/>
              </w:rPr>
              <w:t>新建民用建筑防空地下室的施工图设计重大变更备案</w:t>
            </w:r>
          </w:p>
        </w:tc>
        <w:tc>
          <w:tcPr>
            <w:tcW w:w="706" w:type="dxa"/>
            <w:noWrap w:val="0"/>
            <w:tcMar>
              <w:left w:w="51" w:type="dxa"/>
              <w:right w:w="51" w:type="dxa"/>
            </w:tcMar>
            <w:vAlign w:val="center"/>
          </w:tcPr>
          <w:p w14:paraId="458A26B6">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28D37D87">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451F80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7DBCF3D">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《关于加强人民防空工作的决定》（中发〔</w:t>
            </w:r>
            <w:r>
              <w:rPr>
                <w:b/>
                <w:bCs/>
                <w:color w:val="000000"/>
                <w:kern w:val="0"/>
                <w:szCs w:val="21"/>
                <w:lang w:bidi="ar"/>
              </w:rPr>
              <w:t>2001</w:t>
            </w:r>
            <w:r>
              <w:rPr>
                <w:rFonts w:hAnsi="宋体"/>
                <w:b/>
                <w:bCs/>
                <w:color w:val="000000"/>
                <w:kern w:val="0"/>
                <w:szCs w:val="21"/>
                <w:lang w:bidi="ar"/>
              </w:rPr>
              <w:t>〕</w:t>
            </w:r>
            <w:r>
              <w:rPr>
                <w:b/>
                <w:bCs/>
                <w:color w:val="000000"/>
                <w:kern w:val="0"/>
                <w:szCs w:val="21"/>
                <w:lang w:bidi="ar"/>
              </w:rPr>
              <w:t>9</w:t>
            </w:r>
            <w:r>
              <w:rPr>
                <w:rFonts w:hAnsi="宋体"/>
                <w:b/>
                <w:bCs/>
                <w:color w:val="000000"/>
                <w:kern w:val="0"/>
                <w:szCs w:val="21"/>
                <w:lang w:bidi="ar"/>
              </w:rPr>
              <w:t>号）第</w:t>
            </w:r>
            <w:r>
              <w:rPr>
                <w:b/>
                <w:bCs/>
                <w:color w:val="000000"/>
                <w:kern w:val="0"/>
                <w:szCs w:val="21"/>
                <w:lang w:bidi="ar"/>
              </w:rPr>
              <w:t>9</w:t>
            </w:r>
            <w:r>
              <w:rPr>
                <w:rFonts w:hAnsi="宋体"/>
                <w:b/>
                <w:bCs/>
                <w:color w:val="000000"/>
                <w:kern w:val="0"/>
                <w:szCs w:val="21"/>
                <w:lang w:bidi="ar"/>
              </w:rPr>
              <w:t>条</w:t>
            </w:r>
            <w:r>
              <w:rPr>
                <w:color w:val="000000"/>
                <w:kern w:val="0"/>
                <w:szCs w:val="21"/>
                <w:lang w:bidi="ar"/>
              </w:rPr>
              <w:t xml:space="preserve"> </w:t>
            </w:r>
            <w:r>
              <w:rPr>
                <w:rFonts w:hAnsi="宋体"/>
                <w:color w:val="000000"/>
                <w:kern w:val="0"/>
                <w:szCs w:val="21"/>
                <w:lang w:bidi="ar"/>
              </w:rPr>
              <w:t>城市及城市规划区内的新建民用建筑，必须依法同步建设防空地下室。人民防空</w:t>
            </w:r>
            <w:r>
              <w:rPr>
                <w:color w:val="000000"/>
                <w:kern w:val="0"/>
                <w:szCs w:val="21"/>
                <w:lang w:bidi="ar"/>
              </w:rPr>
              <w:t xml:space="preserve"> </w:t>
            </w:r>
            <w:r>
              <w:rPr>
                <w:rFonts w:hAnsi="宋体"/>
                <w:color w:val="000000"/>
                <w:kern w:val="0"/>
                <w:szCs w:val="21"/>
                <w:lang w:bidi="ar"/>
              </w:rPr>
              <w:t>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w:t>
            </w:r>
            <w:r>
              <w:rPr>
                <w:color w:val="000000"/>
                <w:kern w:val="0"/>
                <w:szCs w:val="21"/>
                <w:lang w:bidi="ar"/>
              </w:rPr>
              <w:t xml:space="preserve"> </w:t>
            </w:r>
            <w:r>
              <w:rPr>
                <w:rFonts w:hAnsi="宋体"/>
                <w:color w:val="000000"/>
                <w:kern w:val="0"/>
                <w:szCs w:val="21"/>
                <w:lang w:bidi="ar"/>
              </w:rPr>
              <w:t>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《湖南省人民防空工程建设与维护管理规定》第九条</w:t>
            </w:r>
            <w:r>
              <w:rPr>
                <w:color w:val="000000"/>
                <w:kern w:val="0"/>
                <w:szCs w:val="21"/>
                <w:lang w:bidi="ar"/>
              </w:rPr>
              <w:t xml:space="preserve"> </w:t>
            </w:r>
            <w:r>
              <w:rPr>
                <w:rFonts w:hAnsi="宋体"/>
                <w:color w:val="000000"/>
                <w:kern w:val="0"/>
                <w:szCs w:val="21"/>
                <w:lang w:bidi="ar"/>
              </w:rPr>
              <w:t>人防工程施工图不得擅自修改，确需修改的，应当经原勘察、设计单位变更设计，或者经原勘察、设计单位书面同意，由建设单位委托其他具有相应资质的勘察、设计单位修改；需要作重大修改的，还应当由施工图审查机构审查合格后，报人防主管部门备案。</w:t>
            </w:r>
          </w:p>
        </w:tc>
        <w:tc>
          <w:tcPr>
            <w:tcW w:w="411" w:type="dxa"/>
            <w:noWrap/>
            <w:tcMar>
              <w:left w:w="51" w:type="dxa"/>
              <w:right w:w="51" w:type="dxa"/>
            </w:tcMar>
            <w:vAlign w:val="center"/>
          </w:tcPr>
          <w:p w14:paraId="391268CF">
            <w:pPr>
              <w:widowControl/>
              <w:jc w:val="left"/>
              <w:rPr>
                <w:color w:val="000000"/>
                <w:kern w:val="0"/>
                <w:szCs w:val="21"/>
              </w:rPr>
            </w:pPr>
          </w:p>
        </w:tc>
      </w:tr>
      <w:tr w14:paraId="48EC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17" w:type="dxa"/>
            <w:noWrap w:val="0"/>
            <w:tcMar>
              <w:left w:w="51" w:type="dxa"/>
              <w:right w:w="51" w:type="dxa"/>
            </w:tcMar>
            <w:vAlign w:val="center"/>
          </w:tcPr>
          <w:p w14:paraId="7A95AF97">
            <w:pPr>
              <w:widowControl/>
              <w:jc w:val="center"/>
              <w:rPr>
                <w:color w:val="000000"/>
                <w:szCs w:val="21"/>
              </w:rPr>
            </w:pPr>
            <w:r>
              <w:rPr>
                <w:rFonts w:hint="eastAsia"/>
                <w:color w:val="000000"/>
                <w:szCs w:val="21"/>
                <w:lang w:val="en-US" w:eastAsia="zh-CN"/>
              </w:rPr>
              <w:t>2</w:t>
            </w:r>
            <w:r>
              <w:rPr>
                <w:color w:val="000000"/>
                <w:szCs w:val="21"/>
              </w:rPr>
              <w:t>5</w:t>
            </w:r>
          </w:p>
        </w:tc>
        <w:tc>
          <w:tcPr>
            <w:tcW w:w="1834" w:type="dxa"/>
            <w:noWrap w:val="0"/>
            <w:tcMar>
              <w:left w:w="51" w:type="dxa"/>
              <w:right w:w="51" w:type="dxa"/>
            </w:tcMar>
            <w:vAlign w:val="center"/>
          </w:tcPr>
          <w:p w14:paraId="151FCFED">
            <w:pPr>
              <w:widowControl/>
              <w:jc w:val="left"/>
              <w:textAlignment w:val="center"/>
              <w:rPr>
                <w:color w:val="000000"/>
                <w:kern w:val="0"/>
                <w:szCs w:val="21"/>
              </w:rPr>
            </w:pPr>
            <w:r>
              <w:rPr>
                <w:rFonts w:hAnsi="宋体"/>
                <w:color w:val="000000"/>
                <w:kern w:val="0"/>
                <w:szCs w:val="21"/>
                <w:lang w:bidi="ar"/>
              </w:rPr>
              <w:t>办理新建民用建筑防空地下室的质量监督手续</w:t>
            </w:r>
          </w:p>
        </w:tc>
        <w:tc>
          <w:tcPr>
            <w:tcW w:w="706" w:type="dxa"/>
            <w:noWrap w:val="0"/>
            <w:tcMar>
              <w:left w:w="51" w:type="dxa"/>
              <w:right w:w="51" w:type="dxa"/>
            </w:tcMar>
            <w:vAlign w:val="center"/>
          </w:tcPr>
          <w:p w14:paraId="2AEDE2F8">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7738A4A8">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5313F1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540C239">
            <w:pPr>
              <w:widowControl/>
              <w:spacing w:line="300" w:lineRule="exact"/>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t xml:space="preserve"> </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《关于加强人民防空工作的决定》（中发〔</w:t>
            </w:r>
            <w:r>
              <w:rPr>
                <w:b/>
                <w:bCs/>
                <w:color w:val="000000"/>
                <w:kern w:val="0"/>
                <w:szCs w:val="21"/>
                <w:lang w:bidi="ar"/>
              </w:rPr>
              <w:t>2001</w:t>
            </w:r>
            <w:r>
              <w:rPr>
                <w:rFonts w:hAnsi="宋体"/>
                <w:b/>
                <w:bCs/>
                <w:color w:val="000000"/>
                <w:kern w:val="0"/>
                <w:szCs w:val="21"/>
                <w:lang w:bidi="ar"/>
              </w:rPr>
              <w:t>〕</w:t>
            </w:r>
            <w:r>
              <w:rPr>
                <w:b/>
                <w:bCs/>
                <w:color w:val="000000"/>
                <w:kern w:val="0"/>
                <w:szCs w:val="21"/>
                <w:lang w:bidi="ar"/>
              </w:rPr>
              <w:t>9</w:t>
            </w:r>
            <w:r>
              <w:rPr>
                <w:rFonts w:hAnsi="宋体"/>
                <w:b/>
                <w:bCs/>
                <w:color w:val="000000"/>
                <w:kern w:val="0"/>
                <w:szCs w:val="21"/>
                <w:lang w:bidi="ar"/>
              </w:rPr>
              <w:t>号）第</w:t>
            </w:r>
            <w:r>
              <w:rPr>
                <w:b/>
                <w:bCs/>
                <w:color w:val="000000"/>
                <w:kern w:val="0"/>
                <w:szCs w:val="21"/>
                <w:lang w:bidi="ar"/>
              </w:rPr>
              <w:t>9</w:t>
            </w:r>
            <w:r>
              <w:rPr>
                <w:rFonts w:hAnsi="宋体"/>
                <w:b/>
                <w:bCs/>
                <w:color w:val="000000"/>
                <w:kern w:val="0"/>
                <w:szCs w:val="21"/>
                <w:lang w:bidi="ar"/>
              </w:rPr>
              <w:t>条</w:t>
            </w:r>
            <w:r>
              <w:rPr>
                <w:b/>
                <w:bCs/>
                <w:color w:val="000000"/>
                <w:kern w:val="0"/>
                <w:szCs w:val="21"/>
                <w:lang w:bidi="ar"/>
              </w:rPr>
              <w:t xml:space="preserve"> </w:t>
            </w:r>
            <w:r>
              <w:rPr>
                <w:rFonts w:hAnsi="宋体"/>
                <w:color w:val="000000"/>
                <w:kern w:val="0"/>
                <w:szCs w:val="21"/>
                <w:lang w:bidi="ar"/>
              </w:rPr>
              <w:t>城市及城市规划区内的新建民用建筑，必须依法同步建设防空地下室。人民防空</w:t>
            </w:r>
            <w:r>
              <w:rPr>
                <w:color w:val="000000"/>
                <w:kern w:val="0"/>
                <w:szCs w:val="21"/>
                <w:lang w:bidi="ar"/>
              </w:rPr>
              <w:t xml:space="preserve"> </w:t>
            </w:r>
            <w:r>
              <w:rPr>
                <w:rFonts w:hAnsi="宋体"/>
                <w:color w:val="000000"/>
                <w:kern w:val="0"/>
                <w:szCs w:val="21"/>
                <w:lang w:bidi="ar"/>
              </w:rPr>
              <w:t>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w:t>
            </w:r>
            <w:r>
              <w:rPr>
                <w:color w:val="000000"/>
                <w:kern w:val="0"/>
                <w:szCs w:val="21"/>
                <w:lang w:bidi="ar"/>
              </w:rPr>
              <w:t xml:space="preserve"> </w:t>
            </w:r>
            <w:r>
              <w:rPr>
                <w:rFonts w:hAnsi="宋体"/>
                <w:color w:val="000000"/>
                <w:kern w:val="0"/>
                <w:szCs w:val="21"/>
                <w:lang w:bidi="ar"/>
              </w:rPr>
              <w:t>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《湖南省实施</w:t>
            </w:r>
            <w:r>
              <w:rPr>
                <w:b/>
                <w:bCs/>
                <w:color w:val="000000"/>
                <w:kern w:val="0"/>
                <w:szCs w:val="21"/>
                <w:lang w:bidi="ar"/>
              </w:rPr>
              <w:t>&lt;</w:t>
            </w:r>
            <w:r>
              <w:rPr>
                <w:rFonts w:hAnsi="宋体"/>
                <w:b/>
                <w:bCs/>
                <w:color w:val="000000"/>
                <w:kern w:val="0"/>
                <w:szCs w:val="21"/>
                <w:lang w:bidi="ar"/>
              </w:rPr>
              <w:t>中华人民共和国人民防空法</w:t>
            </w:r>
            <w:r>
              <w:rPr>
                <w:b/>
                <w:bCs/>
                <w:color w:val="000000"/>
                <w:kern w:val="0"/>
                <w:szCs w:val="21"/>
                <w:lang w:bidi="ar"/>
              </w:rPr>
              <w:t>&gt;</w:t>
            </w:r>
            <w:r>
              <w:rPr>
                <w:rFonts w:hAnsi="宋体"/>
                <w:b/>
                <w:bCs/>
                <w:color w:val="000000"/>
                <w:kern w:val="0"/>
                <w:szCs w:val="21"/>
                <w:lang w:bidi="ar"/>
              </w:rPr>
              <w:t>办法》第十九条</w:t>
            </w:r>
            <w:r>
              <w:rPr>
                <w:color w:val="000000"/>
                <w:kern w:val="0"/>
                <w:szCs w:val="21"/>
                <w:lang w:bidi="ar"/>
              </w:rPr>
              <w:t xml:space="preserve"> </w:t>
            </w:r>
            <w:r>
              <w:rPr>
                <w:rFonts w:hAnsi="宋体"/>
                <w:color w:val="000000"/>
                <w:kern w:val="0"/>
                <w:szCs w:val="21"/>
                <w:lang w:bidi="ar"/>
              </w:rPr>
              <w:t>人民防空主管部门负责防空地下室人民防空防护部分的工程质量监督管理。</w:t>
            </w:r>
          </w:p>
        </w:tc>
        <w:tc>
          <w:tcPr>
            <w:tcW w:w="411" w:type="dxa"/>
            <w:noWrap/>
            <w:tcMar>
              <w:left w:w="51" w:type="dxa"/>
              <w:right w:w="51" w:type="dxa"/>
            </w:tcMar>
            <w:vAlign w:val="center"/>
          </w:tcPr>
          <w:p w14:paraId="0E3D195D">
            <w:pPr>
              <w:widowControl/>
              <w:jc w:val="left"/>
              <w:rPr>
                <w:color w:val="000000"/>
                <w:kern w:val="0"/>
                <w:szCs w:val="21"/>
              </w:rPr>
            </w:pPr>
          </w:p>
        </w:tc>
      </w:tr>
      <w:tr w14:paraId="257C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7" w:type="dxa"/>
            <w:noWrap w:val="0"/>
            <w:tcMar>
              <w:left w:w="51" w:type="dxa"/>
              <w:right w:w="51" w:type="dxa"/>
            </w:tcMar>
            <w:vAlign w:val="center"/>
          </w:tcPr>
          <w:p w14:paraId="62312737">
            <w:pPr>
              <w:widowControl/>
              <w:jc w:val="center"/>
              <w:rPr>
                <w:color w:val="000000"/>
                <w:szCs w:val="21"/>
              </w:rPr>
            </w:pPr>
            <w:r>
              <w:rPr>
                <w:rFonts w:hint="eastAsia"/>
                <w:color w:val="000000"/>
                <w:szCs w:val="21"/>
                <w:lang w:val="en-US" w:eastAsia="zh-CN"/>
              </w:rPr>
              <w:t>2</w:t>
            </w:r>
            <w:r>
              <w:rPr>
                <w:color w:val="000000"/>
                <w:szCs w:val="21"/>
              </w:rPr>
              <w:t>6</w:t>
            </w:r>
          </w:p>
        </w:tc>
        <w:tc>
          <w:tcPr>
            <w:tcW w:w="1834" w:type="dxa"/>
            <w:noWrap w:val="0"/>
            <w:tcMar>
              <w:left w:w="51" w:type="dxa"/>
              <w:right w:w="51" w:type="dxa"/>
            </w:tcMar>
            <w:vAlign w:val="center"/>
          </w:tcPr>
          <w:p w14:paraId="31BE7497">
            <w:pPr>
              <w:widowControl/>
              <w:jc w:val="left"/>
              <w:textAlignment w:val="center"/>
              <w:rPr>
                <w:color w:val="000000"/>
                <w:kern w:val="0"/>
                <w:szCs w:val="21"/>
              </w:rPr>
            </w:pPr>
            <w:r>
              <w:rPr>
                <w:rFonts w:hAnsi="宋体"/>
                <w:color w:val="000000"/>
                <w:kern w:val="0"/>
                <w:szCs w:val="21"/>
                <w:lang w:bidi="ar"/>
              </w:rPr>
              <w:t>新建民用建筑防空地下室易地建设审批</w:t>
            </w:r>
          </w:p>
        </w:tc>
        <w:tc>
          <w:tcPr>
            <w:tcW w:w="706" w:type="dxa"/>
            <w:noWrap w:val="0"/>
            <w:tcMar>
              <w:left w:w="51" w:type="dxa"/>
              <w:right w:w="51" w:type="dxa"/>
            </w:tcMar>
            <w:vAlign w:val="center"/>
          </w:tcPr>
          <w:p w14:paraId="609C8991">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3E83C1A7">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189039B">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35475D1">
            <w:pPr>
              <w:widowControl/>
              <w:spacing w:line="300" w:lineRule="exact"/>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《湖南省实施〈中华人民共和国人民防空法〉办法》第十五条</w:t>
            </w:r>
            <w:r>
              <w:rPr>
                <w:color w:val="000000"/>
                <w:kern w:val="0"/>
                <w:szCs w:val="21"/>
                <w:lang w:bidi="ar"/>
              </w:rPr>
              <w:t xml:space="preserve"> </w:t>
            </w:r>
            <w:r>
              <w:rPr>
                <w:rFonts w:hAnsi="宋体"/>
                <w:color w:val="000000"/>
                <w:kern w:val="0"/>
                <w:szCs w:val="21"/>
                <w:lang w:bidi="ar"/>
              </w:rPr>
              <w:t>新建民用建筑因下列条件限制不宜修建防空地下室的，建设单位应当向人民防空主管部门提出易地建设申请：（</w:t>
            </w:r>
            <w:r>
              <w:rPr>
                <w:color w:val="000000"/>
                <w:kern w:val="0"/>
                <w:szCs w:val="21"/>
                <w:lang w:bidi="ar"/>
              </w:rPr>
              <w:t>1</w:t>
            </w:r>
            <w:r>
              <w:rPr>
                <w:rFonts w:hAnsi="宋体"/>
                <w:color w:val="000000"/>
                <w:kern w:val="0"/>
                <w:szCs w:val="21"/>
                <w:lang w:bidi="ar"/>
              </w:rPr>
              <w:t>）采用桩基且桩基承台顶面埋置深度小于三米或者不足规定的地下室空间净高的；（</w:t>
            </w:r>
            <w:r>
              <w:rPr>
                <w:color w:val="000000"/>
                <w:kern w:val="0"/>
                <w:szCs w:val="21"/>
                <w:lang w:bidi="ar"/>
              </w:rPr>
              <w:t>2</w:t>
            </w:r>
            <w:r>
              <w:rPr>
                <w:rFonts w:hAnsi="宋体"/>
                <w:color w:val="000000"/>
                <w:kern w:val="0"/>
                <w:szCs w:val="21"/>
                <w:lang w:bidi="ar"/>
              </w:rPr>
              <w:t>）按照规定标准应建防空地下室的面积小于地面建筑主楼首层的面积，且基础和结构处理困难的；（</w:t>
            </w:r>
            <w:r>
              <w:rPr>
                <w:color w:val="000000"/>
                <w:kern w:val="0"/>
                <w:szCs w:val="21"/>
                <w:lang w:bidi="ar"/>
              </w:rPr>
              <w:t>3</w:t>
            </w:r>
            <w:r>
              <w:rPr>
                <w:rFonts w:hAnsi="宋体"/>
                <w:color w:val="000000"/>
                <w:kern w:val="0"/>
                <w:szCs w:val="21"/>
                <w:lang w:bidi="ar"/>
              </w:rPr>
              <w:t>）因流沙、暗河等地质条件限制不宜修建的；（</w:t>
            </w:r>
            <w:r>
              <w:rPr>
                <w:color w:val="000000"/>
                <w:kern w:val="0"/>
                <w:szCs w:val="21"/>
                <w:lang w:bidi="ar"/>
              </w:rPr>
              <w:t>4</w:t>
            </w:r>
            <w:r>
              <w:rPr>
                <w:rFonts w:hAnsi="宋体"/>
                <w:color w:val="000000"/>
                <w:kern w:val="0"/>
                <w:szCs w:val="21"/>
                <w:lang w:bidi="ar"/>
              </w:rPr>
              <w:t>）因建设场址所在区域的房屋或者地下管道设施密集，防空地下室不能施工或者难以采取措施保证施工安全的；（</w:t>
            </w:r>
            <w:r>
              <w:rPr>
                <w:color w:val="000000"/>
                <w:kern w:val="0"/>
                <w:szCs w:val="21"/>
                <w:lang w:bidi="ar"/>
              </w:rPr>
              <w:t>5</w:t>
            </w:r>
            <w:r>
              <w:rPr>
                <w:rFonts w:hAnsi="宋体"/>
                <w:color w:val="000000"/>
                <w:kern w:val="0"/>
                <w:szCs w:val="21"/>
                <w:lang w:bidi="ar"/>
              </w:rPr>
              <w:t>）不符合人民防空工程建设规划的。人民防空主管部门应当在收到易地建设书面申请后十五个工作日内，作出决定。不符合前款规定情形的，不得批准易地建设。</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《湖南省人民防空工程建设与维护管理规定》第十五条</w:t>
            </w:r>
            <w:r>
              <w:rPr>
                <w:color w:val="000000"/>
                <w:kern w:val="0"/>
                <w:szCs w:val="21"/>
                <w:lang w:bidi="ar"/>
              </w:rPr>
              <w:t xml:space="preserve"> </w:t>
            </w:r>
            <w:r>
              <w:rPr>
                <w:rFonts w:hAnsi="宋体"/>
                <w:color w:val="000000"/>
                <w:kern w:val="0"/>
                <w:szCs w:val="21"/>
                <w:lang w:bidi="ar"/>
              </w:rPr>
              <w:t>在县城以上城市规划区内新建民用建筑，按照下列规定同步修建防空地下室：（一）一类国家人防重点城市不低于地面总建筑面积的</w:t>
            </w:r>
            <w:r>
              <w:rPr>
                <w:color w:val="000000"/>
                <w:kern w:val="0"/>
                <w:szCs w:val="21"/>
                <w:lang w:bidi="ar"/>
              </w:rPr>
              <w:t>6%</w:t>
            </w:r>
            <w:r>
              <w:rPr>
                <w:rFonts w:hAnsi="宋体"/>
                <w:color w:val="000000"/>
                <w:kern w:val="0"/>
                <w:szCs w:val="21"/>
                <w:lang w:bidi="ar"/>
              </w:rPr>
              <w:t>；（二）二类和三类国家人防重点城市不低于地面总建筑面积的</w:t>
            </w:r>
            <w:r>
              <w:rPr>
                <w:color w:val="000000"/>
                <w:kern w:val="0"/>
                <w:szCs w:val="21"/>
                <w:lang w:bidi="ar"/>
              </w:rPr>
              <w:t>5%</w:t>
            </w:r>
            <w:r>
              <w:rPr>
                <w:rFonts w:hAnsi="宋体"/>
                <w:color w:val="000000"/>
                <w:kern w:val="0"/>
                <w:szCs w:val="21"/>
                <w:lang w:bidi="ar"/>
              </w:rPr>
              <w:t>；（三）县城不低于地面总建筑面积的</w:t>
            </w:r>
            <w:r>
              <w:rPr>
                <w:color w:val="000000"/>
                <w:kern w:val="0"/>
                <w:szCs w:val="21"/>
                <w:lang w:bidi="ar"/>
              </w:rPr>
              <w:t>4%</w:t>
            </w:r>
            <w:r>
              <w:rPr>
                <w:rFonts w:hAnsi="宋体"/>
                <w:color w:val="000000"/>
                <w:kern w:val="0"/>
                <w:szCs w:val="21"/>
                <w:lang w:bidi="ar"/>
              </w:rPr>
              <w:t>。开发区、保税区、工业园区、高校园区等各类园区和重要经济目标区新建防空地下室的建设标准，按照所在地城市或者县城的规定执行。新建防空地下室的抗力等级和战时用途由负责项目审查的人防主管部门按照国家相关规范确定。任何单位和个人不得批准免建、少建、缓建防空地下室，或者降低防空地下室抗力等级。</w:t>
            </w:r>
          </w:p>
        </w:tc>
        <w:tc>
          <w:tcPr>
            <w:tcW w:w="411" w:type="dxa"/>
            <w:noWrap/>
            <w:tcMar>
              <w:left w:w="51" w:type="dxa"/>
              <w:right w:w="51" w:type="dxa"/>
            </w:tcMar>
            <w:vAlign w:val="center"/>
          </w:tcPr>
          <w:p w14:paraId="57FDD015">
            <w:pPr>
              <w:widowControl/>
              <w:jc w:val="left"/>
              <w:rPr>
                <w:color w:val="000000"/>
                <w:kern w:val="0"/>
                <w:szCs w:val="21"/>
              </w:rPr>
            </w:pPr>
          </w:p>
        </w:tc>
      </w:tr>
      <w:tr w14:paraId="48F5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jc w:val="center"/>
        </w:trPr>
        <w:tc>
          <w:tcPr>
            <w:tcW w:w="417" w:type="dxa"/>
            <w:noWrap w:val="0"/>
            <w:tcMar>
              <w:left w:w="51" w:type="dxa"/>
              <w:right w:w="51" w:type="dxa"/>
            </w:tcMar>
            <w:vAlign w:val="center"/>
          </w:tcPr>
          <w:p w14:paraId="3A6A6BE5">
            <w:pPr>
              <w:widowControl/>
              <w:jc w:val="center"/>
              <w:rPr>
                <w:color w:val="000000"/>
                <w:szCs w:val="21"/>
              </w:rPr>
            </w:pPr>
            <w:r>
              <w:rPr>
                <w:rFonts w:hint="eastAsia"/>
                <w:color w:val="000000"/>
                <w:szCs w:val="21"/>
                <w:lang w:val="en-US" w:eastAsia="zh-CN"/>
              </w:rPr>
              <w:t>2</w:t>
            </w:r>
            <w:r>
              <w:rPr>
                <w:color w:val="000000"/>
                <w:szCs w:val="21"/>
              </w:rPr>
              <w:t>7</w:t>
            </w:r>
          </w:p>
        </w:tc>
        <w:tc>
          <w:tcPr>
            <w:tcW w:w="1834" w:type="dxa"/>
            <w:noWrap w:val="0"/>
            <w:tcMar>
              <w:left w:w="51" w:type="dxa"/>
              <w:right w:w="51" w:type="dxa"/>
            </w:tcMar>
            <w:vAlign w:val="center"/>
          </w:tcPr>
          <w:p w14:paraId="1ED5227E">
            <w:pPr>
              <w:widowControl/>
              <w:jc w:val="left"/>
              <w:textAlignment w:val="center"/>
              <w:rPr>
                <w:color w:val="000000"/>
                <w:kern w:val="0"/>
                <w:szCs w:val="21"/>
              </w:rPr>
            </w:pPr>
            <w:r>
              <w:rPr>
                <w:rFonts w:hAnsi="宋体"/>
                <w:color w:val="000000"/>
                <w:kern w:val="0"/>
                <w:szCs w:val="21"/>
                <w:lang w:bidi="ar"/>
              </w:rPr>
              <w:t>易地建设费变更审批</w:t>
            </w:r>
          </w:p>
        </w:tc>
        <w:tc>
          <w:tcPr>
            <w:tcW w:w="706" w:type="dxa"/>
            <w:noWrap w:val="0"/>
            <w:tcMar>
              <w:left w:w="51" w:type="dxa"/>
              <w:right w:w="51" w:type="dxa"/>
            </w:tcMar>
            <w:vAlign w:val="center"/>
          </w:tcPr>
          <w:p w14:paraId="429DBD0B">
            <w:pPr>
              <w:widowControl/>
              <w:jc w:val="center"/>
              <w:textAlignment w:val="center"/>
              <w:rPr>
                <w:color w:val="000000"/>
                <w:kern w:val="0"/>
                <w:szCs w:val="21"/>
              </w:rPr>
            </w:pPr>
            <w:r>
              <w:rPr>
                <w:rFonts w:hAnsi="宋体"/>
                <w:color w:val="000000"/>
                <w:kern w:val="0"/>
                <w:szCs w:val="21"/>
                <w:lang w:bidi="ar"/>
              </w:rPr>
              <w:t>行政许可</w:t>
            </w:r>
          </w:p>
        </w:tc>
        <w:tc>
          <w:tcPr>
            <w:tcW w:w="1174" w:type="dxa"/>
            <w:noWrap w:val="0"/>
            <w:tcMar>
              <w:left w:w="51" w:type="dxa"/>
              <w:right w:w="51" w:type="dxa"/>
            </w:tcMar>
            <w:vAlign w:val="center"/>
          </w:tcPr>
          <w:p w14:paraId="655A6D42">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9DC25E1">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3AB7CC01">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《中华人民共和国人民防空法》第二十二条</w:t>
            </w:r>
            <w:r>
              <w:rPr>
                <w:color w:val="000000"/>
                <w:kern w:val="0"/>
                <w:szCs w:val="21"/>
                <w:lang w:bidi="ar"/>
              </w:rPr>
              <w:t xml:space="preserve"> </w:t>
            </w:r>
            <w:r>
              <w:rPr>
                <w:rFonts w:hAnsi="宋体"/>
                <w:color w:val="000000"/>
                <w:kern w:val="0"/>
                <w:szCs w:val="21"/>
                <w:lang w:bidi="ar"/>
              </w:rPr>
              <w:t>城市新建民用建筑，按照国家有关规定修建战时可用于防空的地下室；</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《湖南省实施〈中华人民共和国人民防空法〉办法》第十五条</w:t>
            </w:r>
            <w:r>
              <w:rPr>
                <w:color w:val="000000"/>
                <w:kern w:val="0"/>
                <w:szCs w:val="21"/>
                <w:lang w:bidi="ar"/>
              </w:rPr>
              <w:t xml:space="preserve"> </w:t>
            </w:r>
            <w:r>
              <w:rPr>
                <w:rFonts w:hAnsi="宋体"/>
                <w:color w:val="000000"/>
                <w:kern w:val="0"/>
                <w:szCs w:val="21"/>
                <w:lang w:bidi="ar"/>
              </w:rPr>
              <w:t>新建民用建筑因下列条件限制不宜修建防空地下室的，建设单位应当向人民防空主管部门提出易地建设申请：（</w:t>
            </w:r>
            <w:r>
              <w:rPr>
                <w:color w:val="000000"/>
                <w:kern w:val="0"/>
                <w:szCs w:val="21"/>
                <w:lang w:bidi="ar"/>
              </w:rPr>
              <w:t>1</w:t>
            </w:r>
            <w:r>
              <w:rPr>
                <w:rFonts w:hAnsi="宋体"/>
                <w:color w:val="000000"/>
                <w:kern w:val="0"/>
                <w:szCs w:val="21"/>
                <w:lang w:bidi="ar"/>
              </w:rPr>
              <w:t>）采用桩基且桩基承台顶面埋置深度小于三米或者不足规定的地下室空间净高的；（</w:t>
            </w:r>
            <w:r>
              <w:rPr>
                <w:color w:val="000000"/>
                <w:kern w:val="0"/>
                <w:szCs w:val="21"/>
                <w:lang w:bidi="ar"/>
              </w:rPr>
              <w:t>2</w:t>
            </w:r>
            <w:r>
              <w:rPr>
                <w:rFonts w:hAnsi="宋体"/>
                <w:color w:val="000000"/>
                <w:kern w:val="0"/>
                <w:szCs w:val="21"/>
                <w:lang w:bidi="ar"/>
              </w:rPr>
              <w:t>）按照规定标准应建防空地下室的面积小于地面建筑主楼首层的面积，且基础和结构处理困难的；（</w:t>
            </w:r>
            <w:r>
              <w:rPr>
                <w:color w:val="000000"/>
                <w:kern w:val="0"/>
                <w:szCs w:val="21"/>
                <w:lang w:bidi="ar"/>
              </w:rPr>
              <w:t>3</w:t>
            </w:r>
            <w:r>
              <w:rPr>
                <w:rFonts w:hAnsi="宋体"/>
                <w:color w:val="000000"/>
                <w:kern w:val="0"/>
                <w:szCs w:val="21"/>
                <w:lang w:bidi="ar"/>
              </w:rPr>
              <w:t>）因流沙、暗河等地质条件限制不宜修建的；（</w:t>
            </w:r>
            <w:r>
              <w:rPr>
                <w:color w:val="000000"/>
                <w:kern w:val="0"/>
                <w:szCs w:val="21"/>
                <w:lang w:bidi="ar"/>
              </w:rPr>
              <w:t>4</w:t>
            </w:r>
            <w:r>
              <w:rPr>
                <w:rFonts w:hAnsi="宋体"/>
                <w:color w:val="000000"/>
                <w:kern w:val="0"/>
                <w:szCs w:val="21"/>
                <w:lang w:bidi="ar"/>
              </w:rPr>
              <w:t>）因建设场址所在区域的房屋或者地下管道设施密集，防空地下室不能施工或者难以采取措施保证施工安全的；（</w:t>
            </w:r>
            <w:r>
              <w:rPr>
                <w:color w:val="000000"/>
                <w:kern w:val="0"/>
                <w:szCs w:val="21"/>
                <w:lang w:bidi="ar"/>
              </w:rPr>
              <w:t>5</w:t>
            </w:r>
            <w:r>
              <w:rPr>
                <w:rFonts w:hAnsi="宋体"/>
                <w:color w:val="000000"/>
                <w:kern w:val="0"/>
                <w:szCs w:val="21"/>
                <w:lang w:bidi="ar"/>
              </w:rPr>
              <w:t>）不符合人民防空工程建设规划的。人民防空主管部门应当在收到易地建设书面申请后十五个工作日内，作出决定。不符合前款规定情形的，不得批准易地建设。</w:t>
            </w:r>
            <w:r>
              <w:rPr>
                <w:color w:val="000000"/>
                <w:kern w:val="0"/>
                <w:szCs w:val="21"/>
                <w:lang w:bidi="ar"/>
              </w:rPr>
              <w:br w:type="textWrapping"/>
            </w:r>
            <w:r>
              <w:rPr>
                <w:b/>
                <w:bCs/>
                <w:color w:val="000000"/>
                <w:kern w:val="0"/>
                <w:szCs w:val="21"/>
                <w:lang w:bidi="ar"/>
              </w:rPr>
              <w:t>3.</w:t>
            </w:r>
            <w:r>
              <w:rPr>
                <w:rFonts w:hAnsi="宋体"/>
                <w:b/>
                <w:bCs/>
                <w:color w:val="000000"/>
                <w:kern w:val="0"/>
                <w:szCs w:val="21"/>
                <w:lang w:bidi="ar"/>
              </w:rPr>
              <w:t>《湖南省人民防空工程建设与维护管理规定》第十五条</w:t>
            </w:r>
            <w:r>
              <w:rPr>
                <w:color w:val="000000"/>
                <w:kern w:val="0"/>
                <w:szCs w:val="21"/>
                <w:lang w:bidi="ar"/>
              </w:rPr>
              <w:t xml:space="preserve"> </w:t>
            </w:r>
            <w:r>
              <w:rPr>
                <w:rFonts w:hAnsi="宋体"/>
                <w:color w:val="000000"/>
                <w:kern w:val="0"/>
                <w:szCs w:val="21"/>
                <w:lang w:bidi="ar"/>
              </w:rPr>
              <w:t>在县城以上城市规划区内新建民用建筑，按照下列规定同步修建防空地下室：（一）一类国家人防重点城市不低于地面总建筑面积的</w:t>
            </w:r>
            <w:r>
              <w:rPr>
                <w:color w:val="000000"/>
                <w:kern w:val="0"/>
                <w:szCs w:val="21"/>
                <w:lang w:bidi="ar"/>
              </w:rPr>
              <w:t>6%</w:t>
            </w:r>
            <w:r>
              <w:rPr>
                <w:rFonts w:hAnsi="宋体"/>
                <w:color w:val="000000"/>
                <w:kern w:val="0"/>
                <w:szCs w:val="21"/>
                <w:lang w:bidi="ar"/>
              </w:rPr>
              <w:t>；（二）二类和三类国家人防重点城市不低于地面总建筑面积的</w:t>
            </w:r>
            <w:r>
              <w:rPr>
                <w:color w:val="000000"/>
                <w:kern w:val="0"/>
                <w:szCs w:val="21"/>
                <w:lang w:bidi="ar"/>
              </w:rPr>
              <w:t>5%</w:t>
            </w:r>
            <w:r>
              <w:rPr>
                <w:rFonts w:hAnsi="宋体"/>
                <w:color w:val="000000"/>
                <w:kern w:val="0"/>
                <w:szCs w:val="21"/>
                <w:lang w:bidi="ar"/>
              </w:rPr>
              <w:t>；（三）县城不低于地面总建筑面积的</w:t>
            </w:r>
            <w:r>
              <w:rPr>
                <w:color w:val="000000"/>
                <w:kern w:val="0"/>
                <w:szCs w:val="21"/>
                <w:lang w:bidi="ar"/>
              </w:rPr>
              <w:t>4%</w:t>
            </w:r>
            <w:r>
              <w:rPr>
                <w:rFonts w:hAnsi="宋体"/>
                <w:color w:val="000000"/>
                <w:kern w:val="0"/>
                <w:szCs w:val="21"/>
                <w:lang w:bidi="ar"/>
              </w:rPr>
              <w:t>。开发区、保税区、工业园区、高校园区等各类园区和重要经济目标区新建防空地下室的建设标准，按照所在地城市或者县城的规定执行。新建防空地下室的抗力等级和战时用途由负责项目审查的人防主管部门按照国家相关规范确定。任何单位和个人不得批准免建、少建、缓建防空地下室，或者降低防空地下室抗力等级。</w:t>
            </w:r>
          </w:p>
        </w:tc>
        <w:tc>
          <w:tcPr>
            <w:tcW w:w="411" w:type="dxa"/>
            <w:noWrap/>
            <w:tcMar>
              <w:left w:w="51" w:type="dxa"/>
              <w:right w:w="51" w:type="dxa"/>
            </w:tcMar>
            <w:vAlign w:val="center"/>
          </w:tcPr>
          <w:p w14:paraId="749C8F12">
            <w:pPr>
              <w:widowControl/>
              <w:jc w:val="left"/>
              <w:rPr>
                <w:color w:val="000000"/>
                <w:kern w:val="0"/>
                <w:szCs w:val="21"/>
              </w:rPr>
            </w:pPr>
          </w:p>
        </w:tc>
      </w:tr>
      <w:tr w14:paraId="0220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17" w:type="dxa"/>
            <w:noWrap w:val="0"/>
            <w:tcMar>
              <w:left w:w="51" w:type="dxa"/>
              <w:right w:w="51" w:type="dxa"/>
            </w:tcMar>
            <w:vAlign w:val="center"/>
          </w:tcPr>
          <w:p w14:paraId="65649B3C">
            <w:pPr>
              <w:widowControl/>
              <w:jc w:val="center"/>
              <w:rPr>
                <w:color w:val="000000"/>
                <w:szCs w:val="21"/>
              </w:rPr>
            </w:pPr>
            <w:r>
              <w:rPr>
                <w:rFonts w:hint="eastAsia"/>
                <w:color w:val="000000"/>
                <w:szCs w:val="21"/>
                <w:lang w:val="en-US" w:eastAsia="zh-CN"/>
              </w:rPr>
              <w:t>2</w:t>
            </w:r>
            <w:r>
              <w:rPr>
                <w:color w:val="000000"/>
                <w:szCs w:val="21"/>
              </w:rPr>
              <w:t>8</w:t>
            </w:r>
          </w:p>
        </w:tc>
        <w:tc>
          <w:tcPr>
            <w:tcW w:w="1834" w:type="dxa"/>
            <w:noWrap w:val="0"/>
            <w:tcMar>
              <w:left w:w="51" w:type="dxa"/>
              <w:right w:w="51" w:type="dxa"/>
            </w:tcMar>
            <w:vAlign w:val="center"/>
          </w:tcPr>
          <w:p w14:paraId="48EE41C9">
            <w:pPr>
              <w:widowControl/>
              <w:jc w:val="left"/>
              <w:rPr>
                <w:color w:val="000000"/>
                <w:kern w:val="0"/>
                <w:szCs w:val="21"/>
              </w:rPr>
            </w:pPr>
            <w:r>
              <w:rPr>
                <w:rFonts w:hAnsi="宋体"/>
                <w:color w:val="000000"/>
                <w:kern w:val="0"/>
                <w:szCs w:val="21"/>
              </w:rPr>
              <w:t>涉案物价格认定</w:t>
            </w:r>
          </w:p>
        </w:tc>
        <w:tc>
          <w:tcPr>
            <w:tcW w:w="706" w:type="dxa"/>
            <w:noWrap w:val="0"/>
            <w:tcMar>
              <w:left w:w="51" w:type="dxa"/>
              <w:right w:w="51" w:type="dxa"/>
            </w:tcMar>
            <w:vAlign w:val="center"/>
          </w:tcPr>
          <w:p w14:paraId="2C4841F0">
            <w:pPr>
              <w:widowControl/>
              <w:jc w:val="center"/>
              <w:rPr>
                <w:color w:val="000000"/>
                <w:kern w:val="0"/>
                <w:szCs w:val="21"/>
              </w:rPr>
            </w:pPr>
            <w:r>
              <w:rPr>
                <w:rFonts w:hAnsi="宋体"/>
                <w:color w:val="000000"/>
                <w:kern w:val="0"/>
                <w:szCs w:val="21"/>
              </w:rPr>
              <w:t>行政确认</w:t>
            </w:r>
          </w:p>
        </w:tc>
        <w:tc>
          <w:tcPr>
            <w:tcW w:w="1174" w:type="dxa"/>
            <w:noWrap w:val="0"/>
            <w:tcMar>
              <w:left w:w="51" w:type="dxa"/>
              <w:right w:w="51" w:type="dxa"/>
            </w:tcMar>
            <w:vAlign w:val="center"/>
          </w:tcPr>
          <w:p w14:paraId="6762BC1F">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125CC42">
            <w:pPr>
              <w:widowControl/>
              <w:jc w:val="center"/>
              <w:rPr>
                <w:rFonts w:hint="eastAsia" w:eastAsia="宋体"/>
                <w:color w:val="000000"/>
                <w:kern w:val="0"/>
                <w:szCs w:val="21"/>
                <w:highlight w:val="none"/>
                <w:lang w:eastAsia="zh-CN"/>
              </w:rPr>
            </w:pPr>
            <w:r>
              <w:rPr>
                <w:rFonts w:hint="eastAsia" w:hAnsi="宋体"/>
                <w:color w:val="000000"/>
                <w:kern w:val="0"/>
                <w:szCs w:val="21"/>
                <w:highlight w:val="none"/>
                <w:lang w:val="en-US" w:eastAsia="zh-CN"/>
              </w:rPr>
              <w:t>物价股</w:t>
            </w:r>
          </w:p>
        </w:tc>
        <w:tc>
          <w:tcPr>
            <w:tcW w:w="9611" w:type="dxa"/>
            <w:noWrap w:val="0"/>
            <w:tcMar>
              <w:left w:w="51" w:type="dxa"/>
              <w:right w:w="51" w:type="dxa"/>
            </w:tcMar>
            <w:vAlign w:val="center"/>
          </w:tcPr>
          <w:p w14:paraId="22FE1CCF">
            <w:pPr>
              <w:widowControl/>
              <w:jc w:val="left"/>
              <w:rPr>
                <w:b/>
                <w:bCs/>
                <w:color w:val="000000"/>
                <w:kern w:val="0"/>
                <w:szCs w:val="21"/>
              </w:rPr>
            </w:pPr>
            <w:r>
              <w:rPr>
                <w:rFonts w:hAnsi="宋体"/>
                <w:b/>
                <w:bCs/>
                <w:color w:val="000000"/>
                <w:kern w:val="0"/>
                <w:szCs w:val="21"/>
              </w:rPr>
              <w:t>《湖南省涉案物价格认定若干规定》第二条第二款</w:t>
            </w:r>
            <w:r>
              <w:rPr>
                <w:b/>
                <w:bCs/>
                <w:color w:val="000000"/>
                <w:kern w:val="0"/>
                <w:szCs w:val="21"/>
              </w:rPr>
              <w:t xml:space="preserve">  </w:t>
            </w:r>
            <w:r>
              <w:rPr>
                <w:rFonts w:hAnsi="宋体"/>
                <w:color w:val="000000"/>
                <w:kern w:val="0"/>
                <w:szCs w:val="21"/>
              </w:rPr>
              <w:t>本规定所称涉案物价格认定，是指县级以上人民政府价格主管部门设立的价格认定机构（以下简称价格认定机构）对纪检监察、行政、司法机关（以下简称提出机关）提出的对市场价格不明或者价格有争议的有形物品、无形资产和各类有偿服务等的价值进行确认的行为。</w:t>
            </w:r>
          </w:p>
          <w:p w14:paraId="303A8152">
            <w:pPr>
              <w:widowControl/>
              <w:jc w:val="left"/>
              <w:rPr>
                <w:color w:val="000000"/>
                <w:kern w:val="0"/>
                <w:szCs w:val="21"/>
              </w:rPr>
            </w:pPr>
            <w:r>
              <w:rPr>
                <w:rFonts w:hAnsi="宋体"/>
                <w:b/>
                <w:bCs/>
                <w:color w:val="000000"/>
                <w:kern w:val="0"/>
                <w:szCs w:val="21"/>
              </w:rPr>
              <w:t>第四条</w:t>
            </w:r>
            <w:r>
              <w:rPr>
                <w:rFonts w:hAnsi="宋体"/>
                <w:color w:val="000000"/>
                <w:kern w:val="0"/>
                <w:szCs w:val="21"/>
              </w:rPr>
              <w:t>　县级以上人民政府价格主管部门负责本行政区域内涉案物价格认定工作的指导、协调和监督管理，加强价格认定机构能力建设，督促价格认定机构建立健全价格认定工作制度以及人员培训考核、档案管理等制度，受理举报和投诉。</w:t>
            </w:r>
          </w:p>
          <w:p w14:paraId="59F5E19E">
            <w:pPr>
              <w:widowControl/>
              <w:jc w:val="left"/>
              <w:rPr>
                <w:b/>
                <w:bCs/>
                <w:color w:val="000000"/>
                <w:kern w:val="0"/>
                <w:szCs w:val="21"/>
              </w:rPr>
            </w:pPr>
            <w:r>
              <w:rPr>
                <w:rFonts w:hAnsi="宋体"/>
                <w:color w:val="000000"/>
                <w:kern w:val="0"/>
                <w:szCs w:val="21"/>
              </w:rPr>
              <w:t>价格认定机构应当加强队伍建设，配备一定数量的具有价格认定专业知识和实践工作经验的人员。从事价格认定工作的人员，应当参加专业培训，具备相应职业能力水平，并经考试依法取得行政执法证。</w:t>
            </w:r>
          </w:p>
        </w:tc>
        <w:tc>
          <w:tcPr>
            <w:tcW w:w="411" w:type="dxa"/>
            <w:noWrap/>
            <w:tcMar>
              <w:left w:w="51" w:type="dxa"/>
              <w:right w:w="51" w:type="dxa"/>
            </w:tcMar>
            <w:vAlign w:val="center"/>
          </w:tcPr>
          <w:p w14:paraId="0098EC8A">
            <w:pPr>
              <w:widowControl/>
              <w:jc w:val="left"/>
              <w:rPr>
                <w:color w:val="000000"/>
                <w:kern w:val="0"/>
                <w:szCs w:val="21"/>
              </w:rPr>
            </w:pPr>
            <w:r>
              <w:rPr>
                <w:rFonts w:hAnsi="宋体"/>
                <w:color w:val="000000"/>
                <w:kern w:val="0"/>
                <w:szCs w:val="21"/>
              </w:rPr>
              <w:t>　</w:t>
            </w:r>
          </w:p>
        </w:tc>
      </w:tr>
      <w:tr w14:paraId="29F1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17" w:type="dxa"/>
            <w:noWrap w:val="0"/>
            <w:tcMar>
              <w:left w:w="51" w:type="dxa"/>
              <w:right w:w="51" w:type="dxa"/>
            </w:tcMar>
            <w:vAlign w:val="center"/>
          </w:tcPr>
          <w:p w14:paraId="5BABBCDC">
            <w:pPr>
              <w:widowControl/>
              <w:jc w:val="center"/>
              <w:rPr>
                <w:color w:val="000000"/>
                <w:kern w:val="0"/>
                <w:szCs w:val="21"/>
              </w:rPr>
            </w:pPr>
            <w:r>
              <w:rPr>
                <w:rFonts w:hint="eastAsia"/>
                <w:color w:val="000000"/>
                <w:szCs w:val="21"/>
                <w:lang w:val="en-US" w:eastAsia="zh-CN"/>
              </w:rPr>
              <w:t>2</w:t>
            </w:r>
            <w:r>
              <w:rPr>
                <w:color w:val="000000"/>
                <w:szCs w:val="21"/>
              </w:rPr>
              <w:t>9</w:t>
            </w:r>
          </w:p>
        </w:tc>
        <w:tc>
          <w:tcPr>
            <w:tcW w:w="1834" w:type="dxa"/>
            <w:noWrap w:val="0"/>
            <w:tcMar>
              <w:left w:w="51" w:type="dxa"/>
              <w:right w:w="51" w:type="dxa"/>
            </w:tcMar>
            <w:vAlign w:val="center"/>
          </w:tcPr>
          <w:p w14:paraId="2B36A9A8">
            <w:pPr>
              <w:widowControl/>
              <w:jc w:val="left"/>
              <w:textAlignment w:val="center"/>
              <w:rPr>
                <w:color w:val="000000"/>
                <w:kern w:val="0"/>
                <w:szCs w:val="21"/>
              </w:rPr>
            </w:pPr>
            <w:r>
              <w:rPr>
                <w:rFonts w:hAnsi="宋体"/>
                <w:color w:val="000000"/>
                <w:kern w:val="0"/>
                <w:szCs w:val="21"/>
                <w:lang w:bidi="ar"/>
              </w:rPr>
              <w:t>防空警报通信设施达到使用期限或因故损坏需要报废认定</w:t>
            </w:r>
          </w:p>
        </w:tc>
        <w:tc>
          <w:tcPr>
            <w:tcW w:w="706" w:type="dxa"/>
            <w:noWrap w:val="0"/>
            <w:tcMar>
              <w:left w:w="51" w:type="dxa"/>
              <w:right w:w="51" w:type="dxa"/>
            </w:tcMar>
            <w:vAlign w:val="center"/>
          </w:tcPr>
          <w:p w14:paraId="6AAFEC2F">
            <w:pPr>
              <w:widowControl/>
              <w:jc w:val="center"/>
              <w:textAlignment w:val="center"/>
              <w:rPr>
                <w:color w:val="000000"/>
                <w:kern w:val="0"/>
                <w:szCs w:val="21"/>
              </w:rPr>
            </w:pPr>
            <w:r>
              <w:rPr>
                <w:rFonts w:hAnsi="宋体"/>
                <w:color w:val="000000"/>
                <w:kern w:val="0"/>
                <w:szCs w:val="21"/>
                <w:lang w:bidi="ar"/>
              </w:rPr>
              <w:t>行政确认</w:t>
            </w:r>
          </w:p>
        </w:tc>
        <w:tc>
          <w:tcPr>
            <w:tcW w:w="1174" w:type="dxa"/>
            <w:noWrap w:val="0"/>
            <w:tcMar>
              <w:left w:w="51" w:type="dxa"/>
              <w:right w:w="51" w:type="dxa"/>
            </w:tcMar>
            <w:vAlign w:val="center"/>
          </w:tcPr>
          <w:p w14:paraId="68DFA3A3">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EEE611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54C6309">
            <w:pPr>
              <w:widowControl/>
              <w:jc w:val="left"/>
              <w:textAlignment w:val="center"/>
              <w:rPr>
                <w:b/>
                <w:bCs/>
                <w:color w:val="000000"/>
                <w:kern w:val="0"/>
                <w:szCs w:val="21"/>
              </w:rPr>
            </w:pPr>
            <w:r>
              <w:rPr>
                <w:rFonts w:hAnsi="宋体"/>
                <w:b/>
                <w:bCs/>
                <w:color w:val="000000"/>
                <w:kern w:val="0"/>
                <w:szCs w:val="21"/>
                <w:lang w:bidi="ar"/>
              </w:rPr>
              <w:t>《湖南省人民防空通信管理方法》第十七条</w:t>
            </w:r>
            <w:r>
              <w:rPr>
                <w:color w:val="000000"/>
                <w:kern w:val="0"/>
                <w:szCs w:val="21"/>
                <w:lang w:bidi="ar"/>
              </w:rPr>
              <w:t xml:space="preserve"> </w:t>
            </w:r>
            <w:r>
              <w:rPr>
                <w:rFonts w:hAnsi="宋体"/>
                <w:color w:val="000000"/>
                <w:kern w:val="0"/>
                <w:szCs w:val="21"/>
                <w:lang w:bidi="ar"/>
              </w:rPr>
              <w:t>防空警报通信设施达到使用年限或者因故损坏需要报废的，经市州人民防空主管部门认定后，由该设施产权部门备案。</w:t>
            </w:r>
          </w:p>
        </w:tc>
        <w:tc>
          <w:tcPr>
            <w:tcW w:w="411" w:type="dxa"/>
            <w:noWrap/>
            <w:tcMar>
              <w:left w:w="51" w:type="dxa"/>
              <w:right w:w="51" w:type="dxa"/>
            </w:tcMar>
            <w:vAlign w:val="center"/>
          </w:tcPr>
          <w:p w14:paraId="3B5CD52C">
            <w:pPr>
              <w:widowControl/>
              <w:jc w:val="left"/>
              <w:rPr>
                <w:color w:val="000000"/>
                <w:kern w:val="0"/>
                <w:szCs w:val="21"/>
              </w:rPr>
            </w:pPr>
          </w:p>
        </w:tc>
      </w:tr>
      <w:tr w14:paraId="551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17" w:type="dxa"/>
            <w:noWrap w:val="0"/>
            <w:tcMar>
              <w:left w:w="51" w:type="dxa"/>
              <w:right w:w="51" w:type="dxa"/>
            </w:tcMar>
            <w:vAlign w:val="center"/>
          </w:tcPr>
          <w:p w14:paraId="7C2BBE8C">
            <w:pPr>
              <w:widowControl/>
              <w:jc w:val="center"/>
              <w:rPr>
                <w:color w:val="000000"/>
                <w:szCs w:val="21"/>
              </w:rPr>
            </w:pPr>
            <w:r>
              <w:rPr>
                <w:rFonts w:hint="eastAsia"/>
                <w:color w:val="000000"/>
                <w:szCs w:val="21"/>
                <w:lang w:val="en-US" w:eastAsia="zh-CN"/>
              </w:rPr>
              <w:t>3</w:t>
            </w:r>
            <w:r>
              <w:rPr>
                <w:color w:val="000000"/>
                <w:szCs w:val="21"/>
              </w:rPr>
              <w:t>0</w:t>
            </w:r>
          </w:p>
        </w:tc>
        <w:tc>
          <w:tcPr>
            <w:tcW w:w="1834" w:type="dxa"/>
            <w:noWrap w:val="0"/>
            <w:tcMar>
              <w:left w:w="51" w:type="dxa"/>
              <w:right w:w="51" w:type="dxa"/>
            </w:tcMar>
            <w:vAlign w:val="center"/>
          </w:tcPr>
          <w:p w14:paraId="2098C6C9">
            <w:pPr>
              <w:widowControl/>
              <w:jc w:val="left"/>
              <w:textAlignment w:val="center"/>
              <w:rPr>
                <w:color w:val="000000"/>
                <w:kern w:val="0"/>
                <w:szCs w:val="21"/>
              </w:rPr>
            </w:pPr>
            <w:r>
              <w:rPr>
                <w:rFonts w:hAnsi="宋体"/>
                <w:color w:val="000000"/>
                <w:kern w:val="0"/>
                <w:szCs w:val="21"/>
                <w:lang w:bidi="ar"/>
              </w:rPr>
              <w:t>人防工程认定</w:t>
            </w:r>
          </w:p>
        </w:tc>
        <w:tc>
          <w:tcPr>
            <w:tcW w:w="706" w:type="dxa"/>
            <w:noWrap w:val="0"/>
            <w:tcMar>
              <w:left w:w="51" w:type="dxa"/>
              <w:right w:w="51" w:type="dxa"/>
            </w:tcMar>
            <w:vAlign w:val="center"/>
          </w:tcPr>
          <w:p w14:paraId="74C03AF7">
            <w:pPr>
              <w:widowControl/>
              <w:jc w:val="center"/>
              <w:textAlignment w:val="center"/>
              <w:rPr>
                <w:color w:val="000000"/>
                <w:kern w:val="0"/>
                <w:szCs w:val="21"/>
              </w:rPr>
            </w:pPr>
            <w:r>
              <w:rPr>
                <w:rFonts w:hAnsi="宋体"/>
                <w:color w:val="000000"/>
                <w:kern w:val="0"/>
                <w:szCs w:val="21"/>
                <w:lang w:bidi="ar"/>
              </w:rPr>
              <w:t>行政确认</w:t>
            </w:r>
          </w:p>
        </w:tc>
        <w:tc>
          <w:tcPr>
            <w:tcW w:w="1174" w:type="dxa"/>
            <w:noWrap w:val="0"/>
            <w:tcMar>
              <w:left w:w="51" w:type="dxa"/>
              <w:right w:w="51" w:type="dxa"/>
            </w:tcMar>
            <w:vAlign w:val="center"/>
          </w:tcPr>
          <w:p w14:paraId="206D77C4">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4E51A92">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7E7C880">
            <w:pPr>
              <w:widowControl/>
              <w:jc w:val="left"/>
              <w:textAlignment w:val="center"/>
              <w:rPr>
                <w:color w:val="000000"/>
                <w:kern w:val="0"/>
                <w:szCs w:val="21"/>
              </w:rPr>
            </w:pPr>
            <w:r>
              <w:rPr>
                <w:rFonts w:hAnsi="宋体"/>
                <w:b/>
                <w:bCs/>
                <w:color w:val="000000"/>
                <w:kern w:val="0"/>
                <w:szCs w:val="21"/>
                <w:lang w:bidi="ar"/>
              </w:rPr>
              <w:t>《湖南省人民防空工程产权管理办法》第七条</w:t>
            </w:r>
            <w:r>
              <w:rPr>
                <w:color w:val="000000"/>
                <w:kern w:val="0"/>
                <w:szCs w:val="21"/>
                <w:lang w:bidi="ar"/>
              </w:rPr>
              <w:t xml:space="preserve"> </w:t>
            </w:r>
            <w:r>
              <w:rPr>
                <w:rFonts w:hAnsi="宋体"/>
                <w:color w:val="000000"/>
                <w:kern w:val="0"/>
                <w:szCs w:val="21"/>
                <w:lang w:bidi="ar"/>
              </w:rPr>
              <w:t>县级以上人民政府人民防空行政主管部门（以下简称人防行政主管部门）负责人防工程的认定、监督有关产权的管理工作。</w:t>
            </w:r>
          </w:p>
        </w:tc>
        <w:tc>
          <w:tcPr>
            <w:tcW w:w="411" w:type="dxa"/>
            <w:noWrap/>
            <w:tcMar>
              <w:left w:w="51" w:type="dxa"/>
              <w:right w:w="51" w:type="dxa"/>
            </w:tcMar>
            <w:vAlign w:val="center"/>
          </w:tcPr>
          <w:p w14:paraId="62E1C5BC">
            <w:pPr>
              <w:widowControl/>
              <w:jc w:val="left"/>
              <w:rPr>
                <w:color w:val="000000"/>
                <w:kern w:val="0"/>
                <w:szCs w:val="21"/>
              </w:rPr>
            </w:pPr>
          </w:p>
        </w:tc>
      </w:tr>
      <w:tr w14:paraId="65ED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17" w:type="dxa"/>
            <w:noWrap w:val="0"/>
            <w:tcMar>
              <w:left w:w="51" w:type="dxa"/>
              <w:right w:w="51" w:type="dxa"/>
            </w:tcMar>
            <w:vAlign w:val="center"/>
          </w:tcPr>
          <w:p w14:paraId="44519644">
            <w:pPr>
              <w:widowControl/>
              <w:jc w:val="center"/>
              <w:rPr>
                <w:color w:val="000000"/>
                <w:szCs w:val="21"/>
              </w:rPr>
            </w:pPr>
            <w:r>
              <w:rPr>
                <w:rFonts w:hint="eastAsia"/>
                <w:color w:val="000000"/>
                <w:szCs w:val="21"/>
                <w:lang w:val="en-US" w:eastAsia="zh-CN"/>
              </w:rPr>
              <w:t>3</w:t>
            </w:r>
            <w:r>
              <w:rPr>
                <w:color w:val="000000"/>
                <w:szCs w:val="21"/>
              </w:rPr>
              <w:t>1</w:t>
            </w:r>
          </w:p>
        </w:tc>
        <w:tc>
          <w:tcPr>
            <w:tcW w:w="1834" w:type="dxa"/>
            <w:noWrap w:val="0"/>
            <w:tcMar>
              <w:left w:w="51" w:type="dxa"/>
              <w:right w:w="51" w:type="dxa"/>
            </w:tcMar>
            <w:vAlign w:val="center"/>
          </w:tcPr>
          <w:p w14:paraId="4ED6C61C">
            <w:pPr>
              <w:widowControl/>
              <w:jc w:val="left"/>
              <w:textAlignment w:val="center"/>
              <w:rPr>
                <w:color w:val="000000"/>
                <w:kern w:val="0"/>
                <w:szCs w:val="21"/>
              </w:rPr>
            </w:pPr>
            <w:r>
              <w:rPr>
                <w:rFonts w:hAnsi="宋体"/>
                <w:color w:val="000000"/>
                <w:kern w:val="0"/>
                <w:szCs w:val="21"/>
                <w:lang w:bidi="ar"/>
              </w:rPr>
              <w:t>防空警报设施安装竣工验收</w:t>
            </w:r>
          </w:p>
        </w:tc>
        <w:tc>
          <w:tcPr>
            <w:tcW w:w="706" w:type="dxa"/>
            <w:noWrap w:val="0"/>
            <w:tcMar>
              <w:left w:w="51" w:type="dxa"/>
              <w:right w:w="51" w:type="dxa"/>
            </w:tcMar>
            <w:vAlign w:val="center"/>
          </w:tcPr>
          <w:p w14:paraId="35369361">
            <w:pPr>
              <w:widowControl/>
              <w:jc w:val="center"/>
              <w:textAlignment w:val="center"/>
              <w:rPr>
                <w:color w:val="000000"/>
                <w:kern w:val="0"/>
                <w:szCs w:val="21"/>
              </w:rPr>
            </w:pPr>
            <w:r>
              <w:rPr>
                <w:rFonts w:hAnsi="宋体"/>
                <w:color w:val="000000"/>
                <w:kern w:val="0"/>
                <w:szCs w:val="21"/>
                <w:lang w:bidi="ar"/>
              </w:rPr>
              <w:t>其他行政权力</w:t>
            </w:r>
          </w:p>
        </w:tc>
        <w:tc>
          <w:tcPr>
            <w:tcW w:w="1174" w:type="dxa"/>
            <w:noWrap w:val="0"/>
            <w:tcMar>
              <w:left w:w="51" w:type="dxa"/>
              <w:right w:w="51" w:type="dxa"/>
            </w:tcMar>
            <w:vAlign w:val="center"/>
          </w:tcPr>
          <w:p w14:paraId="6E7FAD72">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4EF11EE">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3F8A03F">
            <w:pPr>
              <w:widowControl/>
              <w:jc w:val="left"/>
              <w:textAlignment w:val="center"/>
              <w:rPr>
                <w:color w:val="000000"/>
                <w:kern w:val="0"/>
                <w:szCs w:val="21"/>
              </w:rPr>
            </w:pPr>
            <w:r>
              <w:rPr>
                <w:rFonts w:hAnsi="宋体"/>
                <w:b/>
                <w:bCs/>
                <w:color w:val="000000"/>
                <w:kern w:val="0"/>
                <w:szCs w:val="21"/>
                <w:lang w:bidi="ar"/>
              </w:rPr>
              <w:t>《湖南省人民防空通信管理办法》第十一条</w:t>
            </w:r>
            <w:r>
              <w:rPr>
                <w:color w:val="000000"/>
                <w:kern w:val="0"/>
                <w:szCs w:val="21"/>
                <w:lang w:bidi="ar"/>
              </w:rPr>
              <w:t xml:space="preserve"> …</w:t>
            </w:r>
            <w:r>
              <w:rPr>
                <w:rFonts w:hAnsi="宋体"/>
                <w:color w:val="000000"/>
                <w:kern w:val="0"/>
                <w:szCs w:val="21"/>
                <w:lang w:bidi="ar"/>
              </w:rPr>
              <w:t>防空警报设施安装竣工后，由市、县人民防空主管部门按照国家规定的技术标准和质量要求组织验收。</w:t>
            </w:r>
          </w:p>
        </w:tc>
        <w:tc>
          <w:tcPr>
            <w:tcW w:w="411" w:type="dxa"/>
            <w:noWrap/>
            <w:tcMar>
              <w:left w:w="51" w:type="dxa"/>
              <w:right w:w="51" w:type="dxa"/>
            </w:tcMar>
            <w:vAlign w:val="center"/>
          </w:tcPr>
          <w:p w14:paraId="72B72FDB">
            <w:pPr>
              <w:widowControl/>
              <w:jc w:val="left"/>
              <w:rPr>
                <w:color w:val="000000"/>
                <w:kern w:val="0"/>
                <w:szCs w:val="21"/>
              </w:rPr>
            </w:pPr>
          </w:p>
        </w:tc>
      </w:tr>
      <w:tr w14:paraId="41A8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jc w:val="center"/>
        </w:trPr>
        <w:tc>
          <w:tcPr>
            <w:tcW w:w="417" w:type="dxa"/>
            <w:noWrap w:val="0"/>
            <w:tcMar>
              <w:left w:w="51" w:type="dxa"/>
              <w:right w:w="51" w:type="dxa"/>
            </w:tcMar>
            <w:vAlign w:val="center"/>
          </w:tcPr>
          <w:p w14:paraId="2E9C8174">
            <w:pPr>
              <w:widowControl/>
              <w:jc w:val="center"/>
              <w:rPr>
                <w:color w:val="000000"/>
                <w:szCs w:val="21"/>
              </w:rPr>
            </w:pPr>
            <w:r>
              <w:rPr>
                <w:rFonts w:hint="eastAsia"/>
                <w:color w:val="000000"/>
                <w:szCs w:val="21"/>
                <w:lang w:val="en-US" w:eastAsia="zh-CN"/>
              </w:rPr>
              <w:t>3</w:t>
            </w:r>
            <w:r>
              <w:rPr>
                <w:color w:val="000000"/>
                <w:szCs w:val="21"/>
              </w:rPr>
              <w:t>2</w:t>
            </w:r>
          </w:p>
        </w:tc>
        <w:tc>
          <w:tcPr>
            <w:tcW w:w="1834" w:type="dxa"/>
            <w:noWrap w:val="0"/>
            <w:tcMar>
              <w:left w:w="51" w:type="dxa"/>
              <w:right w:w="51" w:type="dxa"/>
            </w:tcMar>
            <w:vAlign w:val="center"/>
          </w:tcPr>
          <w:p w14:paraId="13B17716">
            <w:pPr>
              <w:widowControl/>
              <w:jc w:val="left"/>
              <w:rPr>
                <w:color w:val="000000"/>
                <w:kern w:val="0"/>
                <w:szCs w:val="21"/>
              </w:rPr>
            </w:pPr>
            <w:r>
              <w:rPr>
                <w:rFonts w:hAnsi="宋体"/>
                <w:color w:val="000000"/>
                <w:kern w:val="0"/>
                <w:szCs w:val="21"/>
              </w:rPr>
              <w:t>对招标人规避招标的行政处罚</w:t>
            </w:r>
          </w:p>
        </w:tc>
        <w:tc>
          <w:tcPr>
            <w:tcW w:w="706" w:type="dxa"/>
            <w:noWrap/>
            <w:tcMar>
              <w:left w:w="51" w:type="dxa"/>
              <w:right w:w="51" w:type="dxa"/>
            </w:tcMar>
            <w:vAlign w:val="center"/>
          </w:tcPr>
          <w:p w14:paraId="1A8429CE">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DAD773B">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89208ED">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410F81F1">
            <w:pPr>
              <w:widowControl/>
              <w:jc w:val="left"/>
              <w:rPr>
                <w:color w:val="000000"/>
                <w:kern w:val="0"/>
                <w:szCs w:val="21"/>
              </w:rPr>
            </w:pPr>
            <w:r>
              <w:rPr>
                <w:b/>
                <w:bCs/>
                <w:color w:val="000000"/>
                <w:kern w:val="0"/>
                <w:szCs w:val="21"/>
              </w:rPr>
              <w:t>1.</w:t>
            </w:r>
            <w:r>
              <w:rPr>
                <w:rFonts w:hAnsi="宋体"/>
                <w:b/>
                <w:bCs/>
                <w:color w:val="000000"/>
                <w:kern w:val="0"/>
                <w:szCs w:val="21"/>
              </w:rPr>
              <w:t>《中华人民共和国招标投标法》第四十九条</w:t>
            </w:r>
            <w:r>
              <w:rPr>
                <w:b/>
                <w:bCs/>
                <w:color w:val="000000"/>
                <w:kern w:val="0"/>
                <w:szCs w:val="21"/>
              </w:rPr>
              <w:t xml:space="preserve"> </w:t>
            </w:r>
            <w:r>
              <w:rPr>
                <w:rFonts w:hAnsi="宋体"/>
                <w:color w:val="000000"/>
                <w:kern w:val="0"/>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《中华人民共和国招标投标法实施条例》第六十三条第二款</w:t>
            </w:r>
            <w:r>
              <w:rPr>
                <w:b/>
                <w:bCs/>
                <w:color w:val="000000"/>
                <w:kern w:val="0"/>
                <w:szCs w:val="21"/>
              </w:rPr>
              <w:t xml:space="preserve">  </w:t>
            </w:r>
            <w:r>
              <w:rPr>
                <w:rFonts w:hAnsi="宋体"/>
                <w:color w:val="000000"/>
                <w:kern w:val="0"/>
                <w:szCs w:val="21"/>
              </w:rPr>
              <w:t>依法必须进行招标的项目的招标人不按照规定发布资格预审公告或者招标公告，构成规避招标的，依照招标投标法第四十九条的规定处罚。</w:t>
            </w:r>
            <w:r>
              <w:rPr>
                <w:color w:val="000000"/>
                <w:kern w:val="0"/>
                <w:szCs w:val="21"/>
              </w:rPr>
              <w:br w:type="textWrapping"/>
            </w:r>
            <w:r>
              <w:rPr>
                <w:b/>
                <w:bCs/>
                <w:color w:val="000000"/>
                <w:kern w:val="0"/>
                <w:szCs w:val="21"/>
              </w:rPr>
              <w:t>3.</w:t>
            </w:r>
            <w:r>
              <w:rPr>
                <w:rFonts w:hAnsi="宋体"/>
                <w:b/>
                <w:bCs/>
                <w:color w:val="000000"/>
                <w:kern w:val="0"/>
                <w:szCs w:val="21"/>
              </w:rPr>
              <w:t>《湖南省实施</w:t>
            </w:r>
            <w:r>
              <w:rPr>
                <w:b/>
                <w:bCs/>
                <w:color w:val="000000"/>
                <w:kern w:val="0"/>
                <w:szCs w:val="21"/>
              </w:rPr>
              <w:t>&lt;</w:t>
            </w:r>
            <w:r>
              <w:rPr>
                <w:rFonts w:hAnsi="宋体"/>
                <w:b/>
                <w:bCs/>
                <w:color w:val="000000"/>
                <w:kern w:val="0"/>
                <w:szCs w:val="21"/>
              </w:rPr>
              <w:t>中华人民共和国招标投标法</w:t>
            </w:r>
            <w:r>
              <w:rPr>
                <w:b/>
                <w:bCs/>
                <w:color w:val="000000"/>
                <w:kern w:val="0"/>
                <w:szCs w:val="21"/>
              </w:rPr>
              <w:t>&gt;</w:t>
            </w:r>
            <w:r>
              <w:rPr>
                <w:rFonts w:hAnsi="宋体"/>
                <w:b/>
                <w:bCs/>
                <w:color w:val="000000"/>
                <w:kern w:val="0"/>
                <w:szCs w:val="21"/>
              </w:rPr>
              <w:t>办法》第四十二条　</w:t>
            </w:r>
            <w:r>
              <w:rPr>
                <w:rFonts w:hAnsi="宋体"/>
                <w:color w:val="000000"/>
                <w:kern w:val="0"/>
                <w:szCs w:val="21"/>
              </w:rPr>
              <w:t>违反本办法第十六条第一款规定，应当公开招标而未公开招标的，招标结果无效，由项目审批部门责令限期改正，属全部或者部分使用国有资金的项目，可以暂停项目执行或者暂停资金拨付；对单位直接负责的主管人员和其他直接责任人员依法给予行政处分。</w:t>
            </w:r>
            <w:r>
              <w:rPr>
                <w:rFonts w:hAnsi="宋体"/>
                <w:b/>
                <w:bCs/>
                <w:color w:val="000000"/>
                <w:kern w:val="0"/>
                <w:szCs w:val="21"/>
              </w:rPr>
              <w:t>第四十三条</w:t>
            </w:r>
            <w:r>
              <w:rPr>
                <w:rFonts w:hAnsi="宋体"/>
                <w:color w:val="000000"/>
                <w:kern w:val="0"/>
                <w:szCs w:val="21"/>
              </w:rPr>
              <w:t>　违反本办法第十九条规定，发布招标公告不合要求的，由有关行政监督部门责令限期改正；未发布招标公告而招标的，招标无效，并对单位直接负责的主管人员和其他直接责任人员依法给予行政处分。</w:t>
            </w:r>
          </w:p>
        </w:tc>
        <w:tc>
          <w:tcPr>
            <w:tcW w:w="411" w:type="dxa"/>
            <w:noWrap/>
            <w:tcMar>
              <w:left w:w="51" w:type="dxa"/>
              <w:right w:w="51" w:type="dxa"/>
            </w:tcMar>
            <w:vAlign w:val="center"/>
          </w:tcPr>
          <w:p w14:paraId="4E78DB5A">
            <w:pPr>
              <w:widowControl/>
              <w:jc w:val="left"/>
              <w:rPr>
                <w:color w:val="000000"/>
                <w:kern w:val="0"/>
                <w:szCs w:val="21"/>
              </w:rPr>
            </w:pPr>
            <w:r>
              <w:rPr>
                <w:rFonts w:hAnsi="宋体"/>
                <w:color w:val="000000"/>
                <w:kern w:val="0"/>
                <w:szCs w:val="21"/>
              </w:rPr>
              <w:t>　</w:t>
            </w:r>
          </w:p>
        </w:tc>
      </w:tr>
      <w:tr w14:paraId="3BAD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417" w:type="dxa"/>
            <w:noWrap w:val="0"/>
            <w:tcMar>
              <w:left w:w="51" w:type="dxa"/>
              <w:right w:w="51" w:type="dxa"/>
            </w:tcMar>
            <w:vAlign w:val="center"/>
          </w:tcPr>
          <w:p w14:paraId="551428E1">
            <w:pPr>
              <w:widowControl/>
              <w:jc w:val="center"/>
              <w:rPr>
                <w:color w:val="000000"/>
                <w:kern w:val="0"/>
                <w:szCs w:val="21"/>
              </w:rPr>
            </w:pPr>
            <w:r>
              <w:rPr>
                <w:rFonts w:hint="eastAsia"/>
                <w:color w:val="000000"/>
                <w:szCs w:val="21"/>
                <w:lang w:val="en-US" w:eastAsia="zh-CN"/>
              </w:rPr>
              <w:t>3</w:t>
            </w:r>
            <w:r>
              <w:rPr>
                <w:color w:val="000000"/>
                <w:szCs w:val="21"/>
              </w:rPr>
              <w:t>3</w:t>
            </w:r>
          </w:p>
        </w:tc>
        <w:tc>
          <w:tcPr>
            <w:tcW w:w="1834" w:type="dxa"/>
            <w:noWrap w:val="0"/>
            <w:tcMar>
              <w:left w:w="51" w:type="dxa"/>
              <w:right w:w="51" w:type="dxa"/>
            </w:tcMar>
            <w:vAlign w:val="center"/>
          </w:tcPr>
          <w:p w14:paraId="245AB937">
            <w:pPr>
              <w:widowControl/>
              <w:jc w:val="left"/>
              <w:rPr>
                <w:color w:val="000000"/>
                <w:kern w:val="0"/>
                <w:szCs w:val="21"/>
              </w:rPr>
            </w:pPr>
            <w:r>
              <w:rPr>
                <w:rFonts w:hAnsi="宋体"/>
                <w:color w:val="000000"/>
                <w:kern w:val="0"/>
                <w:szCs w:val="21"/>
              </w:rPr>
              <w:t>对工业项目及按规定履行监管职责项目招标人以不合理的条件限制或者排斥潜在投标人的行政处罚</w:t>
            </w:r>
          </w:p>
        </w:tc>
        <w:tc>
          <w:tcPr>
            <w:tcW w:w="706" w:type="dxa"/>
            <w:noWrap/>
            <w:tcMar>
              <w:left w:w="51" w:type="dxa"/>
              <w:right w:w="51" w:type="dxa"/>
            </w:tcMar>
            <w:vAlign w:val="center"/>
          </w:tcPr>
          <w:p w14:paraId="39F75279">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6443C8E">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44EDB15">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564F399">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《中华人民共和国招标投标法》第五十一条</w:t>
            </w:r>
            <w:r>
              <w:rPr>
                <w:color w:val="000000"/>
                <w:kern w:val="0"/>
                <w:szCs w:val="21"/>
              </w:rPr>
              <w:t xml:space="preserve">  </w:t>
            </w:r>
            <w:r>
              <w:rPr>
                <w:rFonts w:hAnsi="宋体"/>
                <w:color w:val="000000"/>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《中华人民共和国招标投标法实施条例》第六十三条第一款</w:t>
            </w:r>
            <w:r>
              <w:rPr>
                <w:rFonts w:hAnsi="宋体"/>
                <w:color w:val="000000"/>
                <w:kern w:val="0"/>
                <w:szCs w:val="21"/>
              </w:rPr>
              <w:t>　招标人有下列限制或者排斥潜在投标人行为之一的，由有关行政监督部门依照招标投标法第五十一条的规定处罚：</w:t>
            </w:r>
            <w:r>
              <w:rPr>
                <w:color w:val="000000"/>
                <w:kern w:val="0"/>
                <w:szCs w:val="21"/>
              </w:rPr>
              <w:br w:type="textWrapping"/>
            </w:r>
            <w:r>
              <w:rPr>
                <w:rFonts w:hAnsi="宋体"/>
                <w:color w:val="000000"/>
                <w:kern w:val="0"/>
                <w:szCs w:val="21"/>
              </w:rPr>
              <w:t>（一）依法应当公开招标的项目不按照规定在指定媒介发布资格预审公告或者招标公告；</w:t>
            </w:r>
            <w:r>
              <w:rPr>
                <w:color w:val="000000"/>
                <w:kern w:val="0"/>
                <w:szCs w:val="21"/>
              </w:rPr>
              <w:br w:type="textWrapping"/>
            </w:r>
            <w:r>
              <w:rPr>
                <w:rFonts w:hAnsi="宋体"/>
                <w:color w:val="000000"/>
                <w:kern w:val="0"/>
                <w:szCs w:val="21"/>
              </w:rPr>
              <w:t>（二）在不同媒介发布的同一招标项目的资格预审公告或者招标公告的内容不一致，影响潜在投标人申请资格预审或者投标。</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28A0D998">
            <w:pPr>
              <w:widowControl/>
              <w:jc w:val="left"/>
              <w:rPr>
                <w:color w:val="000000"/>
                <w:kern w:val="0"/>
                <w:szCs w:val="21"/>
              </w:rPr>
            </w:pPr>
            <w:r>
              <w:rPr>
                <w:rFonts w:hAnsi="宋体"/>
                <w:color w:val="000000"/>
                <w:kern w:val="0"/>
                <w:szCs w:val="21"/>
              </w:rPr>
              <w:t>　</w:t>
            </w:r>
          </w:p>
        </w:tc>
      </w:tr>
      <w:tr w14:paraId="456A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7" w:hRule="atLeast"/>
          <w:jc w:val="center"/>
        </w:trPr>
        <w:tc>
          <w:tcPr>
            <w:tcW w:w="417" w:type="dxa"/>
            <w:noWrap w:val="0"/>
            <w:tcMar>
              <w:left w:w="51" w:type="dxa"/>
              <w:right w:w="51" w:type="dxa"/>
            </w:tcMar>
            <w:vAlign w:val="center"/>
          </w:tcPr>
          <w:p w14:paraId="04EBDA7C">
            <w:pPr>
              <w:widowControl/>
              <w:jc w:val="center"/>
              <w:rPr>
                <w:color w:val="000000"/>
                <w:kern w:val="0"/>
                <w:szCs w:val="21"/>
              </w:rPr>
            </w:pPr>
            <w:r>
              <w:rPr>
                <w:rFonts w:hint="eastAsia"/>
                <w:color w:val="000000"/>
                <w:szCs w:val="21"/>
                <w:lang w:val="en-US" w:eastAsia="zh-CN"/>
              </w:rPr>
              <w:t>3</w:t>
            </w:r>
            <w:r>
              <w:rPr>
                <w:color w:val="000000"/>
                <w:szCs w:val="21"/>
              </w:rPr>
              <w:t>4</w:t>
            </w:r>
          </w:p>
        </w:tc>
        <w:tc>
          <w:tcPr>
            <w:tcW w:w="1834" w:type="dxa"/>
            <w:noWrap w:val="0"/>
            <w:tcMar>
              <w:left w:w="51" w:type="dxa"/>
              <w:right w:w="51" w:type="dxa"/>
            </w:tcMar>
            <w:vAlign w:val="center"/>
          </w:tcPr>
          <w:p w14:paraId="27604A37">
            <w:pPr>
              <w:widowControl/>
              <w:jc w:val="left"/>
              <w:rPr>
                <w:color w:val="000000"/>
                <w:kern w:val="0"/>
                <w:szCs w:val="21"/>
              </w:rPr>
            </w:pPr>
            <w:r>
              <w:rPr>
                <w:rFonts w:hAnsi="宋体"/>
                <w:color w:val="000000"/>
                <w:kern w:val="0"/>
                <w:szCs w:val="21"/>
              </w:rPr>
              <w:t>对工业项目及按规定履行监管职责项目的招标人向他人透露已获取招标文件的潜在投标人的名称、数量或者可能影响公平竞争的有关招标投标的其他情况的，或者泄露标底的行政处罚</w:t>
            </w:r>
          </w:p>
        </w:tc>
        <w:tc>
          <w:tcPr>
            <w:tcW w:w="706" w:type="dxa"/>
            <w:noWrap/>
            <w:tcMar>
              <w:left w:w="51" w:type="dxa"/>
              <w:right w:w="51" w:type="dxa"/>
            </w:tcMar>
            <w:vAlign w:val="center"/>
          </w:tcPr>
          <w:p w14:paraId="275B059B">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9FB04B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BBABA09">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6B13B004">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《中华人民共和国招标投标法》第五十二条</w:t>
            </w:r>
            <w:r>
              <w:rPr>
                <w:color w:val="000000"/>
                <w:kern w:val="0"/>
                <w:szCs w:val="21"/>
              </w:rPr>
              <w:t xml:space="preserve">  </w:t>
            </w:r>
            <w:r>
              <w:rPr>
                <w:rFonts w:hAnsi="宋体"/>
                <w:color w:val="000000"/>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color w:val="000000"/>
                <w:kern w:val="0"/>
                <w:szCs w:val="21"/>
              </w:rPr>
              <w:br w:type="textWrapping"/>
            </w:r>
            <w:r>
              <w:rPr>
                <w:rFonts w:hAnsi="宋体"/>
                <w:color w:val="000000"/>
                <w:kern w:val="0"/>
                <w:szCs w:val="21"/>
              </w:rPr>
              <w:t>前款所列行为影响中标结果的，中标无效。</w:t>
            </w:r>
            <w:r>
              <w:rPr>
                <w:color w:val="000000"/>
                <w:kern w:val="0"/>
                <w:szCs w:val="21"/>
              </w:rPr>
              <w:br w:type="textWrapping"/>
            </w:r>
            <w:r>
              <w:rPr>
                <w:b/>
                <w:bCs/>
                <w:color w:val="000000"/>
                <w:kern w:val="0"/>
                <w:szCs w:val="21"/>
              </w:rPr>
              <w:t>2.</w:t>
            </w:r>
            <w:r>
              <w:rPr>
                <w:rFonts w:hAnsi="宋体"/>
                <w:b/>
                <w:bCs/>
                <w:color w:val="000000"/>
                <w:kern w:val="0"/>
                <w:szCs w:val="21"/>
              </w:rPr>
              <w:t>《湖南省实施</w:t>
            </w:r>
            <w:r>
              <w:rPr>
                <w:b/>
                <w:bCs/>
                <w:color w:val="000000"/>
                <w:kern w:val="0"/>
                <w:szCs w:val="21"/>
              </w:rPr>
              <w:t>&lt;</w:t>
            </w:r>
            <w:r>
              <w:rPr>
                <w:rFonts w:hAnsi="宋体"/>
                <w:b/>
                <w:bCs/>
                <w:color w:val="000000"/>
                <w:kern w:val="0"/>
                <w:szCs w:val="21"/>
              </w:rPr>
              <w:t>中华人民共和国招标投标法</w:t>
            </w:r>
            <w:r>
              <w:rPr>
                <w:b/>
                <w:bCs/>
                <w:color w:val="000000"/>
                <w:kern w:val="0"/>
                <w:szCs w:val="21"/>
              </w:rPr>
              <w:t>&gt;</w:t>
            </w:r>
            <w:r>
              <w:rPr>
                <w:rFonts w:hAnsi="宋体"/>
                <w:b/>
                <w:bCs/>
                <w:color w:val="000000"/>
                <w:kern w:val="0"/>
                <w:szCs w:val="21"/>
              </w:rPr>
              <w:t>办法》第四十六条　</w:t>
            </w:r>
            <w:r>
              <w:rPr>
                <w:rFonts w:hAnsi="宋体"/>
                <w:color w:val="000000"/>
                <w:kern w:val="0"/>
                <w:szCs w:val="21"/>
              </w:rPr>
              <w:t>违反本办法规定，有必须招标的项目不招标、泄露标底、串通投标、评标委员会成员收受贿赂、中标人将中标项目转让给他人等违法行为的，依照《中华人民共和国招标投标法》的有关规定处理。</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6B09DD06">
            <w:pPr>
              <w:widowControl/>
              <w:jc w:val="left"/>
              <w:rPr>
                <w:color w:val="000000"/>
                <w:kern w:val="0"/>
                <w:szCs w:val="21"/>
              </w:rPr>
            </w:pPr>
            <w:r>
              <w:rPr>
                <w:rFonts w:hAnsi="宋体"/>
                <w:color w:val="000000"/>
                <w:kern w:val="0"/>
                <w:szCs w:val="21"/>
              </w:rPr>
              <w:t>　</w:t>
            </w:r>
          </w:p>
        </w:tc>
      </w:tr>
      <w:tr w14:paraId="06A9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17" w:type="dxa"/>
            <w:noWrap w:val="0"/>
            <w:tcMar>
              <w:left w:w="51" w:type="dxa"/>
              <w:right w:w="51" w:type="dxa"/>
            </w:tcMar>
            <w:vAlign w:val="center"/>
          </w:tcPr>
          <w:p w14:paraId="3DB243E5">
            <w:pPr>
              <w:widowControl/>
              <w:jc w:val="center"/>
              <w:rPr>
                <w:color w:val="000000"/>
                <w:kern w:val="0"/>
                <w:szCs w:val="21"/>
              </w:rPr>
            </w:pPr>
            <w:r>
              <w:rPr>
                <w:rFonts w:hint="eastAsia"/>
                <w:color w:val="000000"/>
                <w:szCs w:val="21"/>
                <w:lang w:val="en-US" w:eastAsia="zh-CN"/>
              </w:rPr>
              <w:t>3</w:t>
            </w:r>
            <w:r>
              <w:rPr>
                <w:color w:val="000000"/>
                <w:szCs w:val="21"/>
              </w:rPr>
              <w:t>5</w:t>
            </w:r>
          </w:p>
        </w:tc>
        <w:tc>
          <w:tcPr>
            <w:tcW w:w="1834" w:type="dxa"/>
            <w:noWrap w:val="0"/>
            <w:tcMar>
              <w:left w:w="51" w:type="dxa"/>
              <w:right w:w="51" w:type="dxa"/>
            </w:tcMar>
            <w:vAlign w:val="center"/>
          </w:tcPr>
          <w:p w14:paraId="2807A852">
            <w:pPr>
              <w:widowControl/>
              <w:jc w:val="left"/>
              <w:rPr>
                <w:color w:val="000000"/>
                <w:kern w:val="0"/>
                <w:szCs w:val="21"/>
              </w:rPr>
            </w:pPr>
            <w:r>
              <w:rPr>
                <w:rFonts w:hAnsi="宋体"/>
                <w:color w:val="000000"/>
                <w:kern w:val="0"/>
                <w:szCs w:val="21"/>
              </w:rPr>
              <w:t>对工业项目及按规定履行监管职责项目的投标人相互串通投标或者与招标人串通投标的，投标人以向招标人或者评标委员会成员行贿的手段谋取中标的行政处罚</w:t>
            </w:r>
          </w:p>
        </w:tc>
        <w:tc>
          <w:tcPr>
            <w:tcW w:w="706" w:type="dxa"/>
            <w:noWrap/>
            <w:tcMar>
              <w:left w:w="51" w:type="dxa"/>
              <w:right w:w="51" w:type="dxa"/>
            </w:tcMar>
            <w:vAlign w:val="center"/>
          </w:tcPr>
          <w:p w14:paraId="3C78338D">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CFA6BAB">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48D76F0">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2CFA554A">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《中华人民共和国招标投标法》第五十三条</w:t>
            </w:r>
            <w:r>
              <w:rPr>
                <w:color w:val="000000"/>
                <w:kern w:val="0"/>
                <w:szCs w:val="21"/>
              </w:rPr>
              <w:t xml:space="preserve">  </w:t>
            </w:r>
            <w:r>
              <w:rPr>
                <w:rFonts w:hAnsi="宋体"/>
                <w:color w:val="000000"/>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《中华人民共和国招标投标法实施条例》第六十七条</w:t>
            </w:r>
            <w:r>
              <w:rPr>
                <w:color w:val="000000"/>
                <w:kern w:val="0"/>
                <w:szCs w:val="21"/>
              </w:rPr>
              <w:t xml:space="preserve">  </w:t>
            </w:r>
            <w:r>
              <w:rPr>
                <w:rFonts w:hAnsi="宋体"/>
                <w:color w:val="000000"/>
                <w:kern w:val="0"/>
                <w:szCs w:val="21"/>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color w:val="000000"/>
                <w:kern w:val="0"/>
                <w:szCs w:val="21"/>
              </w:rPr>
              <w:br w:type="textWrapping"/>
            </w:r>
            <w:r>
              <w:rPr>
                <w:rFonts w:hAnsi="宋体"/>
                <w:color w:val="000000"/>
                <w:kern w:val="0"/>
                <w:szCs w:val="21"/>
              </w:rPr>
              <w:t>投标人有下列行为之一的，属于招标投标法第五十三条规定的情节严重行为，由有关行政监督部门取消其</w:t>
            </w:r>
            <w:r>
              <w:rPr>
                <w:color w:val="000000"/>
                <w:kern w:val="0"/>
                <w:szCs w:val="21"/>
              </w:rPr>
              <w:t>1</w:t>
            </w:r>
            <w:r>
              <w:rPr>
                <w:rFonts w:hAnsi="宋体"/>
                <w:color w:val="000000"/>
                <w:kern w:val="0"/>
                <w:szCs w:val="21"/>
              </w:rPr>
              <w:t>年至</w:t>
            </w:r>
            <w:r>
              <w:rPr>
                <w:color w:val="000000"/>
                <w:kern w:val="0"/>
                <w:szCs w:val="21"/>
              </w:rPr>
              <w:t>2</w:t>
            </w:r>
            <w:r>
              <w:rPr>
                <w:rFonts w:hAnsi="宋体"/>
                <w:color w:val="000000"/>
                <w:kern w:val="0"/>
                <w:szCs w:val="21"/>
              </w:rPr>
              <w:t>年内参加依法必须进行招标的项目的投标资格：</w:t>
            </w:r>
            <w:r>
              <w:rPr>
                <w:color w:val="000000"/>
                <w:kern w:val="0"/>
                <w:szCs w:val="21"/>
              </w:rPr>
              <w:br w:type="textWrapping"/>
            </w:r>
            <w:r>
              <w:rPr>
                <w:rFonts w:hAnsi="宋体"/>
                <w:color w:val="000000"/>
                <w:kern w:val="0"/>
                <w:szCs w:val="21"/>
              </w:rPr>
              <w:t>（一）以行贿谋取中标；</w:t>
            </w:r>
            <w:r>
              <w:rPr>
                <w:color w:val="000000"/>
                <w:kern w:val="0"/>
                <w:szCs w:val="21"/>
              </w:rPr>
              <w:br w:type="textWrapping"/>
            </w:r>
            <w:r>
              <w:rPr>
                <w:rFonts w:hAnsi="宋体"/>
                <w:color w:val="000000"/>
                <w:kern w:val="0"/>
                <w:szCs w:val="21"/>
              </w:rPr>
              <w:t>（二）</w:t>
            </w:r>
            <w:r>
              <w:rPr>
                <w:color w:val="000000"/>
                <w:kern w:val="0"/>
                <w:szCs w:val="21"/>
              </w:rPr>
              <w:t>3</w:t>
            </w:r>
            <w:r>
              <w:rPr>
                <w:rFonts w:hAnsi="宋体"/>
                <w:color w:val="000000"/>
                <w:kern w:val="0"/>
                <w:szCs w:val="21"/>
              </w:rPr>
              <w:t>年内</w:t>
            </w:r>
            <w:r>
              <w:rPr>
                <w:color w:val="000000"/>
                <w:kern w:val="0"/>
                <w:szCs w:val="21"/>
              </w:rPr>
              <w:t>2</w:t>
            </w:r>
            <w:r>
              <w:rPr>
                <w:rFonts w:hAnsi="宋体"/>
                <w:color w:val="000000"/>
                <w:kern w:val="0"/>
                <w:szCs w:val="21"/>
              </w:rPr>
              <w:t>次以上串通投标；</w:t>
            </w:r>
            <w:r>
              <w:rPr>
                <w:color w:val="000000"/>
                <w:kern w:val="0"/>
                <w:szCs w:val="21"/>
              </w:rPr>
              <w:br w:type="textWrapping"/>
            </w:r>
            <w:r>
              <w:rPr>
                <w:rFonts w:hAnsi="宋体"/>
                <w:color w:val="000000"/>
                <w:kern w:val="0"/>
                <w:szCs w:val="21"/>
              </w:rPr>
              <w:t>（三）串通投标行为损害招标人、其他投标人或者国家、集体、公民的合法利益，造成直接经济损失</w:t>
            </w:r>
            <w:r>
              <w:rPr>
                <w:color w:val="000000"/>
                <w:kern w:val="0"/>
                <w:szCs w:val="21"/>
              </w:rPr>
              <w:t>30</w:t>
            </w:r>
            <w:r>
              <w:rPr>
                <w:rFonts w:hAnsi="宋体"/>
                <w:color w:val="000000"/>
                <w:kern w:val="0"/>
                <w:szCs w:val="21"/>
              </w:rPr>
              <w:t>万元以上；</w:t>
            </w:r>
            <w:r>
              <w:rPr>
                <w:color w:val="000000"/>
                <w:kern w:val="0"/>
                <w:szCs w:val="21"/>
              </w:rPr>
              <w:br w:type="textWrapping"/>
            </w:r>
            <w:r>
              <w:rPr>
                <w:rFonts w:hAnsi="宋体"/>
                <w:color w:val="000000"/>
                <w:kern w:val="0"/>
                <w:szCs w:val="21"/>
              </w:rPr>
              <w:t>（四）其他串通投标情节严重的行为。</w:t>
            </w:r>
            <w:r>
              <w:rPr>
                <w:color w:val="000000"/>
                <w:kern w:val="0"/>
                <w:szCs w:val="21"/>
              </w:rPr>
              <w:br w:type="textWrapping"/>
            </w:r>
            <w:r>
              <w:rPr>
                <w:rFonts w:hAnsi="宋体"/>
                <w:color w:val="000000"/>
                <w:kern w:val="0"/>
                <w:szCs w:val="21"/>
              </w:rPr>
              <w:t>投标人自本条第二款规定的处罚执行期限届满之日起</w:t>
            </w:r>
            <w:r>
              <w:rPr>
                <w:color w:val="000000"/>
                <w:kern w:val="0"/>
                <w:szCs w:val="21"/>
              </w:rPr>
              <w:t>3</w:t>
            </w:r>
            <w:r>
              <w:rPr>
                <w:rFonts w:hAnsi="宋体"/>
                <w:color w:val="000000"/>
                <w:kern w:val="0"/>
                <w:szCs w:val="21"/>
              </w:rPr>
              <w:t>年内又有该款所列违法行为之一的，或者串通投标、以行贿谋取中标情节特别严重的，由工商行政管理机关吊销营业执照。</w:t>
            </w:r>
            <w:r>
              <w:rPr>
                <w:color w:val="000000"/>
                <w:kern w:val="0"/>
                <w:szCs w:val="21"/>
              </w:rPr>
              <w:br w:type="textWrapping"/>
            </w:r>
            <w:r>
              <w:rPr>
                <w:rFonts w:hAnsi="宋体"/>
                <w:color w:val="000000"/>
                <w:kern w:val="0"/>
                <w:szCs w:val="21"/>
              </w:rPr>
              <w:t>法律、行政法规对串通投标报价行为的处罚另有规定的，从其规定。</w:t>
            </w:r>
            <w:r>
              <w:rPr>
                <w:color w:val="000000"/>
                <w:kern w:val="0"/>
                <w:szCs w:val="21"/>
              </w:rPr>
              <w:br w:type="textWrapping"/>
            </w:r>
            <w:r>
              <w:rPr>
                <w:b/>
                <w:bCs/>
                <w:color w:val="000000"/>
                <w:kern w:val="0"/>
                <w:szCs w:val="21"/>
              </w:rPr>
              <w:t>3.</w:t>
            </w:r>
            <w:r>
              <w:rPr>
                <w:rFonts w:hAnsi="宋体"/>
                <w:b/>
                <w:bCs/>
                <w:color w:val="000000"/>
                <w:kern w:val="0"/>
                <w:szCs w:val="21"/>
              </w:rPr>
              <w:t>《湖南省实施</w:t>
            </w:r>
            <w:r>
              <w:rPr>
                <w:b/>
                <w:bCs/>
                <w:color w:val="000000"/>
                <w:kern w:val="0"/>
                <w:szCs w:val="21"/>
              </w:rPr>
              <w:t>&lt;</w:t>
            </w:r>
            <w:r>
              <w:rPr>
                <w:rFonts w:hAnsi="宋体"/>
                <w:b/>
                <w:bCs/>
                <w:color w:val="000000"/>
                <w:kern w:val="0"/>
                <w:szCs w:val="21"/>
              </w:rPr>
              <w:t>中华人民共和国招标投标法</w:t>
            </w:r>
            <w:r>
              <w:rPr>
                <w:b/>
                <w:bCs/>
                <w:color w:val="000000"/>
                <w:kern w:val="0"/>
                <w:szCs w:val="21"/>
              </w:rPr>
              <w:t>&gt;</w:t>
            </w:r>
            <w:r>
              <w:rPr>
                <w:rFonts w:hAnsi="宋体"/>
                <w:b/>
                <w:bCs/>
                <w:color w:val="000000"/>
                <w:kern w:val="0"/>
                <w:szCs w:val="21"/>
              </w:rPr>
              <w:t>办法》第四十六条</w:t>
            </w:r>
            <w:r>
              <w:rPr>
                <w:rFonts w:hAnsi="宋体"/>
                <w:color w:val="000000"/>
                <w:kern w:val="0"/>
                <w:szCs w:val="21"/>
              </w:rPr>
              <w:t>　违反本办法规定，有必须招标的项目不招标、泄露标底、串通投标、评标委员会成员收受贿赂、中标人将中标项目转让给他人等违法行为的，依照《中华人民共和国招标投标法》的有关规定处理。</w:t>
            </w:r>
            <w:r>
              <w:rPr>
                <w:color w:val="000000"/>
                <w:kern w:val="0"/>
                <w:szCs w:val="21"/>
              </w:rPr>
              <w:br w:type="textWrapping"/>
            </w:r>
            <w:r>
              <w:rPr>
                <w:b/>
                <w:bCs/>
                <w:color w:val="000000"/>
                <w:kern w:val="0"/>
                <w:szCs w:val="21"/>
              </w:rPr>
              <w:t>4.</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b/>
                <w:bCs/>
                <w:color w:val="000000"/>
                <w:kern w:val="0"/>
                <w:szCs w:val="21"/>
              </w:rPr>
              <w:t xml:space="preserve"> </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43C937CD">
            <w:pPr>
              <w:widowControl/>
              <w:jc w:val="left"/>
              <w:rPr>
                <w:color w:val="000000"/>
                <w:kern w:val="0"/>
                <w:szCs w:val="21"/>
              </w:rPr>
            </w:pPr>
            <w:r>
              <w:rPr>
                <w:rFonts w:hAnsi="宋体"/>
                <w:color w:val="000000"/>
                <w:kern w:val="0"/>
                <w:szCs w:val="21"/>
              </w:rPr>
              <w:t>　</w:t>
            </w:r>
          </w:p>
        </w:tc>
      </w:tr>
      <w:tr w14:paraId="416C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417" w:type="dxa"/>
            <w:noWrap w:val="0"/>
            <w:tcMar>
              <w:left w:w="51" w:type="dxa"/>
              <w:right w:w="51" w:type="dxa"/>
            </w:tcMar>
            <w:vAlign w:val="center"/>
          </w:tcPr>
          <w:p w14:paraId="60013D5E">
            <w:pPr>
              <w:widowControl/>
              <w:jc w:val="center"/>
              <w:rPr>
                <w:color w:val="000000"/>
                <w:kern w:val="0"/>
                <w:szCs w:val="21"/>
              </w:rPr>
            </w:pPr>
            <w:r>
              <w:rPr>
                <w:rFonts w:hint="eastAsia"/>
                <w:color w:val="000000"/>
                <w:szCs w:val="21"/>
                <w:lang w:val="en-US" w:eastAsia="zh-CN"/>
              </w:rPr>
              <w:t>3</w:t>
            </w:r>
            <w:r>
              <w:rPr>
                <w:color w:val="000000"/>
                <w:szCs w:val="21"/>
              </w:rPr>
              <w:t>6</w:t>
            </w:r>
          </w:p>
        </w:tc>
        <w:tc>
          <w:tcPr>
            <w:tcW w:w="1834" w:type="dxa"/>
            <w:noWrap w:val="0"/>
            <w:tcMar>
              <w:left w:w="51" w:type="dxa"/>
              <w:right w:w="51" w:type="dxa"/>
            </w:tcMar>
            <w:vAlign w:val="center"/>
          </w:tcPr>
          <w:p w14:paraId="02AE86ED">
            <w:pPr>
              <w:widowControl/>
              <w:jc w:val="left"/>
              <w:rPr>
                <w:color w:val="000000"/>
                <w:kern w:val="0"/>
                <w:szCs w:val="21"/>
              </w:rPr>
            </w:pPr>
            <w:r>
              <w:rPr>
                <w:rFonts w:hAnsi="宋体"/>
                <w:color w:val="000000"/>
                <w:kern w:val="0"/>
                <w:szCs w:val="21"/>
              </w:rPr>
              <w:t>对工业项目及按规定履行监管职责项目的投标人以他人名义投标或者以其他方式弄虚作假，骗取中标的行政处罚</w:t>
            </w:r>
          </w:p>
        </w:tc>
        <w:tc>
          <w:tcPr>
            <w:tcW w:w="706" w:type="dxa"/>
            <w:noWrap/>
            <w:tcMar>
              <w:left w:w="51" w:type="dxa"/>
              <w:right w:w="51" w:type="dxa"/>
            </w:tcMar>
            <w:vAlign w:val="center"/>
          </w:tcPr>
          <w:p w14:paraId="15D2598E">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BCBF8CF">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41A332E">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62D173C2">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《中华人民共和国招标投标法》第五十四条</w:t>
            </w:r>
            <w:r>
              <w:rPr>
                <w:b/>
                <w:bCs/>
                <w:color w:val="000000"/>
                <w:kern w:val="0"/>
                <w:szCs w:val="21"/>
              </w:rPr>
              <w:t xml:space="preserve"> </w:t>
            </w:r>
            <w:r>
              <w:rPr>
                <w:color w:val="000000"/>
                <w:kern w:val="0"/>
                <w:szCs w:val="21"/>
              </w:rPr>
              <w:t xml:space="preserve"> </w:t>
            </w:r>
            <w:r>
              <w:rPr>
                <w:rFonts w:hAnsi="宋体"/>
                <w:color w:val="000000"/>
                <w:kern w:val="0"/>
                <w:szCs w:val="21"/>
              </w:rPr>
              <w:t>投标人以他人名义投标或者以其他方式弄虚作假，骗取中标的，中标无效，给招标人造成损失的，依法承担赔偿责任；构成犯罪的，依法追究刑事责任。</w:t>
            </w:r>
            <w:r>
              <w:rPr>
                <w:color w:val="000000"/>
                <w:kern w:val="0"/>
                <w:szCs w:val="21"/>
              </w:rPr>
              <w:br w:type="textWrapping"/>
            </w:r>
            <w:r>
              <w:rPr>
                <w:rFonts w:hAnsi="宋体"/>
                <w:color w:val="000000"/>
                <w:kern w:val="0"/>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《中华人民共和国招标投标法实施条例》第六十八条</w:t>
            </w:r>
            <w:r>
              <w:rPr>
                <w:b/>
                <w:bCs/>
                <w:color w:val="000000"/>
                <w:kern w:val="0"/>
                <w:szCs w:val="21"/>
              </w:rPr>
              <w:t xml:space="preserve">  </w:t>
            </w:r>
            <w:r>
              <w:rPr>
                <w:rFonts w:hAnsi="宋体"/>
                <w:color w:val="000000"/>
                <w:kern w:val="0"/>
                <w:szCs w:val="21"/>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color w:val="000000"/>
                <w:kern w:val="0"/>
                <w:szCs w:val="21"/>
              </w:rPr>
              <w:br w:type="textWrapping"/>
            </w:r>
            <w:r>
              <w:rPr>
                <w:rFonts w:hAnsi="宋体"/>
                <w:color w:val="000000"/>
                <w:kern w:val="0"/>
                <w:szCs w:val="21"/>
              </w:rPr>
              <w:t>投标人有下列行为之一的，属于招标投标法第五十四条规定的情节严重行为，由有关行政监督部门取消其</w:t>
            </w:r>
            <w:r>
              <w:rPr>
                <w:color w:val="000000"/>
                <w:kern w:val="0"/>
                <w:szCs w:val="21"/>
              </w:rPr>
              <w:t>1</w:t>
            </w:r>
            <w:r>
              <w:rPr>
                <w:rFonts w:hAnsi="宋体"/>
                <w:color w:val="000000"/>
                <w:kern w:val="0"/>
                <w:szCs w:val="21"/>
              </w:rPr>
              <w:t>年至</w:t>
            </w:r>
            <w:r>
              <w:rPr>
                <w:color w:val="000000"/>
                <w:kern w:val="0"/>
                <w:szCs w:val="21"/>
              </w:rPr>
              <w:t>3</w:t>
            </w:r>
            <w:r>
              <w:rPr>
                <w:rFonts w:hAnsi="宋体"/>
                <w:color w:val="000000"/>
                <w:kern w:val="0"/>
                <w:szCs w:val="21"/>
              </w:rPr>
              <w:t>年内参加依法必须进行招标的项目的投标资格：</w:t>
            </w:r>
            <w:r>
              <w:rPr>
                <w:color w:val="000000"/>
                <w:kern w:val="0"/>
                <w:szCs w:val="21"/>
              </w:rPr>
              <w:br w:type="textWrapping"/>
            </w:r>
            <w:r>
              <w:rPr>
                <w:rFonts w:hAnsi="宋体"/>
                <w:color w:val="000000"/>
                <w:kern w:val="0"/>
                <w:szCs w:val="21"/>
              </w:rPr>
              <w:t>（一）伪造、变造资格、资质证书或者其他许可证件骗取中标；</w:t>
            </w:r>
            <w:r>
              <w:rPr>
                <w:color w:val="000000"/>
                <w:kern w:val="0"/>
                <w:szCs w:val="21"/>
              </w:rPr>
              <w:br w:type="textWrapping"/>
            </w:r>
            <w:r>
              <w:rPr>
                <w:rFonts w:hAnsi="宋体"/>
                <w:color w:val="000000"/>
                <w:kern w:val="0"/>
                <w:szCs w:val="21"/>
              </w:rPr>
              <w:t>（二）</w:t>
            </w:r>
            <w:r>
              <w:rPr>
                <w:color w:val="000000"/>
                <w:kern w:val="0"/>
                <w:szCs w:val="21"/>
              </w:rPr>
              <w:t>3</w:t>
            </w:r>
            <w:r>
              <w:rPr>
                <w:rFonts w:hAnsi="宋体"/>
                <w:color w:val="000000"/>
                <w:kern w:val="0"/>
                <w:szCs w:val="21"/>
              </w:rPr>
              <w:t>年内</w:t>
            </w:r>
            <w:r>
              <w:rPr>
                <w:color w:val="000000"/>
                <w:kern w:val="0"/>
                <w:szCs w:val="21"/>
              </w:rPr>
              <w:t>2</w:t>
            </w:r>
            <w:r>
              <w:rPr>
                <w:rFonts w:hAnsi="宋体"/>
                <w:color w:val="000000"/>
                <w:kern w:val="0"/>
                <w:szCs w:val="21"/>
              </w:rPr>
              <w:t>次以上使用他人名义投标；</w:t>
            </w:r>
            <w:r>
              <w:rPr>
                <w:color w:val="000000"/>
                <w:kern w:val="0"/>
                <w:szCs w:val="21"/>
              </w:rPr>
              <w:br w:type="textWrapping"/>
            </w:r>
            <w:r>
              <w:rPr>
                <w:rFonts w:hAnsi="宋体"/>
                <w:color w:val="000000"/>
                <w:kern w:val="0"/>
                <w:szCs w:val="21"/>
              </w:rPr>
              <w:t>（三）弄虚作假骗取中标给招标人造成直接经济损失</w:t>
            </w:r>
            <w:r>
              <w:rPr>
                <w:color w:val="000000"/>
                <w:kern w:val="0"/>
                <w:szCs w:val="21"/>
              </w:rPr>
              <w:t>30</w:t>
            </w:r>
            <w:r>
              <w:rPr>
                <w:rFonts w:hAnsi="宋体"/>
                <w:color w:val="000000"/>
                <w:kern w:val="0"/>
                <w:szCs w:val="21"/>
              </w:rPr>
              <w:t>万元以上；</w:t>
            </w:r>
            <w:r>
              <w:rPr>
                <w:color w:val="000000"/>
                <w:kern w:val="0"/>
                <w:szCs w:val="21"/>
              </w:rPr>
              <w:br w:type="textWrapping"/>
            </w:r>
            <w:r>
              <w:rPr>
                <w:rFonts w:hAnsi="宋体"/>
                <w:color w:val="000000"/>
                <w:kern w:val="0"/>
                <w:szCs w:val="21"/>
              </w:rPr>
              <w:t>（四）其他弄虚作假骗取中标情节严重的行为。</w:t>
            </w:r>
            <w:r>
              <w:rPr>
                <w:color w:val="000000"/>
                <w:kern w:val="0"/>
                <w:szCs w:val="21"/>
              </w:rPr>
              <w:br w:type="textWrapping"/>
            </w:r>
            <w:r>
              <w:rPr>
                <w:rFonts w:hAnsi="宋体"/>
                <w:color w:val="000000"/>
                <w:kern w:val="0"/>
                <w:szCs w:val="21"/>
              </w:rPr>
              <w:t>投标人自本条第二款规定的处罚执行期限届满之日起</w:t>
            </w:r>
            <w:r>
              <w:rPr>
                <w:color w:val="000000"/>
                <w:kern w:val="0"/>
                <w:szCs w:val="21"/>
              </w:rPr>
              <w:t>3</w:t>
            </w:r>
            <w:r>
              <w:rPr>
                <w:rFonts w:hAnsi="宋体"/>
                <w:color w:val="000000"/>
                <w:kern w:val="0"/>
                <w:szCs w:val="21"/>
              </w:rPr>
              <w:t>年内又有该款所列违法行为之一的，或者弄虚作假骗取中标情节特别严重的，由工商行政管理机关吊销营业执照。</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2FE2CF0E">
            <w:pPr>
              <w:widowControl/>
              <w:jc w:val="left"/>
              <w:rPr>
                <w:color w:val="000000"/>
                <w:kern w:val="0"/>
                <w:szCs w:val="21"/>
              </w:rPr>
            </w:pPr>
            <w:r>
              <w:rPr>
                <w:rFonts w:hAnsi="宋体"/>
                <w:color w:val="000000"/>
                <w:kern w:val="0"/>
                <w:szCs w:val="21"/>
              </w:rPr>
              <w:t>　</w:t>
            </w:r>
          </w:p>
        </w:tc>
      </w:tr>
      <w:tr w14:paraId="4BA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417" w:type="dxa"/>
            <w:noWrap w:val="0"/>
            <w:tcMar>
              <w:left w:w="51" w:type="dxa"/>
              <w:right w:w="51" w:type="dxa"/>
            </w:tcMar>
            <w:vAlign w:val="center"/>
          </w:tcPr>
          <w:p w14:paraId="7131B2E7">
            <w:pPr>
              <w:widowControl/>
              <w:jc w:val="center"/>
              <w:rPr>
                <w:color w:val="000000"/>
                <w:kern w:val="0"/>
                <w:szCs w:val="21"/>
              </w:rPr>
            </w:pPr>
            <w:r>
              <w:rPr>
                <w:rFonts w:hint="eastAsia"/>
                <w:color w:val="000000"/>
                <w:szCs w:val="21"/>
                <w:lang w:val="en-US" w:eastAsia="zh-CN"/>
              </w:rPr>
              <w:t>3</w:t>
            </w:r>
            <w:r>
              <w:rPr>
                <w:color w:val="000000"/>
                <w:szCs w:val="21"/>
              </w:rPr>
              <w:t>7</w:t>
            </w:r>
          </w:p>
        </w:tc>
        <w:tc>
          <w:tcPr>
            <w:tcW w:w="1834" w:type="dxa"/>
            <w:noWrap w:val="0"/>
            <w:tcMar>
              <w:left w:w="51" w:type="dxa"/>
              <w:right w:w="51" w:type="dxa"/>
            </w:tcMar>
            <w:vAlign w:val="center"/>
          </w:tcPr>
          <w:p w14:paraId="411181ED">
            <w:pPr>
              <w:widowControl/>
              <w:jc w:val="left"/>
              <w:rPr>
                <w:color w:val="000000"/>
                <w:kern w:val="0"/>
                <w:szCs w:val="21"/>
              </w:rPr>
            </w:pPr>
            <w:r>
              <w:rPr>
                <w:rFonts w:hAnsi="宋体"/>
                <w:color w:val="000000"/>
                <w:kern w:val="0"/>
                <w:szCs w:val="21"/>
              </w:rPr>
              <w:t>对工业项目及按规定履行监管职责项目招标人违反招投标法律规定，与投标人就投标价格、投标方案等实质性内容进行谈判的行政处罚</w:t>
            </w:r>
          </w:p>
        </w:tc>
        <w:tc>
          <w:tcPr>
            <w:tcW w:w="706" w:type="dxa"/>
            <w:noWrap/>
            <w:tcMar>
              <w:left w:w="51" w:type="dxa"/>
              <w:right w:w="51" w:type="dxa"/>
            </w:tcMar>
            <w:vAlign w:val="center"/>
          </w:tcPr>
          <w:p w14:paraId="307C46C4">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0F61EAB">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BF605E4">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2C030047">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《中华人民共和国招标投标法》第五十五条</w:t>
            </w:r>
            <w:r>
              <w:rPr>
                <w:b/>
                <w:bCs/>
                <w:color w:val="000000"/>
                <w:kern w:val="0"/>
                <w:szCs w:val="21"/>
              </w:rPr>
              <w:t xml:space="preserve"> </w:t>
            </w:r>
            <w:r>
              <w:rPr>
                <w:color w:val="000000"/>
                <w:kern w:val="0"/>
                <w:szCs w:val="21"/>
              </w:rPr>
              <w:t xml:space="preserve"> </w:t>
            </w:r>
            <w:r>
              <w:rPr>
                <w:rFonts w:hAnsi="宋体"/>
                <w:color w:val="000000"/>
                <w:kern w:val="0"/>
                <w:szCs w:val="21"/>
              </w:rPr>
              <w:t>依法必须进行招标的项目，招标人违反本法规定，与投标人就投标价格、投标方案等实质性内容进行谈判的，给予警告，对单位直接负责的主管人员和其他直接责任人员依法给予处分。</w:t>
            </w:r>
            <w:r>
              <w:rPr>
                <w:color w:val="000000"/>
                <w:kern w:val="0"/>
                <w:szCs w:val="21"/>
              </w:rPr>
              <w:br w:type="textWrapping"/>
            </w:r>
            <w:r>
              <w:rPr>
                <w:rFonts w:hAnsi="宋体"/>
                <w:color w:val="000000"/>
                <w:kern w:val="0"/>
                <w:szCs w:val="21"/>
              </w:rPr>
              <w:t>前款所列行为影响中标结果的，中标无效。</w:t>
            </w:r>
            <w:r>
              <w:rPr>
                <w:color w:val="000000"/>
                <w:kern w:val="0"/>
                <w:szCs w:val="21"/>
              </w:rPr>
              <w:br w:type="textWrapping"/>
            </w:r>
            <w:r>
              <w:rPr>
                <w:b/>
                <w:bCs/>
                <w:color w:val="000000"/>
                <w:kern w:val="0"/>
                <w:szCs w:val="21"/>
              </w:rPr>
              <w:t>2.</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b/>
                <w:bCs/>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7A15468F">
            <w:pPr>
              <w:widowControl/>
              <w:jc w:val="left"/>
              <w:rPr>
                <w:color w:val="000000"/>
                <w:kern w:val="0"/>
                <w:szCs w:val="21"/>
              </w:rPr>
            </w:pPr>
            <w:r>
              <w:rPr>
                <w:rFonts w:hAnsi="宋体"/>
                <w:color w:val="000000"/>
                <w:kern w:val="0"/>
                <w:szCs w:val="21"/>
              </w:rPr>
              <w:t>　</w:t>
            </w:r>
          </w:p>
        </w:tc>
      </w:tr>
      <w:tr w14:paraId="4E78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17" w:type="dxa"/>
            <w:noWrap w:val="0"/>
            <w:tcMar>
              <w:left w:w="51" w:type="dxa"/>
              <w:right w:w="51" w:type="dxa"/>
            </w:tcMar>
            <w:vAlign w:val="center"/>
          </w:tcPr>
          <w:p w14:paraId="3DF2F300">
            <w:pPr>
              <w:widowControl/>
              <w:jc w:val="center"/>
              <w:rPr>
                <w:color w:val="000000"/>
                <w:kern w:val="0"/>
                <w:szCs w:val="21"/>
              </w:rPr>
            </w:pPr>
            <w:r>
              <w:rPr>
                <w:rFonts w:hint="eastAsia"/>
                <w:color w:val="000000"/>
                <w:szCs w:val="21"/>
                <w:lang w:val="en-US" w:eastAsia="zh-CN"/>
              </w:rPr>
              <w:t>3</w:t>
            </w:r>
            <w:r>
              <w:rPr>
                <w:color w:val="000000"/>
                <w:szCs w:val="21"/>
              </w:rPr>
              <w:t>8</w:t>
            </w:r>
          </w:p>
        </w:tc>
        <w:tc>
          <w:tcPr>
            <w:tcW w:w="1834" w:type="dxa"/>
            <w:noWrap w:val="0"/>
            <w:tcMar>
              <w:left w:w="51" w:type="dxa"/>
              <w:right w:w="51" w:type="dxa"/>
            </w:tcMar>
            <w:vAlign w:val="center"/>
          </w:tcPr>
          <w:p w14:paraId="68EE79AD">
            <w:pPr>
              <w:widowControl/>
              <w:jc w:val="left"/>
              <w:rPr>
                <w:color w:val="000000"/>
                <w:kern w:val="0"/>
                <w:szCs w:val="21"/>
              </w:rPr>
            </w:pPr>
            <w:r>
              <w:rPr>
                <w:rFonts w:hAnsi="宋体"/>
                <w:color w:val="000000"/>
                <w:kern w:val="0"/>
                <w:szCs w:val="21"/>
              </w:rPr>
              <w:t>对评标专家违规的行政处罚</w:t>
            </w:r>
          </w:p>
        </w:tc>
        <w:tc>
          <w:tcPr>
            <w:tcW w:w="706" w:type="dxa"/>
            <w:noWrap/>
            <w:tcMar>
              <w:left w:w="51" w:type="dxa"/>
              <w:right w:w="51" w:type="dxa"/>
            </w:tcMar>
            <w:vAlign w:val="center"/>
          </w:tcPr>
          <w:p w14:paraId="40301231">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B61E314">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59AEDB6">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18712B24">
            <w:pPr>
              <w:widowControl/>
              <w:jc w:val="left"/>
              <w:rPr>
                <w:rFonts w:hint="eastAsia" w:hAnsi="宋体"/>
                <w:color w:val="000000"/>
                <w:kern w:val="0"/>
                <w:szCs w:val="21"/>
              </w:rPr>
            </w:pPr>
            <w:r>
              <w:rPr>
                <w:b/>
                <w:bCs/>
                <w:color w:val="000000"/>
                <w:kern w:val="0"/>
                <w:szCs w:val="21"/>
              </w:rPr>
              <w:t>1.</w:t>
            </w:r>
            <w:r>
              <w:rPr>
                <w:rFonts w:hAnsi="宋体"/>
                <w:b/>
                <w:bCs/>
                <w:color w:val="000000"/>
                <w:kern w:val="0"/>
                <w:szCs w:val="21"/>
              </w:rPr>
              <w:t>《中华人民共和国招标投标法》第五十六条</w:t>
            </w:r>
            <w:r>
              <w:rPr>
                <w:b/>
                <w:bCs/>
                <w:color w:val="000000"/>
                <w:kern w:val="0"/>
                <w:szCs w:val="21"/>
              </w:rPr>
              <w:t xml:space="preserve"> </w:t>
            </w:r>
            <w:r>
              <w:rPr>
                <w:color w:val="000000"/>
                <w:kern w:val="0"/>
                <w:szCs w:val="21"/>
              </w:rPr>
              <w:t xml:space="preserve"> </w:t>
            </w:r>
            <w:r>
              <w:rPr>
                <w:rFonts w:hAnsi="宋体"/>
                <w:color w:val="000000"/>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《中华人民共和国招标投标法实施条例》第七十一条</w:t>
            </w:r>
            <w:r>
              <w:rPr>
                <w:color w:val="000000"/>
                <w:kern w:val="0"/>
                <w:szCs w:val="21"/>
              </w:rPr>
              <w:t xml:space="preserve">  </w:t>
            </w:r>
            <w:r>
              <w:rPr>
                <w:rFonts w:hAnsi="宋体"/>
                <w:color w:val="000000"/>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r>
              <w:rPr>
                <w:color w:val="000000"/>
                <w:kern w:val="0"/>
                <w:szCs w:val="21"/>
              </w:rPr>
              <w:br w:type="textWrapping"/>
            </w:r>
            <w:r>
              <w:rPr>
                <w:rFonts w:hAnsi="宋体"/>
                <w:color w:val="000000"/>
                <w:kern w:val="0"/>
                <w:szCs w:val="21"/>
              </w:rPr>
              <w:t>（一）应当回避而不回避；</w:t>
            </w:r>
            <w:r>
              <w:rPr>
                <w:color w:val="000000"/>
                <w:kern w:val="0"/>
                <w:szCs w:val="21"/>
              </w:rPr>
              <w:br w:type="textWrapping"/>
            </w:r>
            <w:r>
              <w:rPr>
                <w:rFonts w:hAnsi="宋体"/>
                <w:color w:val="000000"/>
                <w:kern w:val="0"/>
                <w:szCs w:val="21"/>
              </w:rPr>
              <w:t>（二）擅离职守；</w:t>
            </w:r>
            <w:r>
              <w:rPr>
                <w:color w:val="000000"/>
                <w:kern w:val="0"/>
                <w:szCs w:val="21"/>
              </w:rPr>
              <w:br w:type="textWrapping"/>
            </w:r>
            <w:r>
              <w:rPr>
                <w:rFonts w:hAnsi="宋体"/>
                <w:color w:val="000000"/>
                <w:kern w:val="0"/>
                <w:szCs w:val="21"/>
              </w:rPr>
              <w:t>（三）不按照招标文件规定的评标标准和方法评标；</w:t>
            </w:r>
            <w:r>
              <w:rPr>
                <w:color w:val="000000"/>
                <w:kern w:val="0"/>
                <w:szCs w:val="21"/>
              </w:rPr>
              <w:br w:type="textWrapping"/>
            </w:r>
            <w:r>
              <w:rPr>
                <w:rFonts w:hAnsi="宋体"/>
                <w:color w:val="000000"/>
                <w:kern w:val="0"/>
                <w:szCs w:val="21"/>
              </w:rPr>
              <w:t>（四）私下接触投标人；</w:t>
            </w:r>
            <w:r>
              <w:rPr>
                <w:color w:val="000000"/>
                <w:kern w:val="0"/>
                <w:szCs w:val="21"/>
              </w:rPr>
              <w:br w:type="textWrapping"/>
            </w:r>
            <w:r>
              <w:rPr>
                <w:rFonts w:hAnsi="宋体"/>
                <w:color w:val="000000"/>
                <w:kern w:val="0"/>
                <w:szCs w:val="21"/>
              </w:rPr>
              <w:t>（五）向招标人征询确定中标人的意向或者接受任何单位或者个人明示或者暗示提出的倾向或者排斥特定投标人的要求；</w:t>
            </w:r>
            <w:r>
              <w:rPr>
                <w:color w:val="000000"/>
                <w:kern w:val="0"/>
                <w:szCs w:val="21"/>
              </w:rPr>
              <w:br w:type="textWrapping"/>
            </w:r>
            <w:r>
              <w:rPr>
                <w:rFonts w:hAnsi="宋体"/>
                <w:color w:val="000000"/>
                <w:kern w:val="0"/>
                <w:szCs w:val="21"/>
              </w:rPr>
              <w:t>（六）对依法应当否决的投标不提出否决意见；</w:t>
            </w:r>
            <w:r>
              <w:rPr>
                <w:color w:val="000000"/>
                <w:kern w:val="0"/>
                <w:szCs w:val="21"/>
              </w:rPr>
              <w:br w:type="textWrapping"/>
            </w:r>
            <w:r>
              <w:rPr>
                <w:rFonts w:hAnsi="宋体"/>
                <w:color w:val="000000"/>
                <w:kern w:val="0"/>
                <w:szCs w:val="21"/>
              </w:rPr>
              <w:t>（七）暗示或者诱导投标人作出澄清、说明或者接受投标人主动提出的澄清、说明；</w:t>
            </w:r>
            <w:r>
              <w:rPr>
                <w:color w:val="000000"/>
                <w:kern w:val="0"/>
                <w:szCs w:val="21"/>
              </w:rPr>
              <w:br w:type="textWrapping"/>
            </w:r>
            <w:r>
              <w:rPr>
                <w:rFonts w:hAnsi="宋体"/>
                <w:color w:val="000000"/>
                <w:kern w:val="0"/>
                <w:szCs w:val="21"/>
              </w:rPr>
              <w:t>（八）其他不客观、不公正履行职务的行为。</w:t>
            </w:r>
            <w:r>
              <w:rPr>
                <w:rFonts w:hAnsi="宋体"/>
                <w:b/>
                <w:bCs/>
                <w:color w:val="000000"/>
                <w:kern w:val="0"/>
                <w:szCs w:val="21"/>
              </w:rPr>
              <w:t>七十二条</w:t>
            </w:r>
            <w:r>
              <w:rPr>
                <w:b/>
                <w:bCs/>
                <w:color w:val="000000"/>
                <w:kern w:val="0"/>
                <w:szCs w:val="21"/>
              </w:rPr>
              <w:t xml:space="preserve">  </w:t>
            </w:r>
            <w:r>
              <w:rPr>
                <w:rFonts w:hAnsi="宋体"/>
                <w:color w:val="000000"/>
                <w:kern w:val="0"/>
                <w:szCs w:val="21"/>
              </w:rPr>
              <w:t>评标委员会成员收受投标人的财物或者其他好处的，没收收受的财物，处</w:t>
            </w:r>
            <w:r>
              <w:rPr>
                <w:color w:val="000000"/>
                <w:kern w:val="0"/>
                <w:szCs w:val="21"/>
              </w:rPr>
              <w:t>3000</w:t>
            </w:r>
            <w:r>
              <w:rPr>
                <w:rFonts w:hAnsi="宋体"/>
                <w:color w:val="000000"/>
                <w:kern w:val="0"/>
                <w:szCs w:val="21"/>
              </w:rPr>
              <w:t>元以上</w:t>
            </w:r>
            <w:r>
              <w:rPr>
                <w:color w:val="000000"/>
                <w:kern w:val="0"/>
                <w:szCs w:val="21"/>
              </w:rPr>
              <w:t>5</w:t>
            </w:r>
            <w:r>
              <w:rPr>
                <w:rFonts w:hAnsi="宋体"/>
                <w:color w:val="000000"/>
                <w:kern w:val="0"/>
                <w:szCs w:val="21"/>
              </w:rPr>
              <w:t>万元以下的罚款，取消担任评标委员会成员的资格，不得再参加依法必须进行招标的项目的评标；构成犯罪的，依法追究刑事责任。</w:t>
            </w:r>
          </w:p>
          <w:p w14:paraId="43191974">
            <w:pPr>
              <w:widowControl/>
              <w:jc w:val="left"/>
              <w:rPr>
                <w:rFonts w:hint="eastAsia"/>
                <w:b/>
                <w:bCs/>
                <w:color w:val="000000"/>
                <w:kern w:val="0"/>
                <w:szCs w:val="21"/>
              </w:rPr>
            </w:pPr>
          </w:p>
        </w:tc>
        <w:tc>
          <w:tcPr>
            <w:tcW w:w="411" w:type="dxa"/>
            <w:noWrap/>
            <w:tcMar>
              <w:left w:w="51" w:type="dxa"/>
              <w:right w:w="51" w:type="dxa"/>
            </w:tcMar>
            <w:vAlign w:val="center"/>
          </w:tcPr>
          <w:p w14:paraId="3B064259">
            <w:pPr>
              <w:widowControl/>
              <w:jc w:val="left"/>
              <w:rPr>
                <w:color w:val="000000"/>
                <w:kern w:val="0"/>
                <w:szCs w:val="21"/>
              </w:rPr>
            </w:pPr>
            <w:r>
              <w:rPr>
                <w:rFonts w:hAnsi="宋体"/>
                <w:color w:val="000000"/>
                <w:kern w:val="0"/>
                <w:szCs w:val="21"/>
              </w:rPr>
              <w:t>　</w:t>
            </w:r>
          </w:p>
        </w:tc>
      </w:tr>
      <w:tr w14:paraId="1C34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7" w:hRule="atLeast"/>
          <w:jc w:val="center"/>
        </w:trPr>
        <w:tc>
          <w:tcPr>
            <w:tcW w:w="417" w:type="dxa"/>
            <w:noWrap w:val="0"/>
            <w:tcMar>
              <w:left w:w="51" w:type="dxa"/>
              <w:right w:w="51" w:type="dxa"/>
            </w:tcMar>
            <w:vAlign w:val="center"/>
          </w:tcPr>
          <w:p w14:paraId="0DCD0303">
            <w:pPr>
              <w:widowControl/>
              <w:jc w:val="center"/>
              <w:rPr>
                <w:color w:val="000000"/>
                <w:kern w:val="0"/>
                <w:szCs w:val="21"/>
              </w:rPr>
            </w:pPr>
            <w:r>
              <w:rPr>
                <w:rFonts w:hint="eastAsia"/>
                <w:color w:val="000000"/>
                <w:szCs w:val="21"/>
                <w:lang w:val="en-US" w:eastAsia="zh-CN"/>
              </w:rPr>
              <w:t>3</w:t>
            </w:r>
            <w:r>
              <w:rPr>
                <w:color w:val="000000"/>
                <w:szCs w:val="21"/>
              </w:rPr>
              <w:t>9</w:t>
            </w:r>
          </w:p>
        </w:tc>
        <w:tc>
          <w:tcPr>
            <w:tcW w:w="1834" w:type="dxa"/>
            <w:noWrap w:val="0"/>
            <w:tcMar>
              <w:left w:w="51" w:type="dxa"/>
              <w:right w:w="51" w:type="dxa"/>
            </w:tcMar>
            <w:vAlign w:val="center"/>
          </w:tcPr>
          <w:p w14:paraId="3D7816C8">
            <w:pPr>
              <w:widowControl/>
              <w:jc w:val="left"/>
              <w:rPr>
                <w:color w:val="000000"/>
                <w:kern w:val="0"/>
                <w:szCs w:val="21"/>
              </w:rPr>
            </w:pPr>
            <w:r>
              <w:rPr>
                <w:rFonts w:hAnsi="宋体"/>
                <w:color w:val="000000"/>
                <w:kern w:val="0"/>
                <w:szCs w:val="21"/>
              </w:rPr>
              <w:t>对工业项目及按规定履行监管职责项目招标人在评标委员会依法推荐的中标候选人以外确定中标人的，依法必须进行招标的项目在所有投标被评标委员会否决后自行确定中标人的行政处罚</w:t>
            </w:r>
          </w:p>
        </w:tc>
        <w:tc>
          <w:tcPr>
            <w:tcW w:w="706" w:type="dxa"/>
            <w:noWrap/>
            <w:tcMar>
              <w:left w:w="51" w:type="dxa"/>
              <w:right w:w="51" w:type="dxa"/>
            </w:tcMar>
            <w:vAlign w:val="center"/>
          </w:tcPr>
          <w:p w14:paraId="62A6E11B">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A51513D">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AF6B26C">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3ADF9E36">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《中华人民共和国招标投标法》第五十七条</w:t>
            </w:r>
            <w:r>
              <w:rPr>
                <w:color w:val="000000"/>
                <w:kern w:val="0"/>
                <w:szCs w:val="21"/>
              </w:rPr>
              <w:t xml:space="preserve">  </w:t>
            </w:r>
            <w:r>
              <w:rPr>
                <w:rFonts w:hAnsi="宋体"/>
                <w:color w:val="000000"/>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《中华人民共和国招标投标法实施条例》第七十三条</w:t>
            </w:r>
            <w:r>
              <w:rPr>
                <w:b/>
                <w:bCs/>
                <w:color w:val="000000"/>
                <w:kern w:val="0"/>
                <w:szCs w:val="21"/>
              </w:rPr>
              <w:t xml:space="preserve">  </w:t>
            </w:r>
            <w:r>
              <w:rPr>
                <w:rFonts w:hAnsi="宋体"/>
                <w:color w:val="000000"/>
                <w:kern w:val="0"/>
                <w:szCs w:val="21"/>
              </w:rPr>
              <w:t>依法必须进行招标的项目的招标人有下列情形之一的，由有关行政监督部门责令改正，可以处中标项目金额</w:t>
            </w:r>
            <w:r>
              <w:rPr>
                <w:color w:val="000000"/>
                <w:kern w:val="0"/>
                <w:szCs w:val="21"/>
              </w:rPr>
              <w:t>10‰</w:t>
            </w:r>
            <w:r>
              <w:rPr>
                <w:rFonts w:hAnsi="宋体"/>
                <w:color w:val="000000"/>
                <w:kern w:val="0"/>
                <w:szCs w:val="21"/>
              </w:rPr>
              <w:t>以下的罚款；给他人造成损失的，依法承担赔偿责任；对单位直接负责的主管人员和其他直接责任人员依法给予处分：</w:t>
            </w:r>
            <w:r>
              <w:rPr>
                <w:color w:val="000000"/>
                <w:kern w:val="0"/>
                <w:szCs w:val="21"/>
              </w:rPr>
              <w:br w:type="textWrapping"/>
            </w:r>
            <w:r>
              <w:rPr>
                <w:rFonts w:hAnsi="宋体"/>
                <w:color w:val="000000"/>
                <w:kern w:val="0"/>
                <w:szCs w:val="21"/>
              </w:rPr>
              <w:t>（一）无正当理由不发出中标通知书；</w:t>
            </w:r>
            <w:r>
              <w:rPr>
                <w:color w:val="000000"/>
                <w:kern w:val="0"/>
                <w:szCs w:val="21"/>
              </w:rPr>
              <w:br w:type="textWrapping"/>
            </w:r>
            <w:r>
              <w:rPr>
                <w:rFonts w:hAnsi="宋体"/>
                <w:color w:val="000000"/>
                <w:kern w:val="0"/>
                <w:szCs w:val="21"/>
              </w:rPr>
              <w:t>（二）不按照规定确定中标人；</w:t>
            </w:r>
            <w:r>
              <w:rPr>
                <w:color w:val="000000"/>
                <w:kern w:val="0"/>
                <w:szCs w:val="21"/>
              </w:rPr>
              <w:br w:type="textWrapping"/>
            </w:r>
            <w:r>
              <w:rPr>
                <w:rFonts w:hAnsi="宋体"/>
                <w:color w:val="000000"/>
                <w:kern w:val="0"/>
                <w:szCs w:val="21"/>
              </w:rPr>
              <w:t>（三）中标通知书发出后无正当理由改变中标结果；</w:t>
            </w:r>
            <w:r>
              <w:rPr>
                <w:color w:val="000000"/>
                <w:kern w:val="0"/>
                <w:szCs w:val="21"/>
              </w:rPr>
              <w:br w:type="textWrapping"/>
            </w:r>
            <w:r>
              <w:rPr>
                <w:rFonts w:hAnsi="宋体"/>
                <w:color w:val="000000"/>
                <w:kern w:val="0"/>
                <w:szCs w:val="21"/>
              </w:rPr>
              <w:t>（四）无正当理由不与中标人订立合同；</w:t>
            </w:r>
            <w:r>
              <w:rPr>
                <w:color w:val="000000"/>
                <w:kern w:val="0"/>
                <w:szCs w:val="21"/>
              </w:rPr>
              <w:br w:type="textWrapping"/>
            </w:r>
            <w:r>
              <w:rPr>
                <w:rFonts w:hAnsi="宋体"/>
                <w:color w:val="000000"/>
                <w:kern w:val="0"/>
                <w:szCs w:val="21"/>
              </w:rPr>
              <w:t>（五）在订立合同时向中标人提出附加条件。</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3F12E96F">
            <w:pPr>
              <w:widowControl/>
              <w:jc w:val="left"/>
              <w:rPr>
                <w:color w:val="000000"/>
                <w:kern w:val="0"/>
                <w:szCs w:val="21"/>
              </w:rPr>
            </w:pPr>
            <w:r>
              <w:rPr>
                <w:rFonts w:hAnsi="宋体"/>
                <w:color w:val="000000"/>
                <w:kern w:val="0"/>
                <w:szCs w:val="21"/>
              </w:rPr>
              <w:t>　</w:t>
            </w:r>
          </w:p>
        </w:tc>
      </w:tr>
      <w:tr w14:paraId="01BD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jc w:val="center"/>
        </w:trPr>
        <w:tc>
          <w:tcPr>
            <w:tcW w:w="417" w:type="dxa"/>
            <w:noWrap w:val="0"/>
            <w:tcMar>
              <w:left w:w="51" w:type="dxa"/>
              <w:right w:w="51" w:type="dxa"/>
            </w:tcMar>
            <w:vAlign w:val="center"/>
          </w:tcPr>
          <w:p w14:paraId="34943226">
            <w:pPr>
              <w:widowControl/>
              <w:jc w:val="center"/>
              <w:rPr>
                <w:color w:val="000000"/>
                <w:kern w:val="0"/>
                <w:szCs w:val="21"/>
              </w:rPr>
            </w:pPr>
            <w:r>
              <w:rPr>
                <w:rFonts w:hint="eastAsia"/>
                <w:color w:val="000000"/>
                <w:szCs w:val="21"/>
                <w:lang w:val="en-US" w:eastAsia="zh-CN"/>
              </w:rPr>
              <w:t>4</w:t>
            </w:r>
            <w:r>
              <w:rPr>
                <w:color w:val="000000"/>
                <w:szCs w:val="21"/>
              </w:rPr>
              <w:t>0</w:t>
            </w:r>
          </w:p>
        </w:tc>
        <w:tc>
          <w:tcPr>
            <w:tcW w:w="1834" w:type="dxa"/>
            <w:noWrap w:val="0"/>
            <w:tcMar>
              <w:left w:w="51" w:type="dxa"/>
              <w:right w:w="51" w:type="dxa"/>
            </w:tcMar>
            <w:vAlign w:val="center"/>
          </w:tcPr>
          <w:p w14:paraId="1FC26F9A">
            <w:pPr>
              <w:widowControl/>
              <w:jc w:val="left"/>
              <w:rPr>
                <w:color w:val="000000"/>
                <w:kern w:val="0"/>
                <w:szCs w:val="21"/>
              </w:rPr>
            </w:pPr>
            <w:r>
              <w:rPr>
                <w:rFonts w:hAnsi="宋体"/>
                <w:color w:val="000000"/>
                <w:kern w:val="0"/>
                <w:szCs w:val="21"/>
              </w:rPr>
              <w:t>对工业项目及按规定履行监管职责项目中标人将中标项目转让给他人的，将中标项目肢解后分别转让给他人的，</w:t>
            </w:r>
            <w:r>
              <w:rPr>
                <w:color w:val="000000"/>
                <w:kern w:val="0"/>
                <w:szCs w:val="21"/>
              </w:rPr>
              <w:t xml:space="preserve"> </w:t>
            </w:r>
            <w:r>
              <w:rPr>
                <w:rFonts w:hAnsi="宋体"/>
                <w:color w:val="000000"/>
                <w:kern w:val="0"/>
                <w:szCs w:val="21"/>
              </w:rPr>
              <w:t>违反《招标投标法》规定将中标项目的部分主体、关键性工作分包给他人的，或者分包人再次分包的行政处罚</w:t>
            </w:r>
          </w:p>
        </w:tc>
        <w:tc>
          <w:tcPr>
            <w:tcW w:w="706" w:type="dxa"/>
            <w:noWrap/>
            <w:tcMar>
              <w:left w:w="51" w:type="dxa"/>
              <w:right w:w="51" w:type="dxa"/>
            </w:tcMar>
            <w:vAlign w:val="center"/>
          </w:tcPr>
          <w:p w14:paraId="2AD1686C">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15310774">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CA64E2F">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30767D46">
            <w:pPr>
              <w:widowControl/>
              <w:spacing w:line="280" w:lineRule="exact"/>
              <w:jc w:val="left"/>
              <w:rPr>
                <w:color w:val="000000"/>
                <w:kern w:val="0"/>
                <w:szCs w:val="21"/>
              </w:rPr>
            </w:pPr>
            <w:r>
              <w:rPr>
                <w:b/>
                <w:bCs/>
                <w:color w:val="000000"/>
                <w:kern w:val="0"/>
                <w:szCs w:val="21"/>
              </w:rPr>
              <w:t>1.</w:t>
            </w:r>
            <w:r>
              <w:rPr>
                <w:rFonts w:hAnsi="宋体"/>
                <w:b/>
                <w:bCs/>
                <w:color w:val="000000"/>
                <w:kern w:val="0"/>
                <w:szCs w:val="21"/>
              </w:rPr>
              <w:t>《中华人民共和国招标投标法》第五十八条</w:t>
            </w:r>
            <w:r>
              <w:rPr>
                <w:color w:val="000000"/>
                <w:kern w:val="0"/>
                <w:szCs w:val="21"/>
              </w:rPr>
              <w:t xml:space="preserve">  </w:t>
            </w:r>
            <w:r>
              <w:rPr>
                <w:rFonts w:hAnsi="宋体"/>
                <w:color w:val="000000"/>
                <w:kern w:val="0"/>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《中华人民共和国招标投标法实施条例》第七十六条</w:t>
            </w:r>
            <w:r>
              <w:rPr>
                <w:b/>
                <w:bCs/>
                <w:color w:val="000000"/>
                <w:kern w:val="0"/>
                <w:szCs w:val="21"/>
              </w:rPr>
              <w:t xml:space="preserve"> </w:t>
            </w:r>
            <w:r>
              <w:rPr>
                <w:color w:val="000000"/>
                <w:kern w:val="0"/>
                <w:szCs w:val="21"/>
              </w:rPr>
              <w:t xml:space="preserve"> </w:t>
            </w:r>
            <w:r>
              <w:rPr>
                <w:rFonts w:hAnsi="宋体"/>
                <w:color w:val="000000"/>
                <w:kern w:val="0"/>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color w:val="000000"/>
                <w:kern w:val="0"/>
                <w:szCs w:val="21"/>
              </w:rPr>
              <w:t>5‰</w:t>
            </w:r>
            <w:r>
              <w:rPr>
                <w:rFonts w:hAnsi="宋体"/>
                <w:color w:val="000000"/>
                <w:kern w:val="0"/>
                <w:szCs w:val="21"/>
              </w:rPr>
              <w:t>以上</w:t>
            </w:r>
            <w:r>
              <w:rPr>
                <w:color w:val="000000"/>
                <w:kern w:val="0"/>
                <w:szCs w:val="21"/>
              </w:rPr>
              <w:t>10‰</w:t>
            </w:r>
            <w:r>
              <w:rPr>
                <w:rFonts w:hAnsi="宋体"/>
                <w:color w:val="000000"/>
                <w:kern w:val="0"/>
                <w:szCs w:val="21"/>
              </w:rPr>
              <w:t>以下的罚款；有违法所得的，并处没收违法所得；可以责令停业整顿；情节严重的，由工商行政管理机关吊销营业执照。</w:t>
            </w:r>
            <w:r>
              <w:rPr>
                <w:color w:val="000000"/>
                <w:kern w:val="0"/>
                <w:szCs w:val="21"/>
              </w:rPr>
              <w:br w:type="textWrapping"/>
            </w:r>
            <w:r>
              <w:rPr>
                <w:b/>
                <w:bCs/>
                <w:color w:val="000000"/>
                <w:kern w:val="0"/>
                <w:szCs w:val="21"/>
              </w:rPr>
              <w:t>3.</w:t>
            </w:r>
            <w:r>
              <w:rPr>
                <w:rFonts w:hAnsi="宋体"/>
                <w:b/>
                <w:bCs/>
                <w:color w:val="000000"/>
                <w:kern w:val="0"/>
                <w:szCs w:val="21"/>
              </w:rPr>
              <w:t>《湖南省实施</w:t>
            </w:r>
            <w:r>
              <w:rPr>
                <w:b/>
                <w:bCs/>
                <w:color w:val="000000"/>
                <w:kern w:val="0"/>
                <w:szCs w:val="21"/>
              </w:rPr>
              <w:t>&lt;</w:t>
            </w:r>
            <w:r>
              <w:rPr>
                <w:rFonts w:hAnsi="宋体"/>
                <w:b/>
                <w:bCs/>
                <w:color w:val="000000"/>
                <w:kern w:val="0"/>
                <w:szCs w:val="21"/>
              </w:rPr>
              <w:t>中华人民共和国招标投标法</w:t>
            </w:r>
            <w:r>
              <w:rPr>
                <w:b/>
                <w:bCs/>
                <w:color w:val="000000"/>
                <w:kern w:val="0"/>
                <w:szCs w:val="21"/>
              </w:rPr>
              <w:t>&gt;</w:t>
            </w:r>
            <w:r>
              <w:rPr>
                <w:rFonts w:hAnsi="宋体"/>
                <w:b/>
                <w:bCs/>
                <w:color w:val="000000"/>
                <w:kern w:val="0"/>
                <w:szCs w:val="21"/>
              </w:rPr>
              <w:t>办法》第四十六条　</w:t>
            </w:r>
            <w:r>
              <w:rPr>
                <w:rFonts w:hAnsi="宋体"/>
                <w:color w:val="000000"/>
                <w:kern w:val="0"/>
                <w:szCs w:val="21"/>
              </w:rPr>
              <w:t>违反本办法规定，有必须招标的项目不招标、泄露标底、串通投标、评标委员会成员收受贿赂、中标人将中标项目转让给他人等违法行为的，依照《中华人民共和国招标投标法</w:t>
            </w:r>
            <w:r>
              <w:rPr>
                <w:color w:val="000000"/>
                <w:kern w:val="0"/>
                <w:szCs w:val="21"/>
              </w:rPr>
              <w:t xml:space="preserve"> </w:t>
            </w:r>
            <w:r>
              <w:rPr>
                <w:rFonts w:hAnsi="宋体"/>
                <w:color w:val="000000"/>
                <w:kern w:val="0"/>
                <w:szCs w:val="21"/>
              </w:rPr>
              <w:t>》的有关规定处理。</w:t>
            </w:r>
            <w:r>
              <w:rPr>
                <w:color w:val="000000"/>
                <w:kern w:val="0"/>
                <w:szCs w:val="21"/>
              </w:rPr>
              <w:br w:type="textWrapping"/>
            </w:r>
            <w:r>
              <w:rPr>
                <w:b/>
                <w:bCs/>
                <w:color w:val="000000"/>
                <w:kern w:val="0"/>
                <w:szCs w:val="21"/>
              </w:rPr>
              <w:t>4.</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19EA9A69">
            <w:pPr>
              <w:widowControl/>
              <w:jc w:val="left"/>
              <w:rPr>
                <w:color w:val="000000"/>
                <w:kern w:val="0"/>
                <w:szCs w:val="21"/>
              </w:rPr>
            </w:pPr>
            <w:r>
              <w:rPr>
                <w:rFonts w:hAnsi="宋体"/>
                <w:color w:val="000000"/>
                <w:kern w:val="0"/>
                <w:szCs w:val="21"/>
              </w:rPr>
              <w:t>　</w:t>
            </w:r>
          </w:p>
        </w:tc>
      </w:tr>
      <w:tr w14:paraId="7CF6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417" w:type="dxa"/>
            <w:noWrap w:val="0"/>
            <w:tcMar>
              <w:left w:w="51" w:type="dxa"/>
              <w:right w:w="51" w:type="dxa"/>
            </w:tcMar>
            <w:vAlign w:val="center"/>
          </w:tcPr>
          <w:p w14:paraId="5C44730B">
            <w:pPr>
              <w:widowControl/>
              <w:jc w:val="center"/>
              <w:rPr>
                <w:color w:val="000000"/>
                <w:kern w:val="0"/>
                <w:szCs w:val="21"/>
              </w:rPr>
            </w:pPr>
            <w:r>
              <w:rPr>
                <w:rFonts w:hint="eastAsia"/>
                <w:color w:val="000000"/>
                <w:szCs w:val="21"/>
                <w:lang w:val="en-US" w:eastAsia="zh-CN"/>
              </w:rPr>
              <w:t>4</w:t>
            </w:r>
            <w:r>
              <w:rPr>
                <w:color w:val="000000"/>
                <w:szCs w:val="21"/>
              </w:rPr>
              <w:t>1</w:t>
            </w:r>
          </w:p>
        </w:tc>
        <w:tc>
          <w:tcPr>
            <w:tcW w:w="1834" w:type="dxa"/>
            <w:noWrap w:val="0"/>
            <w:tcMar>
              <w:left w:w="51" w:type="dxa"/>
              <w:right w:w="51" w:type="dxa"/>
            </w:tcMar>
            <w:vAlign w:val="center"/>
          </w:tcPr>
          <w:p w14:paraId="3B32AB12">
            <w:pPr>
              <w:widowControl/>
              <w:spacing w:line="280" w:lineRule="exact"/>
              <w:jc w:val="left"/>
              <w:rPr>
                <w:color w:val="000000"/>
                <w:kern w:val="0"/>
                <w:szCs w:val="21"/>
              </w:rPr>
            </w:pPr>
            <w:r>
              <w:rPr>
                <w:rFonts w:hAnsi="宋体"/>
                <w:color w:val="000000"/>
                <w:kern w:val="0"/>
                <w:szCs w:val="21"/>
              </w:rPr>
              <w:t>对工业项目及按规定履行监管职责项目的招标人和中标人不按照招标文件和中标人的投标文件订立合同，合同的主要条款与招标文件、中标人的投标文件的内容不一致，或者招标人、中标人订立背离合同实质性内容的协议的行政处罚</w:t>
            </w:r>
          </w:p>
        </w:tc>
        <w:tc>
          <w:tcPr>
            <w:tcW w:w="706" w:type="dxa"/>
            <w:noWrap/>
            <w:tcMar>
              <w:left w:w="51" w:type="dxa"/>
              <w:right w:w="51" w:type="dxa"/>
            </w:tcMar>
            <w:vAlign w:val="center"/>
          </w:tcPr>
          <w:p w14:paraId="36D3881D">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1EF2016">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73469C2">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611954D">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《中华人民共和国招标投标法》第五十九条</w:t>
            </w:r>
            <w:r>
              <w:rPr>
                <w:color w:val="000000"/>
                <w:kern w:val="0"/>
                <w:szCs w:val="21"/>
              </w:rPr>
              <w:t xml:space="preserve">  </w:t>
            </w:r>
            <w:r>
              <w:rPr>
                <w:rFonts w:hAnsi="宋体"/>
                <w:color w:val="000000"/>
                <w:kern w:val="0"/>
                <w:szCs w:val="21"/>
              </w:rPr>
              <w:t>招标人与中标人不按照招标文件和中标人的投标文件订立合同的，或者招标人、中标人订立背离合同实质性内容的协议的，责令改正；可以处中标项目金额千分之五以上千分之十以下的罚款。</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《中华人民共和国招标投标法实施条例》第七十五条</w:t>
            </w:r>
            <w:r>
              <w:rPr>
                <w:color w:val="000000"/>
                <w:kern w:val="0"/>
                <w:szCs w:val="21"/>
              </w:rPr>
              <w:t xml:space="preserve">  </w:t>
            </w:r>
            <w:r>
              <w:rPr>
                <w:rFonts w:hAnsi="宋体"/>
                <w:color w:val="000000"/>
                <w:kern w:val="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color w:val="000000"/>
                <w:kern w:val="0"/>
                <w:szCs w:val="21"/>
              </w:rPr>
              <w:t>5‰</w:t>
            </w:r>
            <w:r>
              <w:rPr>
                <w:rFonts w:hAnsi="宋体"/>
                <w:color w:val="000000"/>
                <w:kern w:val="0"/>
                <w:szCs w:val="21"/>
              </w:rPr>
              <w:t>以上</w:t>
            </w:r>
            <w:r>
              <w:rPr>
                <w:color w:val="000000"/>
                <w:kern w:val="0"/>
                <w:szCs w:val="21"/>
              </w:rPr>
              <w:t>10‰</w:t>
            </w:r>
            <w:r>
              <w:rPr>
                <w:rFonts w:hAnsi="宋体"/>
                <w:color w:val="000000"/>
                <w:kern w:val="0"/>
                <w:szCs w:val="21"/>
              </w:rPr>
              <w:t>以下的罚款。</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5F30684B">
            <w:pPr>
              <w:widowControl/>
              <w:jc w:val="left"/>
              <w:rPr>
                <w:color w:val="000000"/>
                <w:kern w:val="0"/>
                <w:szCs w:val="21"/>
              </w:rPr>
            </w:pPr>
            <w:r>
              <w:rPr>
                <w:rFonts w:hAnsi="宋体"/>
                <w:color w:val="000000"/>
                <w:kern w:val="0"/>
                <w:szCs w:val="21"/>
              </w:rPr>
              <w:t>　</w:t>
            </w:r>
          </w:p>
        </w:tc>
      </w:tr>
      <w:tr w14:paraId="0A0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417" w:type="dxa"/>
            <w:noWrap w:val="0"/>
            <w:tcMar>
              <w:left w:w="51" w:type="dxa"/>
              <w:right w:w="51" w:type="dxa"/>
            </w:tcMar>
            <w:vAlign w:val="center"/>
          </w:tcPr>
          <w:p w14:paraId="5B06626B">
            <w:pPr>
              <w:widowControl/>
              <w:jc w:val="center"/>
              <w:rPr>
                <w:color w:val="000000"/>
                <w:kern w:val="0"/>
                <w:szCs w:val="21"/>
              </w:rPr>
            </w:pPr>
            <w:r>
              <w:rPr>
                <w:rFonts w:hint="eastAsia"/>
                <w:color w:val="000000"/>
                <w:szCs w:val="21"/>
                <w:lang w:val="en-US" w:eastAsia="zh-CN"/>
              </w:rPr>
              <w:t>4</w:t>
            </w:r>
            <w:r>
              <w:rPr>
                <w:color w:val="000000"/>
                <w:szCs w:val="21"/>
              </w:rPr>
              <w:t>2</w:t>
            </w:r>
          </w:p>
        </w:tc>
        <w:tc>
          <w:tcPr>
            <w:tcW w:w="1834" w:type="dxa"/>
            <w:noWrap w:val="0"/>
            <w:tcMar>
              <w:left w:w="51" w:type="dxa"/>
              <w:right w:w="51" w:type="dxa"/>
            </w:tcMar>
            <w:vAlign w:val="center"/>
          </w:tcPr>
          <w:p w14:paraId="028AD24D">
            <w:pPr>
              <w:widowControl/>
              <w:jc w:val="left"/>
              <w:rPr>
                <w:color w:val="000000"/>
                <w:kern w:val="0"/>
                <w:szCs w:val="21"/>
              </w:rPr>
            </w:pPr>
            <w:r>
              <w:rPr>
                <w:rFonts w:hAnsi="宋体"/>
                <w:color w:val="000000"/>
                <w:kern w:val="0"/>
                <w:szCs w:val="21"/>
              </w:rPr>
              <w:t>对工业项目及按规定履行监管职责项目中标人不履行与招标人订立的合同、不按照与招标人订立的合同履行义务的行政处罚</w:t>
            </w:r>
          </w:p>
        </w:tc>
        <w:tc>
          <w:tcPr>
            <w:tcW w:w="706" w:type="dxa"/>
            <w:noWrap/>
            <w:tcMar>
              <w:left w:w="51" w:type="dxa"/>
              <w:right w:w="51" w:type="dxa"/>
            </w:tcMar>
            <w:vAlign w:val="center"/>
          </w:tcPr>
          <w:p w14:paraId="4CEB5512">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B75769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7257E97">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CC3C99D">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《中华人民共和国招标投标法》第六十条</w:t>
            </w:r>
            <w:r>
              <w:rPr>
                <w:b/>
                <w:bCs/>
                <w:color w:val="000000"/>
                <w:kern w:val="0"/>
                <w:szCs w:val="21"/>
              </w:rPr>
              <w:t xml:space="preserve">  </w:t>
            </w:r>
            <w:r>
              <w:rPr>
                <w:rFonts w:hAnsi="宋体"/>
                <w:color w:val="000000"/>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r>
              <w:rPr>
                <w:color w:val="000000"/>
                <w:kern w:val="0"/>
                <w:szCs w:val="21"/>
              </w:rPr>
              <w:br w:type="textWrapping"/>
            </w:r>
            <w:r>
              <w:rPr>
                <w:rFonts w:hAnsi="宋体"/>
                <w:color w:val="000000"/>
                <w:kern w:val="0"/>
                <w:szCs w:val="21"/>
              </w:rPr>
              <w:t>中标人不按照与招标人订立的合同履行义务，情节严重的，取消其二年至五年内参加依法必须进行招标的项目的投标资格并予以公告，直至由工商行政管理机关吊销营业执照。</w:t>
            </w:r>
            <w:r>
              <w:rPr>
                <w:color w:val="000000"/>
                <w:kern w:val="0"/>
                <w:szCs w:val="21"/>
              </w:rPr>
              <w:br w:type="textWrapping"/>
            </w:r>
            <w:r>
              <w:rPr>
                <w:rFonts w:hAnsi="宋体"/>
                <w:color w:val="000000"/>
                <w:kern w:val="0"/>
                <w:szCs w:val="21"/>
              </w:rPr>
              <w:t>因不可抗力不能履行合同的，不适用前两款规定。</w:t>
            </w:r>
            <w:r>
              <w:rPr>
                <w:color w:val="000000"/>
                <w:kern w:val="0"/>
                <w:szCs w:val="21"/>
              </w:rPr>
              <w:br w:type="textWrapping"/>
            </w:r>
            <w:r>
              <w:rPr>
                <w:b/>
                <w:bCs/>
                <w:color w:val="000000"/>
                <w:kern w:val="0"/>
                <w:szCs w:val="21"/>
              </w:rPr>
              <w:t>2.</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597C0223">
            <w:pPr>
              <w:widowControl/>
              <w:jc w:val="left"/>
              <w:rPr>
                <w:color w:val="000000"/>
                <w:kern w:val="0"/>
                <w:szCs w:val="21"/>
              </w:rPr>
            </w:pPr>
            <w:r>
              <w:rPr>
                <w:rFonts w:hAnsi="宋体"/>
                <w:color w:val="000000"/>
                <w:kern w:val="0"/>
                <w:szCs w:val="21"/>
              </w:rPr>
              <w:t>　</w:t>
            </w:r>
          </w:p>
        </w:tc>
      </w:tr>
      <w:tr w14:paraId="5F08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417" w:type="dxa"/>
            <w:noWrap w:val="0"/>
            <w:tcMar>
              <w:left w:w="51" w:type="dxa"/>
              <w:right w:w="51" w:type="dxa"/>
            </w:tcMar>
            <w:vAlign w:val="center"/>
          </w:tcPr>
          <w:p w14:paraId="7DEC24D7">
            <w:pPr>
              <w:widowControl/>
              <w:jc w:val="center"/>
              <w:rPr>
                <w:color w:val="000000"/>
                <w:kern w:val="0"/>
                <w:szCs w:val="21"/>
              </w:rPr>
            </w:pPr>
            <w:r>
              <w:rPr>
                <w:rFonts w:hint="eastAsia"/>
                <w:color w:val="000000"/>
                <w:szCs w:val="21"/>
                <w:lang w:val="en-US" w:eastAsia="zh-CN"/>
              </w:rPr>
              <w:t>4</w:t>
            </w:r>
            <w:r>
              <w:rPr>
                <w:color w:val="000000"/>
                <w:szCs w:val="21"/>
              </w:rPr>
              <w:t>3</w:t>
            </w:r>
          </w:p>
        </w:tc>
        <w:tc>
          <w:tcPr>
            <w:tcW w:w="1834" w:type="dxa"/>
            <w:noWrap w:val="0"/>
            <w:tcMar>
              <w:left w:w="51" w:type="dxa"/>
              <w:right w:w="51" w:type="dxa"/>
            </w:tcMar>
            <w:vAlign w:val="center"/>
          </w:tcPr>
          <w:p w14:paraId="4DE55692">
            <w:pPr>
              <w:widowControl/>
              <w:jc w:val="left"/>
              <w:rPr>
                <w:color w:val="000000"/>
                <w:kern w:val="0"/>
                <w:szCs w:val="21"/>
              </w:rPr>
            </w:pPr>
            <w:r>
              <w:rPr>
                <w:rFonts w:hAnsi="宋体"/>
                <w:color w:val="000000"/>
                <w:kern w:val="0"/>
                <w:szCs w:val="21"/>
              </w:rPr>
              <w:t>对依法必须进行招标的工业项目及按规定履行监管职责项目的招标人不按照规定组建评标委员会的行政处罚</w:t>
            </w:r>
          </w:p>
        </w:tc>
        <w:tc>
          <w:tcPr>
            <w:tcW w:w="706" w:type="dxa"/>
            <w:noWrap/>
            <w:tcMar>
              <w:left w:w="51" w:type="dxa"/>
              <w:right w:w="51" w:type="dxa"/>
            </w:tcMar>
            <w:vAlign w:val="center"/>
          </w:tcPr>
          <w:p w14:paraId="41BFB25F">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2CE0D18">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D0E3E8E">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7A40D755">
            <w:pPr>
              <w:widowControl/>
              <w:jc w:val="left"/>
              <w:rPr>
                <w:b/>
                <w:bCs/>
                <w:color w:val="000000"/>
                <w:kern w:val="0"/>
                <w:szCs w:val="21"/>
              </w:rPr>
            </w:pPr>
            <w:r>
              <w:rPr>
                <w:b/>
                <w:bCs/>
                <w:color w:val="000000"/>
                <w:spacing w:val="-6"/>
                <w:kern w:val="0"/>
                <w:szCs w:val="21"/>
              </w:rPr>
              <w:t>1.</w:t>
            </w:r>
            <w:r>
              <w:rPr>
                <w:rFonts w:hAnsi="宋体"/>
                <w:b/>
                <w:bCs/>
                <w:color w:val="000000"/>
                <w:spacing w:val="-6"/>
                <w:kern w:val="0"/>
                <w:szCs w:val="21"/>
              </w:rPr>
              <w:t>《中华人民共和国招标投标法实施条例》第七十条</w:t>
            </w:r>
            <w:r>
              <w:rPr>
                <w:b/>
                <w:bCs/>
                <w:color w:val="000000"/>
                <w:spacing w:val="-6"/>
                <w:kern w:val="0"/>
                <w:szCs w:val="21"/>
              </w:rPr>
              <w:t xml:space="preserve">  </w:t>
            </w:r>
            <w:r>
              <w:rPr>
                <w:rFonts w:hAnsi="宋体"/>
                <w:color w:val="000000"/>
                <w:spacing w:val="-6"/>
                <w:kern w:val="0"/>
                <w:szCs w:val="21"/>
              </w:rPr>
              <w:t>依法必须进行招标的项目的招标人不按照规定组建评标委员会，或者确定、更换评标委员会成员违反招标投标法和本条例规定的，由有关行政监督部门责令改正，可以处</w:t>
            </w:r>
            <w:r>
              <w:rPr>
                <w:color w:val="000000"/>
                <w:spacing w:val="-6"/>
                <w:kern w:val="0"/>
                <w:szCs w:val="21"/>
              </w:rPr>
              <w:t>10</w:t>
            </w:r>
            <w:r>
              <w:rPr>
                <w:rFonts w:hAnsi="宋体"/>
                <w:color w:val="000000"/>
                <w:spacing w:val="-6"/>
                <w:kern w:val="0"/>
                <w:szCs w:val="21"/>
              </w:rPr>
              <w:t>万元以下的罚款，对单位直接负责的主管人员和其他直接责任人员依法给予处分；违法确定或者更换的评标委员会成员作出的评审结论无效，依法重新进行评审。</w:t>
            </w:r>
            <w:r>
              <w:rPr>
                <w:color w:val="000000"/>
                <w:kern w:val="0"/>
                <w:szCs w:val="21"/>
              </w:rPr>
              <w:br w:type="textWrapping"/>
            </w:r>
            <w:r>
              <w:rPr>
                <w:rFonts w:hAnsi="宋体"/>
                <w:color w:val="000000"/>
                <w:kern w:val="0"/>
                <w:szCs w:val="21"/>
              </w:rPr>
              <w:t>国家工作人员以任何方式非法干涉选取评标委员会成员的，依照本条例第八十条的规定追究法律责任。</w:t>
            </w:r>
            <w:r>
              <w:rPr>
                <w:color w:val="000000"/>
                <w:kern w:val="0"/>
                <w:szCs w:val="21"/>
              </w:rPr>
              <w:br w:type="textWrapping"/>
            </w:r>
            <w:r>
              <w:rPr>
                <w:b/>
                <w:bCs/>
                <w:color w:val="000000"/>
                <w:kern w:val="0"/>
                <w:szCs w:val="21"/>
              </w:rPr>
              <w:t>2.</w:t>
            </w:r>
            <w:r>
              <w:rPr>
                <w:rFonts w:hAnsi="宋体"/>
                <w:b/>
                <w:bCs/>
                <w:color w:val="000000"/>
                <w:kern w:val="0"/>
                <w:szCs w:val="21"/>
              </w:rPr>
              <w:t>《评标专家和评标专家库管理办法》第三十四条</w:t>
            </w:r>
            <w:r>
              <w:rPr>
                <w:b/>
                <w:bCs/>
                <w:color w:val="000000"/>
                <w:kern w:val="0"/>
                <w:szCs w:val="21"/>
              </w:rPr>
              <w:t xml:space="preserve">  </w:t>
            </w:r>
            <w:r>
              <w:rPr>
                <w:rFonts w:hAnsi="宋体"/>
                <w:color w:val="000000"/>
                <w:kern w:val="0"/>
                <w:szCs w:val="21"/>
              </w:rPr>
              <w:t>依法必须进行招标项目的招标人违法组建评标委员会，或者违法确定、更换评标委员会成员的，由有关行政监督部门责令改正，可以处十万元以下的罚款；对负有责任的领导人员和直接责任人员依法给予处分；涉嫌违纪违法犯罪的，及时移送纪检监察机关、司法机关处理。</w:t>
            </w:r>
            <w:r>
              <w:rPr>
                <w:color w:val="000000"/>
                <w:kern w:val="0"/>
                <w:szCs w:val="21"/>
              </w:rPr>
              <w:br w:type="textWrapping"/>
            </w:r>
            <w:r>
              <w:rPr>
                <w:rFonts w:hAnsi="宋体"/>
                <w:color w:val="000000"/>
                <w:kern w:val="0"/>
                <w:szCs w:val="21"/>
              </w:rPr>
              <w:t>政府投资项目的招标人不按照本办法规定抽取专家的，由有关行政监督部门责令改正；对负有责任的领导人员和直接责任人员依法给予处分；涉嫌违纪违法犯罪的，及时移送纪检监察机关、司法机关处理。</w:t>
            </w:r>
            <w:r>
              <w:rPr>
                <w:color w:val="000000"/>
                <w:kern w:val="0"/>
                <w:szCs w:val="21"/>
              </w:rPr>
              <w:br w:type="textWrapping"/>
            </w:r>
            <w:r>
              <w:rPr>
                <w:rFonts w:hAnsi="宋体"/>
                <w:color w:val="000000"/>
                <w:kern w:val="0"/>
                <w:szCs w:val="21"/>
              </w:rPr>
              <w:t>违法确定或者更换的评标委员会成员作出的评标结论无效。</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b/>
                <w:bCs/>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51A9A494">
            <w:pPr>
              <w:widowControl/>
              <w:jc w:val="left"/>
              <w:rPr>
                <w:color w:val="000000"/>
                <w:kern w:val="0"/>
                <w:szCs w:val="21"/>
              </w:rPr>
            </w:pPr>
            <w:r>
              <w:rPr>
                <w:rFonts w:hAnsi="宋体"/>
                <w:color w:val="000000"/>
                <w:kern w:val="0"/>
                <w:szCs w:val="21"/>
              </w:rPr>
              <w:t>　</w:t>
            </w:r>
          </w:p>
        </w:tc>
      </w:tr>
      <w:tr w14:paraId="4C1F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417" w:type="dxa"/>
            <w:noWrap w:val="0"/>
            <w:tcMar>
              <w:left w:w="51" w:type="dxa"/>
              <w:right w:w="51" w:type="dxa"/>
            </w:tcMar>
            <w:vAlign w:val="center"/>
          </w:tcPr>
          <w:p w14:paraId="16A0ACAA">
            <w:pPr>
              <w:widowControl/>
              <w:jc w:val="center"/>
              <w:rPr>
                <w:color w:val="000000"/>
                <w:kern w:val="0"/>
                <w:szCs w:val="21"/>
              </w:rPr>
            </w:pPr>
            <w:r>
              <w:rPr>
                <w:rFonts w:hint="eastAsia"/>
                <w:color w:val="000000"/>
                <w:szCs w:val="21"/>
                <w:lang w:val="en-US" w:eastAsia="zh-CN"/>
              </w:rPr>
              <w:t>4</w:t>
            </w:r>
            <w:r>
              <w:rPr>
                <w:color w:val="000000"/>
                <w:szCs w:val="21"/>
              </w:rPr>
              <w:t>4</w:t>
            </w:r>
          </w:p>
        </w:tc>
        <w:tc>
          <w:tcPr>
            <w:tcW w:w="1834" w:type="dxa"/>
            <w:noWrap w:val="0"/>
            <w:tcMar>
              <w:left w:w="51" w:type="dxa"/>
              <w:right w:w="51" w:type="dxa"/>
            </w:tcMar>
            <w:vAlign w:val="center"/>
          </w:tcPr>
          <w:p w14:paraId="6D6A81D2">
            <w:pPr>
              <w:widowControl/>
              <w:jc w:val="left"/>
              <w:rPr>
                <w:color w:val="000000"/>
                <w:kern w:val="0"/>
                <w:szCs w:val="21"/>
              </w:rPr>
            </w:pPr>
            <w:r>
              <w:rPr>
                <w:rFonts w:hAnsi="宋体"/>
                <w:color w:val="000000"/>
                <w:kern w:val="0"/>
                <w:szCs w:val="21"/>
              </w:rPr>
              <w:t>对依法必须进行招标的工业项目及按规定履行监管职责项目的中标人无正当理由不与招标人订立合同，在签订合同时向招标人提出附加条件，或者不按照招标文件要求提交履约保证金的行政处罚</w:t>
            </w:r>
          </w:p>
        </w:tc>
        <w:tc>
          <w:tcPr>
            <w:tcW w:w="706" w:type="dxa"/>
            <w:noWrap/>
            <w:tcMar>
              <w:left w:w="51" w:type="dxa"/>
              <w:right w:w="51" w:type="dxa"/>
            </w:tcMar>
            <w:vAlign w:val="center"/>
          </w:tcPr>
          <w:p w14:paraId="61D79852">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BF60251">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A486636">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41518465">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《中华人民共和国招标投标法实施条例》第七十四条</w:t>
            </w:r>
            <w:r>
              <w:rPr>
                <w:color w:val="000000"/>
                <w:kern w:val="0"/>
                <w:szCs w:val="21"/>
              </w:rPr>
              <w:t xml:space="preserve">  </w:t>
            </w:r>
            <w:r>
              <w:rPr>
                <w:rFonts w:hAnsi="宋体"/>
                <w:color w:val="000000"/>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color w:val="000000"/>
                <w:kern w:val="0"/>
                <w:szCs w:val="21"/>
              </w:rPr>
              <w:t>10‰</w:t>
            </w:r>
            <w:r>
              <w:rPr>
                <w:rFonts w:hAnsi="宋体"/>
                <w:color w:val="000000"/>
                <w:kern w:val="0"/>
                <w:szCs w:val="21"/>
              </w:rPr>
              <w:t>以下的罚款。</w:t>
            </w:r>
            <w:r>
              <w:rPr>
                <w:color w:val="000000"/>
                <w:kern w:val="0"/>
                <w:szCs w:val="21"/>
              </w:rPr>
              <w:br w:type="textWrapping"/>
            </w:r>
            <w:r>
              <w:rPr>
                <w:b/>
                <w:bCs/>
                <w:color w:val="000000"/>
                <w:kern w:val="0"/>
                <w:szCs w:val="21"/>
              </w:rPr>
              <w:t>2.</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b/>
                <w:bCs/>
                <w:color w:val="000000"/>
                <w:kern w:val="0"/>
                <w:szCs w:val="21"/>
              </w:rPr>
              <w:t xml:space="preserve"> </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055E37F5">
            <w:pPr>
              <w:widowControl/>
              <w:jc w:val="left"/>
              <w:rPr>
                <w:color w:val="000000"/>
                <w:kern w:val="0"/>
                <w:szCs w:val="21"/>
              </w:rPr>
            </w:pPr>
            <w:r>
              <w:rPr>
                <w:rFonts w:hAnsi="宋体"/>
                <w:color w:val="000000"/>
                <w:kern w:val="0"/>
                <w:szCs w:val="21"/>
              </w:rPr>
              <w:t>　</w:t>
            </w:r>
          </w:p>
        </w:tc>
      </w:tr>
      <w:tr w14:paraId="08D8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17" w:type="dxa"/>
            <w:noWrap w:val="0"/>
            <w:tcMar>
              <w:left w:w="51" w:type="dxa"/>
              <w:right w:w="51" w:type="dxa"/>
            </w:tcMar>
            <w:vAlign w:val="center"/>
          </w:tcPr>
          <w:p w14:paraId="420DF431">
            <w:pPr>
              <w:widowControl/>
              <w:jc w:val="center"/>
              <w:rPr>
                <w:color w:val="000000"/>
                <w:kern w:val="0"/>
                <w:szCs w:val="21"/>
              </w:rPr>
            </w:pPr>
            <w:r>
              <w:rPr>
                <w:rFonts w:hint="eastAsia"/>
                <w:color w:val="000000"/>
                <w:szCs w:val="21"/>
                <w:lang w:val="en-US" w:eastAsia="zh-CN"/>
              </w:rPr>
              <w:t>4</w:t>
            </w:r>
            <w:r>
              <w:rPr>
                <w:color w:val="000000"/>
                <w:szCs w:val="21"/>
              </w:rPr>
              <w:t>5</w:t>
            </w:r>
          </w:p>
        </w:tc>
        <w:tc>
          <w:tcPr>
            <w:tcW w:w="1834" w:type="dxa"/>
            <w:noWrap w:val="0"/>
            <w:tcMar>
              <w:left w:w="51" w:type="dxa"/>
              <w:right w:w="51" w:type="dxa"/>
            </w:tcMar>
            <w:vAlign w:val="center"/>
          </w:tcPr>
          <w:p w14:paraId="242038C9">
            <w:pPr>
              <w:widowControl/>
              <w:jc w:val="left"/>
              <w:rPr>
                <w:color w:val="000000"/>
                <w:kern w:val="0"/>
                <w:szCs w:val="21"/>
              </w:rPr>
            </w:pPr>
            <w:r>
              <w:rPr>
                <w:rFonts w:hAnsi="宋体"/>
                <w:color w:val="000000"/>
                <w:kern w:val="0"/>
                <w:szCs w:val="21"/>
              </w:rPr>
              <w:t>对工业项目及按规定履行监管职责项目招标代理机构及其工作人员违反法律、法规和规章从事与招标代理活动有关行为的行政处罚</w:t>
            </w:r>
          </w:p>
        </w:tc>
        <w:tc>
          <w:tcPr>
            <w:tcW w:w="706" w:type="dxa"/>
            <w:noWrap/>
            <w:tcMar>
              <w:left w:w="51" w:type="dxa"/>
              <w:right w:w="51" w:type="dxa"/>
            </w:tcMar>
            <w:vAlign w:val="center"/>
          </w:tcPr>
          <w:p w14:paraId="66290524">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FA0F794">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B098B46">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365F7F6">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《中华人民共和国招标投标法》第五十条</w:t>
            </w:r>
            <w:r>
              <w:rPr>
                <w:b/>
                <w:bCs/>
                <w:color w:val="000000"/>
                <w:kern w:val="0"/>
                <w:szCs w:val="21"/>
              </w:rPr>
              <w:t xml:space="preserve"> </w:t>
            </w:r>
            <w:r>
              <w:rPr>
                <w:color w:val="000000"/>
                <w:kern w:val="0"/>
                <w:szCs w:val="21"/>
              </w:rPr>
              <w:t xml:space="preserve"> </w:t>
            </w:r>
            <w:r>
              <w:rPr>
                <w:rFonts w:hAnsi="宋体"/>
                <w:color w:val="000000"/>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color w:val="000000"/>
                <w:kern w:val="0"/>
                <w:szCs w:val="21"/>
              </w:rPr>
              <w:br w:type="textWrapping"/>
            </w:r>
            <w:r>
              <w:rPr>
                <w:rFonts w:hAnsi="宋体"/>
                <w:color w:val="000000"/>
                <w:kern w:val="0"/>
                <w:szCs w:val="21"/>
              </w:rPr>
              <w:t>前款所列行为影响中标结果的，中标无效。</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《中华人民共和国招标投标法实施条例》第六十五条</w:t>
            </w:r>
            <w:r>
              <w:rPr>
                <w:color w:val="000000"/>
                <w:kern w:val="0"/>
                <w:szCs w:val="21"/>
              </w:rPr>
              <w:t xml:space="preserve">  </w:t>
            </w:r>
            <w:r>
              <w:rPr>
                <w:rFonts w:hAnsi="宋体"/>
                <w:color w:val="000000"/>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号）第</w:t>
            </w:r>
            <w:r>
              <w:rPr>
                <w:b/>
                <w:bCs/>
                <w:color w:val="000000"/>
                <w:kern w:val="0"/>
                <w:szCs w:val="21"/>
              </w:rPr>
              <w:t>(</w:t>
            </w:r>
            <w:r>
              <w:rPr>
                <w:rFonts w:hAnsi="宋体"/>
                <w:b/>
                <w:bCs/>
                <w:color w:val="000000"/>
                <w:kern w:val="0"/>
                <w:szCs w:val="21"/>
              </w:rPr>
              <w:t>一</w:t>
            </w:r>
            <w:r>
              <w:rPr>
                <w:b/>
                <w:bCs/>
                <w:color w:val="000000"/>
                <w:kern w:val="0"/>
                <w:szCs w:val="21"/>
              </w:rPr>
              <w:t>)</w:t>
            </w:r>
            <w:r>
              <w:rPr>
                <w:rFonts w:hAnsi="宋体"/>
                <w:b/>
                <w:bCs/>
                <w:color w:val="000000"/>
                <w:kern w:val="0"/>
                <w:szCs w:val="21"/>
              </w:rPr>
              <w:t>条</w:t>
            </w:r>
            <w:r>
              <w:rPr>
                <w:b/>
                <w:bCs/>
                <w:color w:val="000000"/>
                <w:kern w:val="0"/>
                <w:szCs w:val="21"/>
              </w:rPr>
              <w:t xml:space="preserve"> </w:t>
            </w:r>
            <w:r>
              <w:rPr>
                <w:color w:val="000000"/>
                <w:kern w:val="0"/>
                <w:szCs w:val="21"/>
              </w:rPr>
              <w:t xml:space="preserve"> </w:t>
            </w:r>
            <w:r>
              <w:rPr>
                <w:rFonts w:hAnsi="宋体"/>
                <w:color w:val="000000"/>
                <w:kern w:val="0"/>
                <w:szCs w:val="21"/>
              </w:rPr>
              <w:t>规定合理划分招标投标活动监管职责。各级发展改革部门负责指导和协调本行政区域内的招标投标工作，按照职责权限对工业项目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58F97B34">
            <w:pPr>
              <w:widowControl/>
              <w:jc w:val="left"/>
              <w:rPr>
                <w:color w:val="000000"/>
                <w:kern w:val="0"/>
                <w:szCs w:val="21"/>
              </w:rPr>
            </w:pPr>
            <w:r>
              <w:rPr>
                <w:rFonts w:hAnsi="宋体"/>
                <w:color w:val="000000"/>
                <w:kern w:val="0"/>
                <w:szCs w:val="21"/>
              </w:rPr>
              <w:t>　</w:t>
            </w:r>
          </w:p>
        </w:tc>
      </w:tr>
      <w:tr w14:paraId="3582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417" w:type="dxa"/>
            <w:noWrap w:val="0"/>
            <w:tcMar>
              <w:left w:w="51" w:type="dxa"/>
              <w:right w:w="51" w:type="dxa"/>
            </w:tcMar>
            <w:vAlign w:val="center"/>
          </w:tcPr>
          <w:p w14:paraId="68545946">
            <w:pPr>
              <w:widowControl/>
              <w:jc w:val="center"/>
              <w:rPr>
                <w:color w:val="000000"/>
                <w:kern w:val="0"/>
                <w:szCs w:val="21"/>
              </w:rPr>
            </w:pPr>
            <w:r>
              <w:rPr>
                <w:rFonts w:hint="eastAsia"/>
                <w:color w:val="000000"/>
                <w:szCs w:val="21"/>
                <w:lang w:val="en-US" w:eastAsia="zh-CN"/>
              </w:rPr>
              <w:t>4</w:t>
            </w:r>
            <w:r>
              <w:rPr>
                <w:color w:val="000000"/>
                <w:szCs w:val="21"/>
              </w:rPr>
              <w:t>6</w:t>
            </w:r>
          </w:p>
        </w:tc>
        <w:tc>
          <w:tcPr>
            <w:tcW w:w="1834" w:type="dxa"/>
            <w:noWrap w:val="0"/>
            <w:tcMar>
              <w:left w:w="51" w:type="dxa"/>
              <w:right w:w="51" w:type="dxa"/>
            </w:tcMar>
            <w:vAlign w:val="center"/>
          </w:tcPr>
          <w:p w14:paraId="4E42C84F">
            <w:pPr>
              <w:widowControl/>
              <w:jc w:val="left"/>
              <w:rPr>
                <w:color w:val="000000"/>
                <w:kern w:val="0"/>
                <w:szCs w:val="21"/>
              </w:rPr>
            </w:pPr>
            <w:r>
              <w:rPr>
                <w:rFonts w:hAnsi="宋体"/>
                <w:color w:val="000000"/>
                <w:kern w:val="0"/>
                <w:szCs w:val="21"/>
              </w:rPr>
              <w:t>对固定资产投资项目建设单位未按照规定进行节能审查、节能审查未通过、未经节能验收、节能验收不合格或者不符合强制性节能标准的行政处罚</w:t>
            </w:r>
          </w:p>
        </w:tc>
        <w:tc>
          <w:tcPr>
            <w:tcW w:w="706" w:type="dxa"/>
            <w:noWrap w:val="0"/>
            <w:tcMar>
              <w:left w:w="51" w:type="dxa"/>
              <w:right w:w="51" w:type="dxa"/>
            </w:tcMar>
            <w:vAlign w:val="center"/>
          </w:tcPr>
          <w:p w14:paraId="6C7AB4C9">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664A7A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30BC964">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B17238C">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《中华人民共和国节约能源法》第六十八条</w:t>
            </w:r>
            <w:r>
              <w:rPr>
                <w:b/>
                <w:bCs/>
                <w:color w:val="000000"/>
                <w:kern w:val="0"/>
                <w:szCs w:val="21"/>
              </w:rPr>
              <w:t xml:space="preserve">  </w:t>
            </w:r>
            <w:r>
              <w:rPr>
                <w:rFonts w:hAnsi="宋体"/>
                <w:color w:val="000000"/>
                <w:kern w:val="0"/>
                <w:szCs w:val="21"/>
              </w:rPr>
              <w:t>负责审批政府投资项目的机关违反本法规定，对不符合强制性节能标准的项目予以批准建设的，对直接负责的主管人员和其他直接责任人员依法给予处分。</w:t>
            </w:r>
            <w:r>
              <w:rPr>
                <w:color w:val="000000"/>
                <w:kern w:val="0"/>
                <w:szCs w:val="21"/>
              </w:rPr>
              <w:br w:type="textWrapping"/>
            </w:r>
            <w:r>
              <w:rPr>
                <w:rFonts w:hAnsi="宋体"/>
                <w:color w:val="000000"/>
                <w:kern w:val="0"/>
                <w:szCs w:val="21"/>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Pr>
                <w:color w:val="000000"/>
                <w:kern w:val="0"/>
                <w:szCs w:val="21"/>
              </w:rPr>
              <w:br w:type="textWrapping"/>
            </w:r>
            <w:r>
              <w:rPr>
                <w:b/>
                <w:bCs/>
                <w:color w:val="000000"/>
                <w:kern w:val="0"/>
                <w:szCs w:val="21"/>
              </w:rPr>
              <w:t>2.</w:t>
            </w:r>
            <w:r>
              <w:rPr>
                <w:rFonts w:hAnsi="宋体"/>
                <w:b/>
                <w:bCs/>
                <w:color w:val="000000"/>
                <w:kern w:val="0"/>
                <w:szCs w:val="21"/>
              </w:rPr>
              <w:t>《湖南省节能监察办法》第二十八条</w:t>
            </w:r>
            <w:r>
              <w:rPr>
                <w:rFonts w:hAnsi="宋体"/>
                <w:color w:val="000000"/>
                <w:kern w:val="0"/>
                <w:szCs w:val="21"/>
              </w:rPr>
              <w:t>　负责节能工作的部门在节能监察中发现被监察单位违反《中华人民共和国节约能源法》等有关节能法律、法规、规章，应当给予行政处罚的，依法予以处罚，或者移送其他有关行政主管部门依法予以处罚。</w:t>
            </w:r>
          </w:p>
        </w:tc>
        <w:tc>
          <w:tcPr>
            <w:tcW w:w="411" w:type="dxa"/>
            <w:noWrap/>
            <w:tcMar>
              <w:left w:w="51" w:type="dxa"/>
              <w:right w:w="51" w:type="dxa"/>
            </w:tcMar>
            <w:vAlign w:val="center"/>
          </w:tcPr>
          <w:p w14:paraId="1FE9537A">
            <w:pPr>
              <w:widowControl/>
              <w:jc w:val="left"/>
              <w:rPr>
                <w:color w:val="000000"/>
                <w:kern w:val="0"/>
                <w:szCs w:val="21"/>
              </w:rPr>
            </w:pPr>
            <w:r>
              <w:rPr>
                <w:rFonts w:hAnsi="宋体"/>
                <w:color w:val="000000"/>
                <w:kern w:val="0"/>
                <w:szCs w:val="21"/>
              </w:rPr>
              <w:t>　</w:t>
            </w:r>
          </w:p>
        </w:tc>
      </w:tr>
      <w:tr w14:paraId="61A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17" w:type="dxa"/>
            <w:noWrap w:val="0"/>
            <w:tcMar>
              <w:left w:w="51" w:type="dxa"/>
              <w:right w:w="51" w:type="dxa"/>
            </w:tcMar>
            <w:vAlign w:val="center"/>
          </w:tcPr>
          <w:p w14:paraId="375FB687">
            <w:pPr>
              <w:widowControl/>
              <w:jc w:val="center"/>
              <w:rPr>
                <w:color w:val="000000"/>
                <w:kern w:val="0"/>
                <w:szCs w:val="21"/>
              </w:rPr>
            </w:pPr>
            <w:r>
              <w:rPr>
                <w:rFonts w:hint="eastAsia"/>
                <w:color w:val="000000"/>
                <w:szCs w:val="21"/>
                <w:lang w:val="en-US" w:eastAsia="zh-CN"/>
              </w:rPr>
              <w:t>4</w:t>
            </w:r>
            <w:r>
              <w:rPr>
                <w:color w:val="000000"/>
                <w:szCs w:val="21"/>
              </w:rPr>
              <w:t>7</w:t>
            </w:r>
          </w:p>
        </w:tc>
        <w:tc>
          <w:tcPr>
            <w:tcW w:w="1834" w:type="dxa"/>
            <w:noWrap w:val="0"/>
            <w:tcMar>
              <w:left w:w="51" w:type="dxa"/>
              <w:right w:w="51" w:type="dxa"/>
            </w:tcMar>
            <w:vAlign w:val="center"/>
          </w:tcPr>
          <w:p w14:paraId="77641A7A">
            <w:pPr>
              <w:widowControl/>
              <w:jc w:val="left"/>
              <w:rPr>
                <w:color w:val="000000"/>
                <w:kern w:val="0"/>
                <w:szCs w:val="21"/>
              </w:rPr>
            </w:pPr>
            <w:r>
              <w:rPr>
                <w:rFonts w:hAnsi="宋体"/>
                <w:color w:val="000000"/>
                <w:kern w:val="0"/>
                <w:szCs w:val="21"/>
              </w:rPr>
              <w:t>对使用国家明令淘汰的用能设备或者生产工艺的行政处罚</w:t>
            </w:r>
          </w:p>
        </w:tc>
        <w:tc>
          <w:tcPr>
            <w:tcW w:w="706" w:type="dxa"/>
            <w:noWrap w:val="0"/>
            <w:tcMar>
              <w:left w:w="51" w:type="dxa"/>
              <w:right w:w="51" w:type="dxa"/>
            </w:tcMar>
            <w:vAlign w:val="center"/>
          </w:tcPr>
          <w:p w14:paraId="25BCDA2C">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11016093">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8B566D1">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4E9492FE">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《中华人民共和国节约能源法》第七十一条</w:t>
            </w:r>
            <w:r>
              <w:rPr>
                <w:color w:val="000000"/>
                <w:kern w:val="0"/>
                <w:szCs w:val="21"/>
              </w:rPr>
              <w:t xml:space="preserve">  </w:t>
            </w:r>
            <w:r>
              <w:rPr>
                <w:rFonts w:hAnsi="宋体"/>
                <w:color w:val="000000"/>
                <w:kern w:val="0"/>
                <w:szCs w:val="21"/>
              </w:rPr>
              <w:t>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color w:val="000000"/>
                <w:kern w:val="0"/>
                <w:szCs w:val="21"/>
              </w:rPr>
              <w:br w:type="textWrapping"/>
            </w:r>
            <w:r>
              <w:rPr>
                <w:b/>
                <w:bCs/>
                <w:color w:val="000000"/>
                <w:kern w:val="0"/>
                <w:szCs w:val="21"/>
              </w:rPr>
              <w:t>2.</w:t>
            </w:r>
            <w:r>
              <w:rPr>
                <w:rFonts w:hAnsi="宋体"/>
                <w:b/>
                <w:bCs/>
                <w:color w:val="000000"/>
                <w:kern w:val="0"/>
                <w:szCs w:val="21"/>
              </w:rPr>
              <w:t>《湖南省节能监察办法》第二十八条</w:t>
            </w:r>
            <w:r>
              <w:rPr>
                <w:rFonts w:hAnsi="宋体"/>
                <w:color w:val="000000"/>
                <w:kern w:val="0"/>
                <w:szCs w:val="21"/>
              </w:rPr>
              <w:t>　负责节能工作的部门在节能监察中发现被监察单位违反《中华人民共和国节约能源法》等有关节能法律、法规、规章，应当给予行政处罚的，依法予以处罚，或者移送其他有关行政主管部门依法予以处罚。</w:t>
            </w:r>
          </w:p>
        </w:tc>
        <w:tc>
          <w:tcPr>
            <w:tcW w:w="411" w:type="dxa"/>
            <w:noWrap/>
            <w:tcMar>
              <w:left w:w="51" w:type="dxa"/>
              <w:right w:w="51" w:type="dxa"/>
            </w:tcMar>
            <w:vAlign w:val="center"/>
          </w:tcPr>
          <w:p w14:paraId="000FDD91">
            <w:pPr>
              <w:widowControl/>
              <w:jc w:val="left"/>
              <w:rPr>
                <w:color w:val="000000"/>
                <w:kern w:val="0"/>
                <w:szCs w:val="21"/>
              </w:rPr>
            </w:pPr>
            <w:r>
              <w:rPr>
                <w:rFonts w:hAnsi="宋体"/>
                <w:color w:val="000000"/>
                <w:kern w:val="0"/>
                <w:szCs w:val="21"/>
              </w:rPr>
              <w:t>　</w:t>
            </w:r>
          </w:p>
        </w:tc>
      </w:tr>
      <w:tr w14:paraId="2FDA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17" w:type="dxa"/>
            <w:noWrap w:val="0"/>
            <w:tcMar>
              <w:left w:w="51" w:type="dxa"/>
              <w:right w:w="51" w:type="dxa"/>
            </w:tcMar>
            <w:vAlign w:val="center"/>
          </w:tcPr>
          <w:p w14:paraId="44142580">
            <w:pPr>
              <w:widowControl/>
              <w:jc w:val="center"/>
              <w:rPr>
                <w:color w:val="000000"/>
                <w:kern w:val="0"/>
                <w:szCs w:val="21"/>
              </w:rPr>
            </w:pPr>
            <w:r>
              <w:rPr>
                <w:rFonts w:hint="eastAsia"/>
                <w:color w:val="000000"/>
                <w:szCs w:val="21"/>
                <w:lang w:val="en-US" w:eastAsia="zh-CN"/>
              </w:rPr>
              <w:t>4</w:t>
            </w:r>
            <w:r>
              <w:rPr>
                <w:color w:val="000000"/>
                <w:szCs w:val="21"/>
              </w:rPr>
              <w:t>8</w:t>
            </w:r>
          </w:p>
        </w:tc>
        <w:tc>
          <w:tcPr>
            <w:tcW w:w="1834" w:type="dxa"/>
            <w:noWrap w:val="0"/>
            <w:tcMar>
              <w:left w:w="51" w:type="dxa"/>
              <w:right w:w="51" w:type="dxa"/>
            </w:tcMar>
            <w:vAlign w:val="center"/>
          </w:tcPr>
          <w:p w14:paraId="1F36770A">
            <w:pPr>
              <w:widowControl/>
              <w:jc w:val="left"/>
              <w:rPr>
                <w:color w:val="000000"/>
                <w:kern w:val="0"/>
                <w:szCs w:val="21"/>
              </w:rPr>
            </w:pPr>
            <w:r>
              <w:rPr>
                <w:rFonts w:hAnsi="宋体"/>
                <w:color w:val="000000"/>
                <w:kern w:val="0"/>
                <w:szCs w:val="21"/>
              </w:rPr>
              <w:t>对生产单位超过单位产品能耗限额标准用能的行政处罚</w:t>
            </w:r>
          </w:p>
        </w:tc>
        <w:tc>
          <w:tcPr>
            <w:tcW w:w="706" w:type="dxa"/>
            <w:noWrap w:val="0"/>
            <w:tcMar>
              <w:left w:w="51" w:type="dxa"/>
              <w:right w:w="51" w:type="dxa"/>
            </w:tcMar>
            <w:vAlign w:val="center"/>
          </w:tcPr>
          <w:p w14:paraId="0609BC26">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75F2AC9">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77525C0">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152838E8">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《中华人民共和国节约能源法》第七十二条</w:t>
            </w:r>
            <w:r>
              <w:rPr>
                <w:color w:val="000000"/>
                <w:kern w:val="0"/>
                <w:szCs w:val="21"/>
              </w:rPr>
              <w:t xml:space="preserve">  </w:t>
            </w:r>
            <w:r>
              <w:rPr>
                <w:rFonts w:hAnsi="宋体"/>
                <w:color w:val="000000"/>
                <w:kern w:val="0"/>
                <w:szCs w:val="21"/>
              </w:rPr>
              <w:t>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color w:val="000000"/>
                <w:kern w:val="0"/>
                <w:szCs w:val="21"/>
              </w:rPr>
              <w:br w:type="textWrapping"/>
            </w:r>
            <w:r>
              <w:rPr>
                <w:b/>
                <w:bCs/>
                <w:color w:val="000000"/>
                <w:kern w:val="0"/>
                <w:szCs w:val="21"/>
              </w:rPr>
              <w:t>2.</w:t>
            </w:r>
            <w:r>
              <w:rPr>
                <w:rFonts w:hAnsi="宋体"/>
                <w:b/>
                <w:bCs/>
                <w:color w:val="000000"/>
                <w:kern w:val="0"/>
                <w:szCs w:val="21"/>
              </w:rPr>
              <w:t>《湖南省节能监察办法》第二十八条</w:t>
            </w:r>
            <w:r>
              <w:rPr>
                <w:rFonts w:hAnsi="宋体"/>
                <w:color w:val="000000"/>
                <w:kern w:val="0"/>
                <w:szCs w:val="21"/>
              </w:rPr>
              <w:t>　负责节能工作的部门在节能监察中发现被监察单位违反《中华人民共和国节约能源法》等有关节能法律、法规、规章，应当给予行政处罚的，依法予以处罚，或者移送其他有关行政主管部门依法予以处罚。</w:t>
            </w:r>
          </w:p>
        </w:tc>
        <w:tc>
          <w:tcPr>
            <w:tcW w:w="411" w:type="dxa"/>
            <w:noWrap/>
            <w:tcMar>
              <w:left w:w="51" w:type="dxa"/>
              <w:right w:w="51" w:type="dxa"/>
            </w:tcMar>
            <w:vAlign w:val="center"/>
          </w:tcPr>
          <w:p w14:paraId="64137F3F">
            <w:pPr>
              <w:widowControl/>
              <w:jc w:val="left"/>
              <w:rPr>
                <w:color w:val="000000"/>
                <w:kern w:val="0"/>
                <w:szCs w:val="21"/>
              </w:rPr>
            </w:pPr>
            <w:r>
              <w:rPr>
                <w:rFonts w:hAnsi="宋体"/>
                <w:color w:val="000000"/>
                <w:kern w:val="0"/>
                <w:szCs w:val="21"/>
              </w:rPr>
              <w:t>　</w:t>
            </w:r>
          </w:p>
        </w:tc>
      </w:tr>
      <w:tr w14:paraId="3D4C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417" w:type="dxa"/>
            <w:noWrap w:val="0"/>
            <w:tcMar>
              <w:left w:w="51" w:type="dxa"/>
              <w:right w:w="51" w:type="dxa"/>
            </w:tcMar>
            <w:vAlign w:val="center"/>
          </w:tcPr>
          <w:p w14:paraId="634D3EC5">
            <w:pPr>
              <w:widowControl/>
              <w:jc w:val="center"/>
              <w:rPr>
                <w:color w:val="000000"/>
                <w:kern w:val="0"/>
                <w:szCs w:val="21"/>
              </w:rPr>
            </w:pPr>
            <w:r>
              <w:rPr>
                <w:rFonts w:hint="eastAsia"/>
                <w:color w:val="000000"/>
                <w:szCs w:val="21"/>
                <w:lang w:val="en-US" w:eastAsia="zh-CN"/>
              </w:rPr>
              <w:t>4</w:t>
            </w:r>
            <w:r>
              <w:rPr>
                <w:color w:val="000000"/>
                <w:szCs w:val="21"/>
              </w:rPr>
              <w:t>9</w:t>
            </w:r>
          </w:p>
        </w:tc>
        <w:tc>
          <w:tcPr>
            <w:tcW w:w="1834" w:type="dxa"/>
            <w:noWrap w:val="0"/>
            <w:tcMar>
              <w:left w:w="51" w:type="dxa"/>
              <w:right w:w="51" w:type="dxa"/>
            </w:tcMar>
            <w:vAlign w:val="center"/>
          </w:tcPr>
          <w:p w14:paraId="3FA603A3">
            <w:pPr>
              <w:widowControl/>
              <w:jc w:val="left"/>
              <w:rPr>
                <w:color w:val="000000"/>
                <w:kern w:val="0"/>
                <w:szCs w:val="21"/>
              </w:rPr>
            </w:pPr>
            <w:r>
              <w:rPr>
                <w:rFonts w:hAnsi="宋体"/>
                <w:color w:val="000000"/>
                <w:kern w:val="0"/>
                <w:szCs w:val="21"/>
              </w:rPr>
              <w:t>对从事节能咨询、设计、评估、检测、审计、认证等服务的机构提供虚假信息的行政处罚</w:t>
            </w:r>
          </w:p>
        </w:tc>
        <w:tc>
          <w:tcPr>
            <w:tcW w:w="706" w:type="dxa"/>
            <w:noWrap w:val="0"/>
            <w:tcMar>
              <w:left w:w="51" w:type="dxa"/>
              <w:right w:w="51" w:type="dxa"/>
            </w:tcMar>
            <w:vAlign w:val="center"/>
          </w:tcPr>
          <w:p w14:paraId="72B83117">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B31050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BE48C7F">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71C0A4D">
            <w:pPr>
              <w:widowControl/>
              <w:jc w:val="left"/>
              <w:rPr>
                <w:b/>
                <w:bCs/>
                <w:color w:val="000000"/>
                <w:kern w:val="0"/>
                <w:szCs w:val="21"/>
              </w:rPr>
            </w:pPr>
            <w:r>
              <w:rPr>
                <w:rFonts w:hAnsi="宋体"/>
                <w:b/>
                <w:bCs/>
                <w:color w:val="000000"/>
                <w:kern w:val="0"/>
                <w:szCs w:val="21"/>
              </w:rPr>
              <w:t>《中华人民共和国节约能源法》第七十六条</w:t>
            </w:r>
            <w:r>
              <w:rPr>
                <w:color w:val="000000"/>
                <w:kern w:val="0"/>
                <w:szCs w:val="21"/>
              </w:rPr>
              <w:t xml:space="preserve">  </w:t>
            </w:r>
            <w:r>
              <w:rPr>
                <w:rFonts w:hAnsi="宋体"/>
                <w:color w:val="000000"/>
                <w:kern w:val="0"/>
                <w:szCs w:val="21"/>
              </w:rPr>
              <w:t>从事节能咨询、设计、评估、检测、审计、认证等服务的机构提供虚假信息的，由管理节能工作的部门责令改正，没收违法所得，并处五万元以上十万元以下罚款。</w:t>
            </w:r>
          </w:p>
        </w:tc>
        <w:tc>
          <w:tcPr>
            <w:tcW w:w="411" w:type="dxa"/>
            <w:noWrap/>
            <w:tcMar>
              <w:left w:w="51" w:type="dxa"/>
              <w:right w:w="51" w:type="dxa"/>
            </w:tcMar>
            <w:vAlign w:val="center"/>
          </w:tcPr>
          <w:p w14:paraId="131F39FF">
            <w:pPr>
              <w:widowControl/>
              <w:jc w:val="left"/>
              <w:rPr>
                <w:color w:val="000000"/>
                <w:kern w:val="0"/>
                <w:szCs w:val="21"/>
              </w:rPr>
            </w:pPr>
            <w:r>
              <w:rPr>
                <w:rFonts w:hAnsi="宋体"/>
                <w:color w:val="000000"/>
                <w:kern w:val="0"/>
                <w:szCs w:val="21"/>
              </w:rPr>
              <w:t>　</w:t>
            </w:r>
          </w:p>
        </w:tc>
      </w:tr>
      <w:tr w14:paraId="5290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417" w:type="dxa"/>
            <w:noWrap w:val="0"/>
            <w:tcMar>
              <w:left w:w="51" w:type="dxa"/>
              <w:right w:w="51" w:type="dxa"/>
            </w:tcMar>
            <w:vAlign w:val="center"/>
          </w:tcPr>
          <w:p w14:paraId="6880AF05">
            <w:pPr>
              <w:widowControl/>
              <w:jc w:val="center"/>
              <w:rPr>
                <w:color w:val="000000"/>
                <w:kern w:val="0"/>
                <w:szCs w:val="21"/>
              </w:rPr>
            </w:pPr>
            <w:r>
              <w:rPr>
                <w:rFonts w:hint="eastAsia"/>
                <w:color w:val="000000"/>
                <w:szCs w:val="21"/>
                <w:lang w:val="en-US" w:eastAsia="zh-CN"/>
              </w:rPr>
              <w:t>5</w:t>
            </w:r>
            <w:r>
              <w:rPr>
                <w:color w:val="000000"/>
                <w:szCs w:val="21"/>
              </w:rPr>
              <w:t>0</w:t>
            </w:r>
          </w:p>
        </w:tc>
        <w:tc>
          <w:tcPr>
            <w:tcW w:w="1834" w:type="dxa"/>
            <w:noWrap w:val="0"/>
            <w:tcMar>
              <w:left w:w="51" w:type="dxa"/>
              <w:right w:w="51" w:type="dxa"/>
            </w:tcMar>
            <w:vAlign w:val="center"/>
          </w:tcPr>
          <w:p w14:paraId="579C87FE">
            <w:pPr>
              <w:widowControl/>
              <w:jc w:val="left"/>
              <w:rPr>
                <w:color w:val="000000"/>
                <w:kern w:val="0"/>
                <w:szCs w:val="21"/>
              </w:rPr>
            </w:pPr>
            <w:r>
              <w:rPr>
                <w:rFonts w:hAnsi="宋体"/>
                <w:color w:val="000000"/>
                <w:kern w:val="0"/>
                <w:szCs w:val="21"/>
              </w:rPr>
              <w:t>对无偿向本单位职工提供能源或者对能源消费实行包费制的行政处罚</w:t>
            </w:r>
          </w:p>
        </w:tc>
        <w:tc>
          <w:tcPr>
            <w:tcW w:w="706" w:type="dxa"/>
            <w:noWrap w:val="0"/>
            <w:tcMar>
              <w:left w:w="51" w:type="dxa"/>
              <w:right w:w="51" w:type="dxa"/>
            </w:tcMar>
            <w:vAlign w:val="center"/>
          </w:tcPr>
          <w:p w14:paraId="7F43244F">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22ED22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BC3856E">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4C75244B">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《中华人民共和国节约能源法》第七十七条</w:t>
            </w:r>
            <w:r>
              <w:rPr>
                <w:color w:val="000000"/>
                <w:kern w:val="0"/>
                <w:szCs w:val="21"/>
              </w:rPr>
              <w:t xml:space="preserve">  </w:t>
            </w:r>
            <w:r>
              <w:rPr>
                <w:rFonts w:hAnsi="宋体"/>
                <w:color w:val="000000"/>
                <w:kern w:val="0"/>
                <w:szCs w:val="21"/>
              </w:rPr>
              <w:t>违反本法规定，无偿向本单位职工提供能源或者对能源消费实行包费制的，由管理节能工作的部门责令限期改正；逾期不改正的，处五万元以上二十万元以下罚款。</w:t>
            </w:r>
            <w:r>
              <w:rPr>
                <w:color w:val="000000"/>
                <w:kern w:val="0"/>
                <w:szCs w:val="21"/>
              </w:rPr>
              <w:br w:type="textWrapping"/>
            </w:r>
            <w:r>
              <w:rPr>
                <w:b/>
                <w:bCs/>
                <w:color w:val="000000"/>
                <w:kern w:val="0"/>
                <w:szCs w:val="21"/>
              </w:rPr>
              <w:t>2.</w:t>
            </w:r>
            <w:r>
              <w:rPr>
                <w:rFonts w:hAnsi="宋体"/>
                <w:b/>
                <w:bCs/>
                <w:color w:val="000000"/>
                <w:kern w:val="0"/>
                <w:szCs w:val="21"/>
              </w:rPr>
              <w:t>《湖南省节能监察办法》第二十八条</w:t>
            </w:r>
            <w:r>
              <w:rPr>
                <w:b/>
                <w:bCs/>
                <w:color w:val="000000"/>
                <w:kern w:val="0"/>
                <w:szCs w:val="21"/>
              </w:rPr>
              <w:t xml:space="preserve">  </w:t>
            </w:r>
            <w:r>
              <w:rPr>
                <w:rFonts w:hAnsi="宋体"/>
                <w:color w:val="000000"/>
                <w:kern w:val="0"/>
                <w:szCs w:val="21"/>
              </w:rPr>
              <w:t>负责节能工作的部门在节能监察中发现被监察单位违反《中华人民共和国节约能源法》等有关节能法律、法规、规章，应当给予行政处罚的，依法予以处罚，或者移送其他有关行政主管部门依法予以处罚。</w:t>
            </w:r>
          </w:p>
        </w:tc>
        <w:tc>
          <w:tcPr>
            <w:tcW w:w="411" w:type="dxa"/>
            <w:noWrap/>
            <w:tcMar>
              <w:left w:w="51" w:type="dxa"/>
              <w:right w:w="51" w:type="dxa"/>
            </w:tcMar>
            <w:vAlign w:val="center"/>
          </w:tcPr>
          <w:p w14:paraId="497C9420">
            <w:pPr>
              <w:widowControl/>
              <w:jc w:val="left"/>
              <w:rPr>
                <w:color w:val="000000"/>
                <w:kern w:val="0"/>
                <w:szCs w:val="21"/>
              </w:rPr>
            </w:pPr>
            <w:r>
              <w:rPr>
                <w:rFonts w:hAnsi="宋体"/>
                <w:color w:val="000000"/>
                <w:kern w:val="0"/>
                <w:szCs w:val="21"/>
              </w:rPr>
              <w:t>　</w:t>
            </w:r>
          </w:p>
        </w:tc>
      </w:tr>
      <w:tr w14:paraId="41FB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417" w:type="dxa"/>
            <w:noWrap w:val="0"/>
            <w:tcMar>
              <w:left w:w="51" w:type="dxa"/>
              <w:right w:w="51" w:type="dxa"/>
            </w:tcMar>
            <w:vAlign w:val="center"/>
          </w:tcPr>
          <w:p w14:paraId="7C9BB5CD">
            <w:pPr>
              <w:widowControl/>
              <w:jc w:val="center"/>
              <w:rPr>
                <w:color w:val="000000"/>
                <w:kern w:val="0"/>
                <w:szCs w:val="21"/>
              </w:rPr>
            </w:pPr>
            <w:r>
              <w:rPr>
                <w:rFonts w:hint="eastAsia"/>
                <w:color w:val="000000"/>
                <w:szCs w:val="21"/>
                <w:lang w:val="en-US" w:eastAsia="zh-CN"/>
              </w:rPr>
              <w:t>5</w:t>
            </w:r>
            <w:r>
              <w:rPr>
                <w:color w:val="000000"/>
                <w:szCs w:val="21"/>
              </w:rPr>
              <w:t>1</w:t>
            </w:r>
          </w:p>
        </w:tc>
        <w:tc>
          <w:tcPr>
            <w:tcW w:w="1834" w:type="dxa"/>
            <w:noWrap w:val="0"/>
            <w:tcMar>
              <w:left w:w="51" w:type="dxa"/>
              <w:right w:w="51" w:type="dxa"/>
            </w:tcMar>
            <w:vAlign w:val="center"/>
          </w:tcPr>
          <w:p w14:paraId="673A702D">
            <w:pPr>
              <w:widowControl/>
              <w:jc w:val="left"/>
              <w:rPr>
                <w:color w:val="000000"/>
                <w:kern w:val="0"/>
                <w:szCs w:val="21"/>
              </w:rPr>
            </w:pPr>
            <w:r>
              <w:rPr>
                <w:rFonts w:hAnsi="宋体"/>
                <w:color w:val="000000"/>
                <w:kern w:val="0"/>
                <w:szCs w:val="21"/>
              </w:rPr>
              <w:t>对重点用能单位未履行节能管理义务的行政处罚</w:t>
            </w:r>
          </w:p>
        </w:tc>
        <w:tc>
          <w:tcPr>
            <w:tcW w:w="706" w:type="dxa"/>
            <w:noWrap w:val="0"/>
            <w:tcMar>
              <w:left w:w="51" w:type="dxa"/>
              <w:right w:w="51" w:type="dxa"/>
            </w:tcMar>
            <w:vAlign w:val="center"/>
          </w:tcPr>
          <w:p w14:paraId="6F3374A7">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8406F24">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ADB20E5">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14A7B78">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《中华人民共和国节约能源法》第八十二条</w:t>
            </w:r>
            <w:r>
              <w:rPr>
                <w:color w:val="000000"/>
                <w:kern w:val="0"/>
                <w:szCs w:val="21"/>
              </w:rPr>
              <w:t xml:space="preserve">  </w:t>
            </w:r>
            <w:r>
              <w:rPr>
                <w:rFonts w:hAnsi="宋体"/>
                <w:color w:val="000000"/>
                <w:kern w:val="0"/>
                <w:szCs w:val="21"/>
              </w:rPr>
              <w:t>重点用能单位未按照本法规定报送能源利用状况报告或者报告内容不实的，由管理节能工作的部门责令限期改正；逾期不改正的，处一万元以上五万元以下罚款。</w:t>
            </w:r>
            <w:r>
              <w:rPr>
                <w:color w:val="000000"/>
                <w:kern w:val="0"/>
                <w:szCs w:val="21"/>
              </w:rPr>
              <w:br w:type="textWrapping"/>
            </w:r>
            <w:r>
              <w:rPr>
                <w:rFonts w:hAnsi="宋体"/>
                <w:b/>
                <w:bCs/>
                <w:color w:val="000000"/>
                <w:kern w:val="0"/>
                <w:szCs w:val="21"/>
              </w:rPr>
              <w:t>第八十三条　</w:t>
            </w:r>
            <w:r>
              <w:rPr>
                <w:rFonts w:hAnsi="宋体"/>
                <w:color w:val="000000"/>
                <w:kern w:val="0"/>
                <w:szCs w:val="21"/>
              </w:rPr>
              <w:t>重点用能单位无正当理由拒不落实本法第五十四条规定的整改要求或者整改没有达到要求的，由管理节能工作的部门处十万元以上三十万元以下罚款。</w:t>
            </w:r>
            <w:r>
              <w:rPr>
                <w:color w:val="000000"/>
                <w:kern w:val="0"/>
                <w:szCs w:val="21"/>
              </w:rPr>
              <w:br w:type="textWrapping"/>
            </w:r>
            <w:r>
              <w:rPr>
                <w:rFonts w:hAnsi="宋体"/>
                <w:b/>
                <w:bCs/>
                <w:color w:val="000000"/>
                <w:kern w:val="0"/>
                <w:szCs w:val="21"/>
              </w:rPr>
              <w:t>第八十四条</w:t>
            </w:r>
            <w:r>
              <w:rPr>
                <w:rFonts w:hAnsi="宋体"/>
                <w:color w:val="000000"/>
                <w:kern w:val="0"/>
                <w:szCs w:val="21"/>
              </w:rPr>
              <w:t>　重点用能单位未按照本法规定设立能源管理岗位，聘任能源管理负责人，并报管理节能工作的部门和有关部门备案的，由管理节能工作的部门责令改正；拒不改正的，处一万元以上三万元以下罚款。</w:t>
            </w:r>
            <w:r>
              <w:rPr>
                <w:color w:val="000000"/>
                <w:kern w:val="0"/>
                <w:szCs w:val="21"/>
              </w:rPr>
              <w:br w:type="textWrapping"/>
            </w:r>
            <w:r>
              <w:rPr>
                <w:b/>
                <w:bCs/>
                <w:color w:val="000000"/>
                <w:kern w:val="0"/>
                <w:szCs w:val="21"/>
              </w:rPr>
              <w:t>2.</w:t>
            </w:r>
            <w:r>
              <w:rPr>
                <w:rFonts w:hAnsi="宋体"/>
                <w:b/>
                <w:bCs/>
                <w:color w:val="000000"/>
                <w:kern w:val="0"/>
                <w:szCs w:val="21"/>
              </w:rPr>
              <w:t>《湖南省节能监察办法》第二十八条</w:t>
            </w:r>
            <w:r>
              <w:rPr>
                <w:rFonts w:hAnsi="宋体"/>
                <w:color w:val="000000"/>
                <w:kern w:val="0"/>
                <w:szCs w:val="21"/>
              </w:rPr>
              <w:t>　负责节能工作的部门在节能监察中发现被监察单位违反《中华人民共和国节约能源法》等有关节能法律、法规、规章，应当给予行政处罚的，依法予以处罚，或者移送其他有关行政主管部门依法予以处罚。</w:t>
            </w:r>
          </w:p>
        </w:tc>
        <w:tc>
          <w:tcPr>
            <w:tcW w:w="411" w:type="dxa"/>
            <w:noWrap/>
            <w:tcMar>
              <w:left w:w="51" w:type="dxa"/>
              <w:right w:w="51" w:type="dxa"/>
            </w:tcMar>
            <w:vAlign w:val="center"/>
          </w:tcPr>
          <w:p w14:paraId="43C7AF2F">
            <w:pPr>
              <w:widowControl/>
              <w:jc w:val="left"/>
              <w:rPr>
                <w:color w:val="000000"/>
                <w:kern w:val="0"/>
                <w:szCs w:val="21"/>
              </w:rPr>
            </w:pPr>
            <w:r>
              <w:rPr>
                <w:rFonts w:hAnsi="宋体"/>
                <w:color w:val="000000"/>
                <w:kern w:val="0"/>
                <w:szCs w:val="21"/>
              </w:rPr>
              <w:t>　</w:t>
            </w:r>
          </w:p>
        </w:tc>
      </w:tr>
      <w:tr w14:paraId="359B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417" w:type="dxa"/>
            <w:noWrap w:val="0"/>
            <w:tcMar>
              <w:left w:w="51" w:type="dxa"/>
              <w:right w:w="51" w:type="dxa"/>
            </w:tcMar>
            <w:vAlign w:val="center"/>
          </w:tcPr>
          <w:p w14:paraId="3E67C714">
            <w:pPr>
              <w:widowControl/>
              <w:jc w:val="center"/>
              <w:rPr>
                <w:color w:val="000000"/>
                <w:kern w:val="0"/>
                <w:szCs w:val="21"/>
              </w:rPr>
            </w:pPr>
            <w:r>
              <w:rPr>
                <w:rFonts w:hint="eastAsia"/>
                <w:color w:val="000000"/>
                <w:szCs w:val="21"/>
                <w:lang w:val="en-US" w:eastAsia="zh-CN"/>
              </w:rPr>
              <w:t>5</w:t>
            </w:r>
            <w:r>
              <w:rPr>
                <w:color w:val="000000"/>
                <w:szCs w:val="21"/>
              </w:rPr>
              <w:t>2</w:t>
            </w:r>
          </w:p>
        </w:tc>
        <w:tc>
          <w:tcPr>
            <w:tcW w:w="1834" w:type="dxa"/>
            <w:noWrap w:val="0"/>
            <w:tcMar>
              <w:left w:w="51" w:type="dxa"/>
              <w:right w:w="51" w:type="dxa"/>
            </w:tcMar>
            <w:vAlign w:val="center"/>
          </w:tcPr>
          <w:p w14:paraId="73A98CD3">
            <w:pPr>
              <w:widowControl/>
              <w:jc w:val="left"/>
              <w:rPr>
                <w:color w:val="000000"/>
                <w:spacing w:val="-4"/>
                <w:kern w:val="0"/>
                <w:szCs w:val="21"/>
              </w:rPr>
            </w:pPr>
            <w:r>
              <w:rPr>
                <w:rFonts w:hAnsi="宋体"/>
                <w:color w:val="000000"/>
                <w:spacing w:val="-4"/>
                <w:kern w:val="0"/>
                <w:szCs w:val="21"/>
              </w:rPr>
              <w:t>对</w:t>
            </w:r>
            <w:r>
              <w:rPr>
                <w:rFonts w:hAnsi="宋体"/>
                <w:color w:val="000000"/>
                <w:kern w:val="0"/>
                <w:szCs w:val="21"/>
              </w:rPr>
              <w:t>电力、石油加工、化工、钢铁、有色金属和建材等企业未在规定的范围或者期限内停止使用不符合国家规定的燃油发电机组或者燃油锅炉的行政处罚</w:t>
            </w:r>
          </w:p>
        </w:tc>
        <w:tc>
          <w:tcPr>
            <w:tcW w:w="706" w:type="dxa"/>
            <w:noWrap w:val="0"/>
            <w:tcMar>
              <w:left w:w="51" w:type="dxa"/>
              <w:right w:w="51" w:type="dxa"/>
            </w:tcMar>
            <w:vAlign w:val="center"/>
          </w:tcPr>
          <w:p w14:paraId="1B30DFCA">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D84ACA2">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D753BCA">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3866BE5E">
            <w:pPr>
              <w:widowControl/>
              <w:jc w:val="left"/>
              <w:rPr>
                <w:b/>
                <w:bCs/>
                <w:color w:val="000000"/>
                <w:kern w:val="0"/>
                <w:szCs w:val="21"/>
              </w:rPr>
            </w:pPr>
            <w:r>
              <w:rPr>
                <w:rFonts w:hAnsi="宋体"/>
                <w:b/>
                <w:bCs/>
                <w:color w:val="000000"/>
                <w:kern w:val="0"/>
                <w:szCs w:val="21"/>
              </w:rPr>
              <w:t>《中华人民共和国循环经济促进法》第五十二条</w:t>
            </w:r>
            <w:r>
              <w:rPr>
                <w:color w:val="000000"/>
                <w:kern w:val="0"/>
                <w:szCs w:val="21"/>
              </w:rPr>
              <w:t xml:space="preserve">  </w:t>
            </w:r>
            <w:r>
              <w:rPr>
                <w:rFonts w:hAnsi="宋体"/>
                <w:color w:val="000000"/>
                <w:kern w:val="0"/>
                <w:szCs w:val="21"/>
              </w:rPr>
              <w:t>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411" w:type="dxa"/>
            <w:noWrap/>
            <w:tcMar>
              <w:left w:w="51" w:type="dxa"/>
              <w:right w:w="51" w:type="dxa"/>
            </w:tcMar>
            <w:vAlign w:val="center"/>
          </w:tcPr>
          <w:p w14:paraId="0B84BF5D">
            <w:pPr>
              <w:widowControl/>
              <w:jc w:val="left"/>
              <w:rPr>
                <w:color w:val="000000"/>
                <w:kern w:val="0"/>
                <w:szCs w:val="21"/>
              </w:rPr>
            </w:pPr>
            <w:r>
              <w:rPr>
                <w:rFonts w:hAnsi="宋体"/>
                <w:color w:val="000000"/>
                <w:kern w:val="0"/>
                <w:szCs w:val="21"/>
              </w:rPr>
              <w:t>　</w:t>
            </w:r>
          </w:p>
        </w:tc>
      </w:tr>
      <w:tr w14:paraId="4E1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417" w:type="dxa"/>
            <w:noWrap w:val="0"/>
            <w:tcMar>
              <w:left w:w="51" w:type="dxa"/>
              <w:right w:w="51" w:type="dxa"/>
            </w:tcMar>
            <w:vAlign w:val="center"/>
          </w:tcPr>
          <w:p w14:paraId="6C962C34">
            <w:pPr>
              <w:widowControl/>
              <w:jc w:val="center"/>
              <w:rPr>
                <w:color w:val="000000"/>
                <w:kern w:val="0"/>
                <w:szCs w:val="21"/>
              </w:rPr>
            </w:pPr>
            <w:r>
              <w:rPr>
                <w:rFonts w:hint="eastAsia"/>
                <w:color w:val="000000"/>
                <w:szCs w:val="21"/>
                <w:lang w:val="en-US" w:eastAsia="zh-CN"/>
              </w:rPr>
              <w:t>5</w:t>
            </w:r>
            <w:r>
              <w:rPr>
                <w:color w:val="000000"/>
                <w:szCs w:val="21"/>
              </w:rPr>
              <w:t>3</w:t>
            </w:r>
          </w:p>
        </w:tc>
        <w:tc>
          <w:tcPr>
            <w:tcW w:w="1834" w:type="dxa"/>
            <w:noWrap w:val="0"/>
            <w:tcMar>
              <w:left w:w="51" w:type="dxa"/>
              <w:right w:w="51" w:type="dxa"/>
            </w:tcMar>
            <w:vAlign w:val="center"/>
          </w:tcPr>
          <w:p w14:paraId="69F86DDE">
            <w:pPr>
              <w:widowControl/>
              <w:jc w:val="left"/>
              <w:rPr>
                <w:color w:val="000000"/>
                <w:kern w:val="0"/>
                <w:szCs w:val="21"/>
              </w:rPr>
            </w:pPr>
            <w:r>
              <w:rPr>
                <w:rFonts w:hAnsi="宋体"/>
                <w:color w:val="000000"/>
                <w:kern w:val="0"/>
                <w:szCs w:val="21"/>
              </w:rPr>
              <w:t>对企业分拆项目、隐瞒有关情况或者提供虚假申报材料等不正当手段申请项目核准、备案的行政处罚</w:t>
            </w:r>
          </w:p>
        </w:tc>
        <w:tc>
          <w:tcPr>
            <w:tcW w:w="706" w:type="dxa"/>
            <w:noWrap/>
            <w:tcMar>
              <w:left w:w="51" w:type="dxa"/>
              <w:right w:w="51" w:type="dxa"/>
            </w:tcMar>
            <w:vAlign w:val="center"/>
          </w:tcPr>
          <w:p w14:paraId="653B0B0D">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9257EA7">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4BB5076">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79EC5381">
            <w:pPr>
              <w:widowControl/>
              <w:jc w:val="left"/>
              <w:rPr>
                <w:b/>
                <w:bCs/>
                <w:color w:val="000000"/>
                <w:kern w:val="0"/>
                <w:szCs w:val="21"/>
              </w:rPr>
            </w:pPr>
            <w:r>
              <w:rPr>
                <w:rFonts w:hAnsi="宋体"/>
                <w:b/>
                <w:bCs/>
                <w:color w:val="000000"/>
                <w:kern w:val="0"/>
                <w:szCs w:val="21"/>
              </w:rPr>
              <w:t>《企业投资项目核准和备案管理办法》第五十五条</w:t>
            </w:r>
            <w:r>
              <w:rPr>
                <w:color w:val="000000"/>
                <w:kern w:val="0"/>
                <w:szCs w:val="21"/>
              </w:rPr>
              <w:t xml:space="preserve">  </w:t>
            </w:r>
            <w:r>
              <w:rPr>
                <w:rFonts w:hAnsi="宋体"/>
                <w:color w:val="000000"/>
                <w:kern w:val="0"/>
                <w:szCs w:val="21"/>
              </w:rPr>
              <w:t>企业以分拆项目、隐瞒有关情况或者提供虚假申报材料等不正当手段申请核准、备案的，项目核准机关不予受理或者不予核准、备案，并给予警告。</w:t>
            </w:r>
          </w:p>
        </w:tc>
        <w:tc>
          <w:tcPr>
            <w:tcW w:w="411" w:type="dxa"/>
            <w:noWrap/>
            <w:tcMar>
              <w:left w:w="51" w:type="dxa"/>
              <w:right w:w="51" w:type="dxa"/>
            </w:tcMar>
            <w:vAlign w:val="center"/>
          </w:tcPr>
          <w:p w14:paraId="3B306091">
            <w:pPr>
              <w:widowControl/>
              <w:jc w:val="left"/>
              <w:rPr>
                <w:color w:val="000000"/>
                <w:kern w:val="0"/>
                <w:szCs w:val="21"/>
              </w:rPr>
            </w:pPr>
            <w:r>
              <w:rPr>
                <w:rFonts w:hAnsi="宋体"/>
                <w:color w:val="000000"/>
                <w:kern w:val="0"/>
                <w:szCs w:val="21"/>
              </w:rPr>
              <w:t>　</w:t>
            </w:r>
          </w:p>
        </w:tc>
      </w:tr>
      <w:tr w14:paraId="0C05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417" w:type="dxa"/>
            <w:noWrap w:val="0"/>
            <w:tcMar>
              <w:left w:w="51" w:type="dxa"/>
              <w:right w:w="51" w:type="dxa"/>
            </w:tcMar>
            <w:vAlign w:val="center"/>
          </w:tcPr>
          <w:p w14:paraId="7F3B97C4">
            <w:pPr>
              <w:widowControl/>
              <w:jc w:val="center"/>
              <w:rPr>
                <w:color w:val="000000"/>
                <w:kern w:val="0"/>
                <w:szCs w:val="21"/>
              </w:rPr>
            </w:pPr>
            <w:r>
              <w:rPr>
                <w:rFonts w:hint="eastAsia"/>
                <w:color w:val="000000"/>
                <w:szCs w:val="21"/>
                <w:lang w:val="en-US" w:eastAsia="zh-CN"/>
              </w:rPr>
              <w:t>5</w:t>
            </w:r>
            <w:r>
              <w:rPr>
                <w:color w:val="000000"/>
                <w:szCs w:val="21"/>
              </w:rPr>
              <w:t>4</w:t>
            </w:r>
          </w:p>
        </w:tc>
        <w:tc>
          <w:tcPr>
            <w:tcW w:w="1834" w:type="dxa"/>
            <w:noWrap w:val="0"/>
            <w:tcMar>
              <w:left w:w="51" w:type="dxa"/>
              <w:right w:w="51" w:type="dxa"/>
            </w:tcMar>
            <w:vAlign w:val="center"/>
          </w:tcPr>
          <w:p w14:paraId="69ECEAC0">
            <w:pPr>
              <w:widowControl/>
              <w:jc w:val="left"/>
              <w:rPr>
                <w:color w:val="000000"/>
                <w:kern w:val="0"/>
                <w:szCs w:val="21"/>
              </w:rPr>
            </w:pPr>
            <w:r>
              <w:rPr>
                <w:rFonts w:hAnsi="宋体"/>
                <w:color w:val="000000"/>
                <w:kern w:val="0"/>
                <w:szCs w:val="21"/>
              </w:rPr>
              <w:t>对企业未依法办理核准手续开工建设或者未按照核准的建设地点、建设规模、建设内容等进行建设的行政处罚</w:t>
            </w:r>
          </w:p>
        </w:tc>
        <w:tc>
          <w:tcPr>
            <w:tcW w:w="706" w:type="dxa"/>
            <w:noWrap/>
            <w:tcMar>
              <w:left w:w="51" w:type="dxa"/>
              <w:right w:w="51" w:type="dxa"/>
            </w:tcMar>
            <w:vAlign w:val="center"/>
          </w:tcPr>
          <w:p w14:paraId="332803F4">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EBC826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1B1092A">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2863D85B">
            <w:pPr>
              <w:widowControl/>
              <w:jc w:val="left"/>
              <w:rPr>
                <w:b/>
                <w:bCs/>
                <w:color w:val="000000"/>
                <w:kern w:val="0"/>
                <w:szCs w:val="21"/>
              </w:rPr>
            </w:pPr>
            <w:r>
              <w:rPr>
                <w:b/>
                <w:bCs/>
                <w:color w:val="000000"/>
                <w:kern w:val="0"/>
                <w:szCs w:val="21"/>
              </w:rPr>
              <w:t>1.</w:t>
            </w:r>
            <w:r>
              <w:rPr>
                <w:rFonts w:hAnsi="宋体"/>
                <w:b/>
                <w:bCs/>
                <w:color w:val="000000"/>
                <w:kern w:val="0"/>
                <w:szCs w:val="21"/>
              </w:rPr>
              <w:t>《企业投资项目核准和备案管理条例》第十八条第一款</w:t>
            </w:r>
            <w:r>
              <w:rPr>
                <w:color w:val="000000"/>
                <w:kern w:val="0"/>
                <w:szCs w:val="21"/>
              </w:rPr>
              <w:t xml:space="preserve">  </w:t>
            </w:r>
            <w:r>
              <w:rPr>
                <w:rFonts w:hAnsi="宋体"/>
                <w:color w:val="000000"/>
                <w:kern w:val="0"/>
                <w:szCs w:val="21"/>
              </w:rPr>
              <w:t>实行核准管理的项目，企业未依照本条例规定办理核准手续开工建设或者未按照核准的建设地点、建设规模、建设内容等进行建设的，由核准机关责令停止建设或者责令停产，对企业处项目总投资额</w:t>
            </w:r>
            <w:r>
              <w:rPr>
                <w:color w:val="000000"/>
                <w:kern w:val="0"/>
                <w:szCs w:val="21"/>
              </w:rPr>
              <w:t>1‰</w:t>
            </w:r>
            <w:r>
              <w:rPr>
                <w:rFonts w:hAnsi="宋体"/>
                <w:color w:val="000000"/>
                <w:kern w:val="0"/>
                <w:szCs w:val="21"/>
              </w:rPr>
              <w:t>以上</w:t>
            </w:r>
            <w:r>
              <w:rPr>
                <w:color w:val="000000"/>
                <w:kern w:val="0"/>
                <w:szCs w:val="21"/>
              </w:rPr>
              <w:t>5‰</w:t>
            </w:r>
            <w:r>
              <w:rPr>
                <w:rFonts w:hAnsi="宋体"/>
                <w:color w:val="000000"/>
                <w:kern w:val="0"/>
                <w:szCs w:val="21"/>
              </w:rPr>
              <w:t>以下的罚款；对直接负责的主管人员和其他直接责任人员处</w:t>
            </w:r>
            <w:r>
              <w:rPr>
                <w:color w:val="000000"/>
                <w:kern w:val="0"/>
                <w:szCs w:val="21"/>
              </w:rPr>
              <w:t>2</w:t>
            </w:r>
            <w:r>
              <w:rPr>
                <w:rFonts w:hAnsi="宋体"/>
                <w:color w:val="000000"/>
                <w:kern w:val="0"/>
                <w:szCs w:val="21"/>
              </w:rPr>
              <w:t>万元以上</w:t>
            </w:r>
            <w:r>
              <w:rPr>
                <w:color w:val="000000"/>
                <w:kern w:val="0"/>
                <w:szCs w:val="21"/>
              </w:rPr>
              <w:t>5</w:t>
            </w:r>
            <w:r>
              <w:rPr>
                <w:rFonts w:hAnsi="宋体"/>
                <w:color w:val="000000"/>
                <w:kern w:val="0"/>
                <w:szCs w:val="21"/>
              </w:rPr>
              <w:t>万元以下的罚款，属于国家工作人员的，依法给予处分。</w:t>
            </w:r>
            <w:r>
              <w:rPr>
                <w:color w:val="000000"/>
                <w:kern w:val="0"/>
                <w:szCs w:val="21"/>
              </w:rPr>
              <w:br w:type="textWrapping"/>
            </w:r>
            <w:r>
              <w:rPr>
                <w:b/>
                <w:bCs/>
                <w:color w:val="000000"/>
                <w:kern w:val="0"/>
                <w:szCs w:val="21"/>
              </w:rPr>
              <w:t>2.</w:t>
            </w:r>
            <w:r>
              <w:rPr>
                <w:rFonts w:hAnsi="宋体"/>
                <w:b/>
                <w:bCs/>
                <w:color w:val="000000"/>
                <w:kern w:val="0"/>
                <w:szCs w:val="21"/>
              </w:rPr>
              <w:t>《企业投资项目核准和备案管理办法》第五十六条第一款</w:t>
            </w:r>
            <w:r>
              <w:rPr>
                <w:color w:val="000000"/>
                <w:kern w:val="0"/>
                <w:szCs w:val="21"/>
              </w:rPr>
              <w:t xml:space="preserve">  </w:t>
            </w:r>
            <w:r>
              <w:rPr>
                <w:rFonts w:hAnsi="宋体"/>
                <w:color w:val="000000"/>
                <w:kern w:val="0"/>
                <w:szCs w:val="21"/>
              </w:rPr>
              <w:t>实行核准管理的项目，企业未依法办理核准手续开工建设或者未按照核准的建设地点、建设规模、建设内容等进行建设的，由核准机关责令停止建设或者责令停产，对企业处项目总投资额</w:t>
            </w:r>
            <w:r>
              <w:rPr>
                <w:color w:val="000000"/>
                <w:kern w:val="0"/>
                <w:szCs w:val="21"/>
              </w:rPr>
              <w:t>1‰</w:t>
            </w:r>
            <w:r>
              <w:rPr>
                <w:rFonts w:hAnsi="宋体"/>
                <w:color w:val="000000"/>
                <w:kern w:val="0"/>
                <w:szCs w:val="21"/>
              </w:rPr>
              <w:t>以上</w:t>
            </w:r>
            <w:r>
              <w:rPr>
                <w:color w:val="000000"/>
                <w:kern w:val="0"/>
                <w:szCs w:val="21"/>
              </w:rPr>
              <w:t>5‰</w:t>
            </w:r>
            <w:r>
              <w:rPr>
                <w:rFonts w:hAnsi="宋体"/>
                <w:color w:val="000000"/>
                <w:kern w:val="0"/>
                <w:szCs w:val="21"/>
              </w:rPr>
              <w:t>以下的罚款；对直接负责的主管人员和其他直接责任人员处</w:t>
            </w:r>
            <w:r>
              <w:rPr>
                <w:color w:val="000000"/>
                <w:kern w:val="0"/>
                <w:szCs w:val="21"/>
              </w:rPr>
              <w:t>2</w:t>
            </w:r>
            <w:r>
              <w:rPr>
                <w:rFonts w:hAnsi="宋体"/>
                <w:color w:val="000000"/>
                <w:kern w:val="0"/>
                <w:szCs w:val="21"/>
              </w:rPr>
              <w:t>万元以上</w:t>
            </w:r>
            <w:r>
              <w:rPr>
                <w:color w:val="000000"/>
                <w:kern w:val="0"/>
                <w:szCs w:val="21"/>
              </w:rPr>
              <w:t>5</w:t>
            </w:r>
            <w:r>
              <w:rPr>
                <w:rFonts w:hAnsi="宋体"/>
                <w:color w:val="000000"/>
                <w:kern w:val="0"/>
                <w:szCs w:val="21"/>
              </w:rPr>
              <w:t>万元以下的罚款，属于国家工作人员的，依法给予处分。项目应视情况予以拆除或者补办相关手续。</w:t>
            </w:r>
          </w:p>
        </w:tc>
        <w:tc>
          <w:tcPr>
            <w:tcW w:w="411" w:type="dxa"/>
            <w:noWrap/>
            <w:tcMar>
              <w:left w:w="51" w:type="dxa"/>
              <w:right w:w="51" w:type="dxa"/>
            </w:tcMar>
            <w:vAlign w:val="center"/>
          </w:tcPr>
          <w:p w14:paraId="291658C1">
            <w:pPr>
              <w:widowControl/>
              <w:jc w:val="left"/>
              <w:rPr>
                <w:color w:val="000000"/>
                <w:kern w:val="0"/>
                <w:szCs w:val="21"/>
              </w:rPr>
            </w:pPr>
            <w:r>
              <w:rPr>
                <w:rFonts w:hAnsi="宋体"/>
                <w:color w:val="000000"/>
                <w:kern w:val="0"/>
                <w:szCs w:val="21"/>
              </w:rPr>
              <w:t>　</w:t>
            </w:r>
          </w:p>
        </w:tc>
      </w:tr>
      <w:tr w14:paraId="3E1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417" w:type="dxa"/>
            <w:noWrap w:val="0"/>
            <w:tcMar>
              <w:left w:w="51" w:type="dxa"/>
              <w:right w:w="51" w:type="dxa"/>
            </w:tcMar>
            <w:vAlign w:val="center"/>
          </w:tcPr>
          <w:p w14:paraId="0A251735">
            <w:pPr>
              <w:widowControl/>
              <w:jc w:val="center"/>
              <w:rPr>
                <w:color w:val="000000"/>
                <w:kern w:val="0"/>
                <w:szCs w:val="21"/>
              </w:rPr>
            </w:pPr>
            <w:r>
              <w:rPr>
                <w:rFonts w:hint="eastAsia"/>
                <w:color w:val="000000"/>
                <w:szCs w:val="21"/>
                <w:lang w:val="en-US" w:eastAsia="zh-CN"/>
              </w:rPr>
              <w:t>5</w:t>
            </w:r>
            <w:r>
              <w:rPr>
                <w:color w:val="000000"/>
                <w:szCs w:val="21"/>
              </w:rPr>
              <w:t>5</w:t>
            </w:r>
          </w:p>
        </w:tc>
        <w:tc>
          <w:tcPr>
            <w:tcW w:w="1834" w:type="dxa"/>
            <w:noWrap w:val="0"/>
            <w:tcMar>
              <w:left w:w="51" w:type="dxa"/>
              <w:right w:w="51" w:type="dxa"/>
            </w:tcMar>
            <w:vAlign w:val="center"/>
          </w:tcPr>
          <w:p w14:paraId="19AA9725">
            <w:pPr>
              <w:widowControl/>
              <w:jc w:val="left"/>
              <w:rPr>
                <w:color w:val="000000"/>
                <w:kern w:val="0"/>
                <w:szCs w:val="21"/>
              </w:rPr>
            </w:pPr>
            <w:r>
              <w:rPr>
                <w:rFonts w:hAnsi="宋体"/>
                <w:color w:val="000000"/>
                <w:kern w:val="0"/>
                <w:szCs w:val="21"/>
              </w:rPr>
              <w:t>对企业以欺骗、贿赂等不正当手段取得项目核准文件的行政处罚</w:t>
            </w:r>
          </w:p>
        </w:tc>
        <w:tc>
          <w:tcPr>
            <w:tcW w:w="706" w:type="dxa"/>
            <w:noWrap/>
            <w:tcMar>
              <w:left w:w="51" w:type="dxa"/>
              <w:right w:w="51" w:type="dxa"/>
            </w:tcMar>
            <w:vAlign w:val="center"/>
          </w:tcPr>
          <w:p w14:paraId="751B71F0">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7496E89">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369BDAB">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4BA19B37">
            <w:pPr>
              <w:widowControl/>
              <w:jc w:val="left"/>
              <w:rPr>
                <w:b/>
                <w:bCs/>
                <w:color w:val="000000"/>
                <w:kern w:val="0"/>
                <w:szCs w:val="21"/>
              </w:rPr>
            </w:pPr>
            <w:r>
              <w:rPr>
                <w:b/>
                <w:bCs/>
                <w:color w:val="000000"/>
                <w:kern w:val="0"/>
                <w:szCs w:val="21"/>
              </w:rPr>
              <w:t>1.</w:t>
            </w:r>
            <w:r>
              <w:rPr>
                <w:rFonts w:hAnsi="宋体"/>
                <w:b/>
                <w:bCs/>
                <w:color w:val="000000"/>
                <w:kern w:val="0"/>
                <w:szCs w:val="21"/>
              </w:rPr>
              <w:t>《企业投资项目核准和备案管理条例》第十八条第二款</w:t>
            </w:r>
            <w:r>
              <w:rPr>
                <w:color w:val="000000"/>
                <w:kern w:val="0"/>
                <w:szCs w:val="21"/>
              </w:rPr>
              <w:t xml:space="preserve">  </w:t>
            </w:r>
            <w:r>
              <w:rPr>
                <w:rFonts w:hAnsi="宋体"/>
                <w:color w:val="000000"/>
                <w:kern w:val="0"/>
                <w:szCs w:val="21"/>
              </w:rPr>
              <w:t>以欺骗、贿赂等不正当手段取得项目核准文件，尚未开工建设的，由核准机关撤销核准文件，处项目总投资额</w:t>
            </w:r>
            <w:r>
              <w:rPr>
                <w:color w:val="000000"/>
                <w:kern w:val="0"/>
                <w:szCs w:val="21"/>
              </w:rPr>
              <w:t>1‰</w:t>
            </w:r>
            <w:r>
              <w:rPr>
                <w:rFonts w:hAnsi="宋体"/>
                <w:color w:val="000000"/>
                <w:kern w:val="0"/>
                <w:szCs w:val="21"/>
              </w:rPr>
              <w:t>以上</w:t>
            </w:r>
            <w:r>
              <w:rPr>
                <w:color w:val="000000"/>
                <w:kern w:val="0"/>
                <w:szCs w:val="21"/>
              </w:rPr>
              <w:t>5‰</w:t>
            </w:r>
            <w:r>
              <w:rPr>
                <w:rFonts w:hAnsi="宋体"/>
                <w:color w:val="000000"/>
                <w:kern w:val="0"/>
                <w:szCs w:val="21"/>
              </w:rPr>
              <w:t>以下的罚款；已经开工建设的，依照前款规定予以处罚；构成犯罪的，依法追究刑事责任。</w:t>
            </w:r>
            <w:r>
              <w:rPr>
                <w:color w:val="000000"/>
                <w:kern w:val="0"/>
                <w:szCs w:val="21"/>
              </w:rPr>
              <w:br w:type="textWrapping"/>
            </w:r>
            <w:r>
              <w:rPr>
                <w:b/>
                <w:bCs/>
                <w:color w:val="000000"/>
                <w:kern w:val="0"/>
                <w:szCs w:val="21"/>
              </w:rPr>
              <w:t>2.</w:t>
            </w:r>
            <w:r>
              <w:rPr>
                <w:rFonts w:hAnsi="宋体"/>
                <w:b/>
                <w:bCs/>
                <w:color w:val="000000"/>
                <w:kern w:val="0"/>
                <w:szCs w:val="21"/>
              </w:rPr>
              <w:t>《企业投资项目核准和备案管理办法》第五十六条第二款</w:t>
            </w:r>
            <w:r>
              <w:rPr>
                <w:b/>
                <w:bCs/>
                <w:color w:val="000000"/>
                <w:kern w:val="0"/>
                <w:szCs w:val="21"/>
              </w:rPr>
              <w:t xml:space="preserve"> </w:t>
            </w:r>
            <w:r>
              <w:rPr>
                <w:color w:val="000000"/>
                <w:kern w:val="0"/>
                <w:szCs w:val="21"/>
              </w:rPr>
              <w:t xml:space="preserve"> </w:t>
            </w:r>
            <w:r>
              <w:rPr>
                <w:rFonts w:hAnsi="宋体"/>
                <w:color w:val="000000"/>
                <w:kern w:val="0"/>
                <w:szCs w:val="21"/>
              </w:rPr>
              <w:t>以欺骗、贿赂等不正当手段取得项目核准文件，尚未开工建设的，由核准机关撤销核准文件，处项目总投资额</w:t>
            </w:r>
            <w:r>
              <w:rPr>
                <w:color w:val="000000"/>
                <w:kern w:val="0"/>
                <w:szCs w:val="21"/>
              </w:rPr>
              <w:t xml:space="preserve"> 1‰</w:t>
            </w:r>
            <w:r>
              <w:rPr>
                <w:rFonts w:hAnsi="宋体"/>
                <w:color w:val="000000"/>
                <w:kern w:val="0"/>
                <w:szCs w:val="21"/>
              </w:rPr>
              <w:t>以上</w:t>
            </w:r>
            <w:r>
              <w:rPr>
                <w:color w:val="000000"/>
                <w:kern w:val="0"/>
                <w:szCs w:val="21"/>
              </w:rPr>
              <w:t>5‰</w:t>
            </w:r>
            <w:r>
              <w:rPr>
                <w:rFonts w:hAnsi="宋体"/>
                <w:color w:val="000000"/>
                <w:kern w:val="0"/>
                <w:szCs w:val="21"/>
              </w:rPr>
              <w:t>以下的罚款；已经开工建设的，依照前款规定予以处罚；构成犯罪的，依法追究刑事责任。</w:t>
            </w:r>
          </w:p>
        </w:tc>
        <w:tc>
          <w:tcPr>
            <w:tcW w:w="411" w:type="dxa"/>
            <w:noWrap/>
            <w:tcMar>
              <w:left w:w="51" w:type="dxa"/>
              <w:right w:w="51" w:type="dxa"/>
            </w:tcMar>
            <w:vAlign w:val="center"/>
          </w:tcPr>
          <w:p w14:paraId="639281D0">
            <w:pPr>
              <w:widowControl/>
              <w:jc w:val="left"/>
              <w:rPr>
                <w:color w:val="000000"/>
                <w:kern w:val="0"/>
                <w:szCs w:val="21"/>
              </w:rPr>
            </w:pPr>
            <w:r>
              <w:rPr>
                <w:rFonts w:hAnsi="宋体"/>
                <w:color w:val="000000"/>
                <w:kern w:val="0"/>
                <w:szCs w:val="21"/>
              </w:rPr>
              <w:t>　</w:t>
            </w:r>
          </w:p>
        </w:tc>
      </w:tr>
      <w:tr w14:paraId="548C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jc w:val="center"/>
        </w:trPr>
        <w:tc>
          <w:tcPr>
            <w:tcW w:w="417" w:type="dxa"/>
            <w:noWrap w:val="0"/>
            <w:tcMar>
              <w:left w:w="51" w:type="dxa"/>
              <w:right w:w="51" w:type="dxa"/>
            </w:tcMar>
            <w:vAlign w:val="center"/>
          </w:tcPr>
          <w:p w14:paraId="7F026257">
            <w:pPr>
              <w:widowControl/>
              <w:jc w:val="center"/>
              <w:rPr>
                <w:color w:val="000000"/>
                <w:kern w:val="0"/>
                <w:szCs w:val="21"/>
              </w:rPr>
            </w:pPr>
            <w:r>
              <w:rPr>
                <w:rFonts w:hint="eastAsia"/>
                <w:color w:val="000000"/>
                <w:szCs w:val="21"/>
                <w:lang w:val="en-US" w:eastAsia="zh-CN"/>
              </w:rPr>
              <w:t>5</w:t>
            </w:r>
            <w:r>
              <w:rPr>
                <w:color w:val="000000"/>
                <w:szCs w:val="21"/>
              </w:rPr>
              <w:t>6</w:t>
            </w:r>
          </w:p>
        </w:tc>
        <w:tc>
          <w:tcPr>
            <w:tcW w:w="1834" w:type="dxa"/>
            <w:noWrap w:val="0"/>
            <w:tcMar>
              <w:left w:w="51" w:type="dxa"/>
              <w:right w:w="51" w:type="dxa"/>
            </w:tcMar>
            <w:vAlign w:val="center"/>
          </w:tcPr>
          <w:p w14:paraId="73EA874B">
            <w:pPr>
              <w:widowControl/>
              <w:jc w:val="left"/>
              <w:rPr>
                <w:color w:val="000000"/>
                <w:kern w:val="0"/>
                <w:szCs w:val="21"/>
              </w:rPr>
            </w:pPr>
            <w:r>
              <w:rPr>
                <w:rFonts w:hAnsi="宋体"/>
                <w:color w:val="000000"/>
                <w:kern w:val="0"/>
                <w:szCs w:val="21"/>
              </w:rPr>
              <w:t>对企业未依法将备案制项目信息或者已备案项目信息变更情况告知备案机关，或者向备案机关提供虚假信息的行政处罚</w:t>
            </w:r>
          </w:p>
        </w:tc>
        <w:tc>
          <w:tcPr>
            <w:tcW w:w="706" w:type="dxa"/>
            <w:noWrap/>
            <w:tcMar>
              <w:left w:w="51" w:type="dxa"/>
              <w:right w:w="51" w:type="dxa"/>
            </w:tcMar>
            <w:vAlign w:val="center"/>
          </w:tcPr>
          <w:p w14:paraId="00B61E0C">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290D89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DEBA45E">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16651B3B">
            <w:pPr>
              <w:widowControl/>
              <w:jc w:val="left"/>
              <w:rPr>
                <w:b/>
                <w:bCs/>
                <w:color w:val="000000"/>
                <w:kern w:val="0"/>
                <w:szCs w:val="21"/>
              </w:rPr>
            </w:pPr>
            <w:r>
              <w:rPr>
                <w:b/>
                <w:bCs/>
                <w:color w:val="000000"/>
                <w:kern w:val="0"/>
                <w:szCs w:val="21"/>
              </w:rPr>
              <w:t>1.</w:t>
            </w:r>
            <w:r>
              <w:rPr>
                <w:rFonts w:hAnsi="宋体"/>
                <w:b/>
                <w:bCs/>
                <w:color w:val="000000"/>
                <w:kern w:val="0"/>
                <w:szCs w:val="21"/>
              </w:rPr>
              <w:t>《企业投资项目核准和备案管理条例》第十九条</w:t>
            </w:r>
            <w:r>
              <w:rPr>
                <w:b/>
                <w:bCs/>
                <w:color w:val="000000"/>
                <w:kern w:val="0"/>
                <w:szCs w:val="21"/>
              </w:rPr>
              <w:t xml:space="preserve"> </w:t>
            </w:r>
            <w:r>
              <w:rPr>
                <w:color w:val="000000"/>
                <w:kern w:val="0"/>
                <w:szCs w:val="21"/>
              </w:rPr>
              <w:t xml:space="preserve"> </w:t>
            </w:r>
            <w:r>
              <w:rPr>
                <w:rFonts w:hAnsi="宋体"/>
                <w:color w:val="000000"/>
                <w:kern w:val="0"/>
                <w:szCs w:val="21"/>
              </w:rPr>
              <w:t>实行备案管理的项目，企业未依照本条例规定将项目信息或者已备案项目的信息变更情况告知备案机关，或者向备案机关提供虚假信息的，由备案机关责令限期改正；逾期不改正的，处</w:t>
            </w:r>
            <w:r>
              <w:rPr>
                <w:color w:val="000000"/>
                <w:kern w:val="0"/>
                <w:szCs w:val="21"/>
              </w:rPr>
              <w:t>2</w:t>
            </w:r>
            <w:r>
              <w:rPr>
                <w:rFonts w:hAnsi="宋体"/>
                <w:color w:val="000000"/>
                <w:kern w:val="0"/>
                <w:szCs w:val="21"/>
              </w:rPr>
              <w:t>万元以上</w:t>
            </w:r>
            <w:r>
              <w:rPr>
                <w:color w:val="000000"/>
                <w:kern w:val="0"/>
                <w:szCs w:val="21"/>
              </w:rPr>
              <w:t>5</w:t>
            </w:r>
            <w:r>
              <w:rPr>
                <w:rFonts w:hAnsi="宋体"/>
                <w:color w:val="000000"/>
                <w:kern w:val="0"/>
                <w:szCs w:val="21"/>
              </w:rPr>
              <w:t>万元以下的罚款。</w:t>
            </w:r>
            <w:r>
              <w:rPr>
                <w:color w:val="000000"/>
                <w:kern w:val="0"/>
                <w:szCs w:val="21"/>
              </w:rPr>
              <w:br w:type="textWrapping"/>
            </w:r>
            <w:r>
              <w:rPr>
                <w:b/>
                <w:bCs/>
                <w:color w:val="000000"/>
                <w:kern w:val="0"/>
                <w:szCs w:val="21"/>
              </w:rPr>
              <w:t>2.</w:t>
            </w:r>
            <w:r>
              <w:rPr>
                <w:rFonts w:hAnsi="宋体"/>
                <w:b/>
                <w:bCs/>
                <w:color w:val="000000"/>
                <w:kern w:val="0"/>
                <w:szCs w:val="21"/>
              </w:rPr>
              <w:t>《企业投资项目核准和备案管理办法》第五十七条</w:t>
            </w:r>
            <w:r>
              <w:rPr>
                <w:color w:val="000000"/>
                <w:kern w:val="0"/>
                <w:szCs w:val="21"/>
              </w:rPr>
              <w:t xml:space="preserve">  </w:t>
            </w:r>
            <w:r>
              <w:rPr>
                <w:rFonts w:hAnsi="宋体"/>
                <w:color w:val="000000"/>
                <w:kern w:val="0"/>
                <w:szCs w:val="21"/>
              </w:rPr>
              <w:t>实行备案管理的项目，企业未依法将项目信息或者已备案项目信息变更情况告知备案机关，或者向备案机关提供虚假信息的，由备案机关责令限期改正；逾期不改正的，处</w:t>
            </w:r>
            <w:r>
              <w:rPr>
                <w:color w:val="000000"/>
                <w:kern w:val="0"/>
                <w:szCs w:val="21"/>
              </w:rPr>
              <w:t>2</w:t>
            </w:r>
            <w:r>
              <w:rPr>
                <w:rFonts w:hAnsi="宋体"/>
                <w:color w:val="000000"/>
                <w:kern w:val="0"/>
                <w:szCs w:val="21"/>
              </w:rPr>
              <w:t>万元以上</w:t>
            </w:r>
            <w:r>
              <w:rPr>
                <w:color w:val="000000"/>
                <w:kern w:val="0"/>
                <w:szCs w:val="21"/>
              </w:rPr>
              <w:t>5</w:t>
            </w:r>
            <w:r>
              <w:rPr>
                <w:rFonts w:hAnsi="宋体"/>
                <w:color w:val="000000"/>
                <w:kern w:val="0"/>
                <w:szCs w:val="21"/>
              </w:rPr>
              <w:t>万元以下的罚款。</w:t>
            </w:r>
          </w:p>
        </w:tc>
        <w:tc>
          <w:tcPr>
            <w:tcW w:w="411" w:type="dxa"/>
            <w:noWrap/>
            <w:tcMar>
              <w:left w:w="51" w:type="dxa"/>
              <w:right w:w="51" w:type="dxa"/>
            </w:tcMar>
            <w:vAlign w:val="center"/>
          </w:tcPr>
          <w:p w14:paraId="5130AA38">
            <w:pPr>
              <w:widowControl/>
              <w:jc w:val="left"/>
              <w:rPr>
                <w:color w:val="000000"/>
                <w:kern w:val="0"/>
                <w:szCs w:val="21"/>
              </w:rPr>
            </w:pPr>
            <w:r>
              <w:rPr>
                <w:rFonts w:hAnsi="宋体"/>
                <w:color w:val="000000"/>
                <w:kern w:val="0"/>
                <w:szCs w:val="21"/>
              </w:rPr>
              <w:t>　</w:t>
            </w:r>
          </w:p>
        </w:tc>
      </w:tr>
      <w:tr w14:paraId="13F5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417" w:type="dxa"/>
            <w:noWrap w:val="0"/>
            <w:tcMar>
              <w:left w:w="51" w:type="dxa"/>
              <w:right w:w="51" w:type="dxa"/>
            </w:tcMar>
            <w:vAlign w:val="center"/>
          </w:tcPr>
          <w:p w14:paraId="4C4EF174">
            <w:pPr>
              <w:widowControl/>
              <w:jc w:val="center"/>
              <w:rPr>
                <w:color w:val="000000"/>
                <w:kern w:val="0"/>
                <w:szCs w:val="21"/>
              </w:rPr>
            </w:pPr>
            <w:r>
              <w:rPr>
                <w:rFonts w:hint="eastAsia"/>
                <w:color w:val="000000"/>
                <w:szCs w:val="21"/>
                <w:lang w:val="en-US" w:eastAsia="zh-CN"/>
              </w:rPr>
              <w:t>5</w:t>
            </w:r>
            <w:r>
              <w:rPr>
                <w:color w:val="000000"/>
                <w:szCs w:val="21"/>
              </w:rPr>
              <w:t>7</w:t>
            </w:r>
          </w:p>
        </w:tc>
        <w:tc>
          <w:tcPr>
            <w:tcW w:w="1834" w:type="dxa"/>
            <w:noWrap w:val="0"/>
            <w:tcMar>
              <w:left w:w="51" w:type="dxa"/>
              <w:right w:w="51" w:type="dxa"/>
            </w:tcMar>
            <w:vAlign w:val="center"/>
          </w:tcPr>
          <w:p w14:paraId="2A86C2AB">
            <w:pPr>
              <w:widowControl/>
              <w:jc w:val="left"/>
              <w:rPr>
                <w:color w:val="000000"/>
                <w:kern w:val="0"/>
                <w:szCs w:val="21"/>
              </w:rPr>
            </w:pPr>
            <w:r>
              <w:rPr>
                <w:rFonts w:hAnsi="宋体"/>
                <w:color w:val="000000"/>
                <w:kern w:val="0"/>
                <w:szCs w:val="21"/>
              </w:rPr>
              <w:t>对企业投资建设产业政策禁止投资建设项目的行政处罚</w:t>
            </w:r>
          </w:p>
        </w:tc>
        <w:tc>
          <w:tcPr>
            <w:tcW w:w="706" w:type="dxa"/>
            <w:noWrap/>
            <w:tcMar>
              <w:left w:w="51" w:type="dxa"/>
              <w:right w:w="51" w:type="dxa"/>
            </w:tcMar>
            <w:vAlign w:val="center"/>
          </w:tcPr>
          <w:p w14:paraId="0D5D86E8">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4CCA456">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83D8E30">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BA88EE6">
            <w:pPr>
              <w:widowControl/>
              <w:jc w:val="left"/>
              <w:rPr>
                <w:b/>
                <w:bCs/>
                <w:color w:val="000000"/>
                <w:kern w:val="0"/>
                <w:szCs w:val="21"/>
              </w:rPr>
            </w:pPr>
            <w:r>
              <w:rPr>
                <w:b/>
                <w:bCs/>
                <w:color w:val="000000"/>
                <w:kern w:val="0"/>
                <w:szCs w:val="21"/>
              </w:rPr>
              <w:t>1.</w:t>
            </w:r>
            <w:r>
              <w:rPr>
                <w:rFonts w:hAnsi="宋体"/>
                <w:b/>
                <w:bCs/>
                <w:color w:val="000000"/>
                <w:kern w:val="0"/>
                <w:szCs w:val="21"/>
              </w:rPr>
              <w:t>《企业投资项目核准和备案管理条例》第二十条</w:t>
            </w:r>
            <w:r>
              <w:rPr>
                <w:color w:val="000000"/>
                <w:kern w:val="0"/>
                <w:szCs w:val="21"/>
              </w:rPr>
              <w:t xml:space="preserve">  </w:t>
            </w:r>
            <w:r>
              <w:rPr>
                <w:rFonts w:hAnsi="宋体"/>
                <w:color w:val="000000"/>
                <w:kern w:val="0"/>
                <w:szCs w:val="21"/>
              </w:rPr>
              <w:t>企业投资建设产业政策禁止投资建设项目的，由县级以上人民政府投资主管部门责令停止建设或者责令停产并恢复原状，对企业处项目总投资额</w:t>
            </w:r>
            <w:r>
              <w:rPr>
                <w:color w:val="000000"/>
                <w:kern w:val="0"/>
                <w:szCs w:val="21"/>
              </w:rPr>
              <w:t>5‰</w:t>
            </w:r>
            <w:r>
              <w:rPr>
                <w:rFonts w:hAnsi="宋体"/>
                <w:color w:val="000000"/>
                <w:kern w:val="0"/>
                <w:szCs w:val="21"/>
              </w:rPr>
              <w:t>以上</w:t>
            </w:r>
            <w:r>
              <w:rPr>
                <w:color w:val="000000"/>
                <w:kern w:val="0"/>
                <w:szCs w:val="21"/>
              </w:rPr>
              <w:t>10‰</w:t>
            </w:r>
            <w:r>
              <w:rPr>
                <w:rFonts w:hAnsi="宋体"/>
                <w:color w:val="000000"/>
                <w:kern w:val="0"/>
                <w:szCs w:val="21"/>
              </w:rPr>
              <w:t>以下的罚款；对直接负责的主管人员和其他直接责任人员处</w:t>
            </w:r>
            <w:r>
              <w:rPr>
                <w:color w:val="000000"/>
                <w:kern w:val="0"/>
                <w:szCs w:val="21"/>
              </w:rPr>
              <w:t>5</w:t>
            </w:r>
            <w:r>
              <w:rPr>
                <w:rFonts w:hAnsi="宋体"/>
                <w:color w:val="000000"/>
                <w:kern w:val="0"/>
                <w:szCs w:val="21"/>
              </w:rPr>
              <w:t>万元以上</w:t>
            </w:r>
            <w:r>
              <w:rPr>
                <w:color w:val="000000"/>
                <w:kern w:val="0"/>
                <w:szCs w:val="21"/>
              </w:rPr>
              <w:t>10</w:t>
            </w:r>
            <w:r>
              <w:rPr>
                <w:rFonts w:hAnsi="宋体"/>
                <w:color w:val="000000"/>
                <w:kern w:val="0"/>
                <w:szCs w:val="21"/>
              </w:rPr>
              <w:t>万元以下的罚款，属于国家工作人员的，依法给予处分。法律、行政法规另有规定的，依照其规定。</w:t>
            </w:r>
            <w:r>
              <w:rPr>
                <w:color w:val="000000"/>
                <w:kern w:val="0"/>
                <w:szCs w:val="21"/>
              </w:rPr>
              <w:br w:type="textWrapping"/>
            </w:r>
            <w:r>
              <w:rPr>
                <w:b/>
                <w:bCs/>
                <w:color w:val="000000"/>
                <w:kern w:val="0"/>
                <w:szCs w:val="21"/>
              </w:rPr>
              <w:t>2.</w:t>
            </w:r>
            <w:r>
              <w:rPr>
                <w:rFonts w:hAnsi="宋体"/>
                <w:b/>
                <w:bCs/>
                <w:color w:val="000000"/>
                <w:kern w:val="0"/>
                <w:szCs w:val="21"/>
              </w:rPr>
              <w:t>《企业投资项目核准和备案管理办法》第五十八条</w:t>
            </w:r>
            <w:r>
              <w:rPr>
                <w:color w:val="000000"/>
                <w:kern w:val="0"/>
                <w:szCs w:val="21"/>
              </w:rPr>
              <w:t xml:space="preserve">  </w:t>
            </w:r>
            <w:r>
              <w:rPr>
                <w:rFonts w:hAnsi="宋体"/>
                <w:color w:val="000000"/>
                <w:kern w:val="0"/>
                <w:szCs w:val="21"/>
              </w:rPr>
              <w:t>企业投资建设产业政策禁止投资建设项目的，由县级以上人民政府投资主管部门责令停止建设或者责令停产并恢复原状，对企业处项目总投资额</w:t>
            </w:r>
            <w:r>
              <w:rPr>
                <w:color w:val="000000"/>
                <w:kern w:val="0"/>
                <w:szCs w:val="21"/>
              </w:rPr>
              <w:t>5‰</w:t>
            </w:r>
            <w:r>
              <w:rPr>
                <w:rFonts w:hAnsi="宋体"/>
                <w:color w:val="000000"/>
                <w:kern w:val="0"/>
                <w:szCs w:val="21"/>
              </w:rPr>
              <w:t>以上</w:t>
            </w:r>
            <w:r>
              <w:rPr>
                <w:color w:val="000000"/>
                <w:kern w:val="0"/>
                <w:szCs w:val="21"/>
              </w:rPr>
              <w:t>10‰</w:t>
            </w:r>
            <w:r>
              <w:rPr>
                <w:rFonts w:hAnsi="宋体"/>
                <w:color w:val="000000"/>
                <w:kern w:val="0"/>
                <w:szCs w:val="21"/>
              </w:rPr>
              <w:t>以下的罚款；对直接负责的主管人员和其他直接责任人员处</w:t>
            </w:r>
            <w:r>
              <w:rPr>
                <w:color w:val="000000"/>
                <w:kern w:val="0"/>
                <w:szCs w:val="21"/>
              </w:rPr>
              <w:t xml:space="preserve"> 5 </w:t>
            </w:r>
            <w:r>
              <w:rPr>
                <w:rFonts w:hAnsi="宋体"/>
                <w:color w:val="000000"/>
                <w:kern w:val="0"/>
                <w:szCs w:val="21"/>
              </w:rPr>
              <w:t>万元以上</w:t>
            </w:r>
            <w:r>
              <w:rPr>
                <w:color w:val="000000"/>
                <w:kern w:val="0"/>
                <w:szCs w:val="21"/>
              </w:rPr>
              <w:t xml:space="preserve"> 10 </w:t>
            </w:r>
            <w:r>
              <w:rPr>
                <w:rFonts w:hAnsi="宋体"/>
                <w:color w:val="000000"/>
                <w:kern w:val="0"/>
                <w:szCs w:val="21"/>
              </w:rPr>
              <w:t>万元以下的罚款，属于国家工作人员的，依法给予处分。</w:t>
            </w:r>
            <w:r>
              <w:rPr>
                <w:color w:val="000000"/>
                <w:kern w:val="0"/>
                <w:szCs w:val="21"/>
              </w:rPr>
              <w:br w:type="textWrapping"/>
            </w:r>
            <w:r>
              <w:rPr>
                <w:rFonts w:hAnsi="宋体"/>
                <w:color w:val="000000"/>
                <w:kern w:val="0"/>
                <w:szCs w:val="21"/>
              </w:rPr>
              <w:t>法律、行政法规另有规定的，依照其规定。</w:t>
            </w:r>
          </w:p>
        </w:tc>
        <w:tc>
          <w:tcPr>
            <w:tcW w:w="411" w:type="dxa"/>
            <w:noWrap/>
            <w:tcMar>
              <w:left w:w="51" w:type="dxa"/>
              <w:right w:w="51" w:type="dxa"/>
            </w:tcMar>
            <w:vAlign w:val="center"/>
          </w:tcPr>
          <w:p w14:paraId="17EBC3FC">
            <w:pPr>
              <w:widowControl/>
              <w:jc w:val="left"/>
              <w:rPr>
                <w:color w:val="000000"/>
                <w:kern w:val="0"/>
                <w:szCs w:val="21"/>
              </w:rPr>
            </w:pPr>
            <w:r>
              <w:rPr>
                <w:rFonts w:hAnsi="宋体"/>
                <w:color w:val="000000"/>
                <w:kern w:val="0"/>
                <w:szCs w:val="21"/>
              </w:rPr>
              <w:t>　</w:t>
            </w:r>
          </w:p>
        </w:tc>
      </w:tr>
      <w:tr w14:paraId="2892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jc w:val="center"/>
        </w:trPr>
        <w:tc>
          <w:tcPr>
            <w:tcW w:w="417" w:type="dxa"/>
            <w:noWrap w:val="0"/>
            <w:tcMar>
              <w:left w:w="51" w:type="dxa"/>
              <w:right w:w="51" w:type="dxa"/>
            </w:tcMar>
            <w:vAlign w:val="center"/>
          </w:tcPr>
          <w:p w14:paraId="5A0C077A">
            <w:pPr>
              <w:widowControl/>
              <w:jc w:val="center"/>
              <w:rPr>
                <w:color w:val="000000"/>
                <w:kern w:val="0"/>
                <w:szCs w:val="21"/>
              </w:rPr>
            </w:pPr>
            <w:r>
              <w:rPr>
                <w:rFonts w:hint="eastAsia"/>
                <w:color w:val="000000"/>
                <w:szCs w:val="21"/>
                <w:lang w:val="en-US" w:eastAsia="zh-CN"/>
              </w:rPr>
              <w:t>5</w:t>
            </w:r>
            <w:r>
              <w:rPr>
                <w:color w:val="000000"/>
                <w:szCs w:val="21"/>
              </w:rPr>
              <w:t>8</w:t>
            </w:r>
          </w:p>
        </w:tc>
        <w:tc>
          <w:tcPr>
            <w:tcW w:w="1834" w:type="dxa"/>
            <w:noWrap w:val="0"/>
            <w:tcMar>
              <w:left w:w="51" w:type="dxa"/>
              <w:right w:w="51" w:type="dxa"/>
            </w:tcMar>
            <w:vAlign w:val="center"/>
          </w:tcPr>
          <w:p w14:paraId="4A76F78C">
            <w:pPr>
              <w:widowControl/>
              <w:jc w:val="left"/>
              <w:rPr>
                <w:color w:val="000000"/>
                <w:kern w:val="0"/>
                <w:szCs w:val="21"/>
              </w:rPr>
            </w:pPr>
            <w:r>
              <w:rPr>
                <w:rFonts w:hAnsi="宋体"/>
                <w:color w:val="000000"/>
                <w:kern w:val="0"/>
                <w:szCs w:val="21"/>
              </w:rPr>
              <w:t>对石油天然气管道企业未依法履行管道保护相关义务的行政处罚</w:t>
            </w:r>
          </w:p>
        </w:tc>
        <w:tc>
          <w:tcPr>
            <w:tcW w:w="706" w:type="dxa"/>
            <w:noWrap w:val="0"/>
            <w:tcMar>
              <w:left w:w="51" w:type="dxa"/>
              <w:right w:w="51" w:type="dxa"/>
            </w:tcMar>
            <w:vAlign w:val="center"/>
          </w:tcPr>
          <w:p w14:paraId="7AD6D803">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9D35F99">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0448EEB">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6135310D">
            <w:pPr>
              <w:widowControl/>
              <w:jc w:val="left"/>
              <w:rPr>
                <w:b/>
                <w:bCs/>
                <w:color w:val="000000"/>
                <w:kern w:val="0"/>
                <w:szCs w:val="21"/>
              </w:rPr>
            </w:pPr>
            <w:r>
              <w:rPr>
                <w:rFonts w:hAnsi="宋体"/>
                <w:b/>
                <w:bCs/>
                <w:color w:val="000000"/>
                <w:kern w:val="0"/>
                <w:szCs w:val="21"/>
              </w:rPr>
              <w:t>《中华人民共和国石油天然气管道保护法》第五十条</w:t>
            </w:r>
            <w:r>
              <w:rPr>
                <w:color w:val="000000"/>
                <w:kern w:val="0"/>
                <w:szCs w:val="21"/>
              </w:rPr>
              <w:t xml:space="preserve">  </w:t>
            </w:r>
            <w:r>
              <w:rPr>
                <w:rFonts w:hAnsi="宋体"/>
                <w:color w:val="000000"/>
                <w:kern w:val="0"/>
                <w:szCs w:val="21"/>
              </w:rPr>
              <w:t>管道企业有下列行为之一的，由县级以上地方人民政府主管管道保护工作的部门责令限期改正；逾期不改正的，处二万元以上十万元以下的罚款；对直接负责的主管人员和其他直接责任人员给予处分：</w:t>
            </w:r>
            <w:r>
              <w:rPr>
                <w:color w:val="000000"/>
                <w:kern w:val="0"/>
                <w:szCs w:val="21"/>
              </w:rPr>
              <w:br w:type="textWrapping"/>
            </w:r>
            <w:r>
              <w:rPr>
                <w:rFonts w:hAnsi="宋体"/>
                <w:color w:val="000000"/>
                <w:kern w:val="0"/>
                <w:szCs w:val="21"/>
              </w:rPr>
              <w:t>（一）未依照本法规定对管道进行巡护、检测和维修的；</w:t>
            </w:r>
            <w:r>
              <w:rPr>
                <w:color w:val="000000"/>
                <w:kern w:val="0"/>
                <w:szCs w:val="21"/>
              </w:rPr>
              <w:br w:type="textWrapping"/>
            </w:r>
            <w:r>
              <w:rPr>
                <w:rFonts w:hAnsi="宋体"/>
                <w:color w:val="000000"/>
                <w:kern w:val="0"/>
                <w:szCs w:val="21"/>
              </w:rPr>
              <w:t>（二）对不符合安全使用条件的管道未及时更新、改造或者停止使用的；</w:t>
            </w:r>
            <w:r>
              <w:rPr>
                <w:color w:val="000000"/>
                <w:kern w:val="0"/>
                <w:szCs w:val="21"/>
              </w:rPr>
              <w:br w:type="textWrapping"/>
            </w:r>
            <w:r>
              <w:rPr>
                <w:rFonts w:hAnsi="宋体"/>
                <w:color w:val="000000"/>
                <w:kern w:val="0"/>
                <w:szCs w:val="21"/>
              </w:rPr>
              <w:t>（三）未依照本法规定设置、修复或者更新有关管道标志的；</w:t>
            </w:r>
            <w:r>
              <w:rPr>
                <w:color w:val="000000"/>
                <w:kern w:val="0"/>
                <w:szCs w:val="21"/>
              </w:rPr>
              <w:br w:type="textWrapping"/>
            </w:r>
            <w:r>
              <w:rPr>
                <w:rFonts w:hAnsi="宋体"/>
                <w:color w:val="000000"/>
                <w:kern w:val="0"/>
                <w:szCs w:val="21"/>
              </w:rPr>
              <w:t>（四）未依照本法规定将管道竣工测量图报人民政府主管管道保护工作的部门备案的；</w:t>
            </w:r>
            <w:r>
              <w:rPr>
                <w:color w:val="000000"/>
                <w:kern w:val="0"/>
                <w:szCs w:val="21"/>
              </w:rPr>
              <w:br w:type="textWrapping"/>
            </w:r>
            <w:r>
              <w:rPr>
                <w:rFonts w:hAnsi="宋体"/>
                <w:color w:val="000000"/>
                <w:kern w:val="0"/>
                <w:szCs w:val="21"/>
              </w:rPr>
              <w:t>（五）未制定本企业管道事故应急预案，或者未将本企业管道事故应急预案报人民政府主管管道保护工作的部门备案的；</w:t>
            </w:r>
            <w:r>
              <w:rPr>
                <w:color w:val="000000"/>
                <w:kern w:val="0"/>
                <w:szCs w:val="21"/>
              </w:rPr>
              <w:br w:type="textWrapping"/>
            </w:r>
            <w:r>
              <w:rPr>
                <w:rFonts w:hAnsi="宋体"/>
                <w:color w:val="000000"/>
                <w:kern w:val="0"/>
                <w:szCs w:val="21"/>
              </w:rPr>
              <w:t>（六）发生管道事故，未采取有效措施消除或者减轻事故危害的；</w:t>
            </w:r>
            <w:r>
              <w:rPr>
                <w:color w:val="000000"/>
                <w:kern w:val="0"/>
                <w:szCs w:val="21"/>
              </w:rPr>
              <w:br w:type="textWrapping"/>
            </w:r>
            <w:r>
              <w:rPr>
                <w:rFonts w:hAnsi="宋体"/>
                <w:color w:val="000000"/>
                <w:kern w:val="0"/>
                <w:szCs w:val="21"/>
              </w:rPr>
              <w:t>（七）未对停止运行、封存、报废的管道采取必要的安全防护措施的。</w:t>
            </w:r>
            <w:r>
              <w:rPr>
                <w:color w:val="000000"/>
                <w:kern w:val="0"/>
                <w:szCs w:val="21"/>
              </w:rPr>
              <w:br w:type="textWrapping"/>
            </w:r>
            <w:r>
              <w:rPr>
                <w:rFonts w:hAnsi="宋体"/>
                <w:color w:val="000000"/>
                <w:kern w:val="0"/>
                <w:szCs w:val="21"/>
              </w:rPr>
              <w:t>管道企业违反本法规定的行为同时违反建设工程质量管理、安全生产、消防等其他法律的，依照其他法律的规定处罚。</w:t>
            </w:r>
            <w:r>
              <w:rPr>
                <w:color w:val="000000"/>
                <w:kern w:val="0"/>
                <w:szCs w:val="21"/>
              </w:rPr>
              <w:br w:type="textWrapping"/>
            </w:r>
            <w:r>
              <w:rPr>
                <w:rFonts w:hAnsi="宋体"/>
                <w:color w:val="000000"/>
                <w:kern w:val="0"/>
                <w:szCs w:val="21"/>
              </w:rPr>
              <w:t>管道企业给他人合法权益造成损害的，依法承担民事责任。</w:t>
            </w:r>
          </w:p>
        </w:tc>
        <w:tc>
          <w:tcPr>
            <w:tcW w:w="411" w:type="dxa"/>
            <w:noWrap/>
            <w:tcMar>
              <w:left w:w="51" w:type="dxa"/>
              <w:right w:w="51" w:type="dxa"/>
            </w:tcMar>
            <w:vAlign w:val="center"/>
          </w:tcPr>
          <w:p w14:paraId="54B9D27A">
            <w:pPr>
              <w:widowControl/>
              <w:jc w:val="left"/>
              <w:rPr>
                <w:color w:val="000000"/>
                <w:kern w:val="0"/>
                <w:szCs w:val="21"/>
              </w:rPr>
            </w:pPr>
            <w:r>
              <w:rPr>
                <w:rFonts w:hAnsi="宋体"/>
                <w:color w:val="000000"/>
                <w:kern w:val="0"/>
                <w:szCs w:val="21"/>
              </w:rPr>
              <w:t>　</w:t>
            </w:r>
          </w:p>
        </w:tc>
      </w:tr>
      <w:tr w14:paraId="348A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417" w:type="dxa"/>
            <w:noWrap w:val="0"/>
            <w:tcMar>
              <w:left w:w="51" w:type="dxa"/>
              <w:right w:w="51" w:type="dxa"/>
            </w:tcMar>
            <w:vAlign w:val="center"/>
          </w:tcPr>
          <w:p w14:paraId="46CF1212">
            <w:pPr>
              <w:widowControl/>
              <w:jc w:val="center"/>
              <w:rPr>
                <w:color w:val="000000"/>
                <w:kern w:val="0"/>
                <w:szCs w:val="21"/>
              </w:rPr>
            </w:pPr>
            <w:r>
              <w:rPr>
                <w:rFonts w:hint="eastAsia"/>
                <w:color w:val="000000"/>
                <w:szCs w:val="21"/>
                <w:lang w:val="en-US" w:eastAsia="zh-CN"/>
              </w:rPr>
              <w:t>5</w:t>
            </w:r>
            <w:r>
              <w:rPr>
                <w:color w:val="000000"/>
                <w:szCs w:val="21"/>
              </w:rPr>
              <w:t>9</w:t>
            </w:r>
          </w:p>
        </w:tc>
        <w:tc>
          <w:tcPr>
            <w:tcW w:w="1834" w:type="dxa"/>
            <w:noWrap w:val="0"/>
            <w:tcMar>
              <w:left w:w="51" w:type="dxa"/>
              <w:right w:w="51" w:type="dxa"/>
            </w:tcMar>
            <w:vAlign w:val="center"/>
          </w:tcPr>
          <w:p w14:paraId="603B81DC">
            <w:pPr>
              <w:widowControl/>
              <w:jc w:val="left"/>
              <w:rPr>
                <w:color w:val="000000"/>
                <w:kern w:val="0"/>
                <w:szCs w:val="21"/>
              </w:rPr>
            </w:pPr>
            <w:r>
              <w:rPr>
                <w:rFonts w:hAnsi="宋体"/>
                <w:color w:val="000000"/>
                <w:kern w:val="0"/>
                <w:szCs w:val="21"/>
              </w:rPr>
              <w:t>对实施危害石油天然气管道安全行为的行政处罚</w:t>
            </w:r>
          </w:p>
        </w:tc>
        <w:tc>
          <w:tcPr>
            <w:tcW w:w="706" w:type="dxa"/>
            <w:noWrap w:val="0"/>
            <w:tcMar>
              <w:left w:w="51" w:type="dxa"/>
              <w:right w:w="51" w:type="dxa"/>
            </w:tcMar>
            <w:vAlign w:val="center"/>
          </w:tcPr>
          <w:p w14:paraId="4A11B6B7">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DD13BBB">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955FCE4">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3D22F13C">
            <w:pPr>
              <w:widowControl/>
              <w:jc w:val="left"/>
              <w:rPr>
                <w:b/>
                <w:bCs/>
                <w:color w:val="000000"/>
                <w:kern w:val="0"/>
                <w:szCs w:val="21"/>
              </w:rPr>
            </w:pPr>
            <w:r>
              <w:rPr>
                <w:rFonts w:hAnsi="宋体"/>
                <w:b/>
                <w:bCs/>
                <w:color w:val="000000"/>
                <w:kern w:val="0"/>
                <w:szCs w:val="21"/>
              </w:rPr>
              <w:t>《中华人民共和国石油天然气管道保护法》第五十二条</w:t>
            </w:r>
            <w:r>
              <w:rPr>
                <w:color w:val="000000"/>
                <w:kern w:val="0"/>
                <w:szCs w:val="21"/>
              </w:rPr>
              <w:t xml:space="preserve">  </w:t>
            </w:r>
            <w:r>
              <w:rPr>
                <w:rFonts w:hAnsi="宋体"/>
                <w:color w:val="000000"/>
                <w:kern w:val="0"/>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411" w:type="dxa"/>
            <w:noWrap/>
            <w:tcMar>
              <w:left w:w="51" w:type="dxa"/>
              <w:right w:w="51" w:type="dxa"/>
            </w:tcMar>
            <w:vAlign w:val="center"/>
          </w:tcPr>
          <w:p w14:paraId="6E9A48EE">
            <w:pPr>
              <w:widowControl/>
              <w:jc w:val="left"/>
              <w:rPr>
                <w:color w:val="000000"/>
                <w:kern w:val="0"/>
                <w:szCs w:val="21"/>
              </w:rPr>
            </w:pPr>
            <w:r>
              <w:rPr>
                <w:rFonts w:hAnsi="宋体"/>
                <w:color w:val="000000"/>
                <w:kern w:val="0"/>
                <w:szCs w:val="21"/>
              </w:rPr>
              <w:t>　</w:t>
            </w:r>
          </w:p>
        </w:tc>
      </w:tr>
      <w:tr w14:paraId="2CC3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417" w:type="dxa"/>
            <w:noWrap w:val="0"/>
            <w:tcMar>
              <w:left w:w="51" w:type="dxa"/>
              <w:right w:w="51" w:type="dxa"/>
            </w:tcMar>
            <w:vAlign w:val="center"/>
          </w:tcPr>
          <w:p w14:paraId="13F0EDF4">
            <w:pPr>
              <w:widowControl/>
              <w:jc w:val="center"/>
              <w:rPr>
                <w:color w:val="000000"/>
                <w:kern w:val="0"/>
                <w:szCs w:val="21"/>
              </w:rPr>
            </w:pPr>
            <w:r>
              <w:rPr>
                <w:rFonts w:hint="eastAsia"/>
                <w:color w:val="000000"/>
                <w:szCs w:val="21"/>
                <w:lang w:val="en-US" w:eastAsia="zh-CN"/>
              </w:rPr>
              <w:t>6</w:t>
            </w:r>
            <w:r>
              <w:rPr>
                <w:color w:val="000000"/>
                <w:szCs w:val="21"/>
              </w:rPr>
              <w:t>0</w:t>
            </w:r>
          </w:p>
        </w:tc>
        <w:tc>
          <w:tcPr>
            <w:tcW w:w="1834" w:type="dxa"/>
            <w:noWrap w:val="0"/>
            <w:tcMar>
              <w:left w:w="51" w:type="dxa"/>
              <w:right w:w="51" w:type="dxa"/>
            </w:tcMar>
            <w:vAlign w:val="center"/>
          </w:tcPr>
          <w:p w14:paraId="3FC9D6B5">
            <w:pPr>
              <w:widowControl/>
              <w:jc w:val="left"/>
              <w:rPr>
                <w:color w:val="000000"/>
                <w:kern w:val="0"/>
                <w:szCs w:val="21"/>
              </w:rPr>
            </w:pPr>
            <w:r>
              <w:rPr>
                <w:rFonts w:hAnsi="宋体"/>
                <w:color w:val="000000"/>
                <w:kern w:val="0"/>
                <w:szCs w:val="21"/>
              </w:rPr>
              <w:t>对未经依法批准进行危害石油天然气管道安全的施工作业的行政处罚</w:t>
            </w:r>
          </w:p>
        </w:tc>
        <w:tc>
          <w:tcPr>
            <w:tcW w:w="706" w:type="dxa"/>
            <w:noWrap w:val="0"/>
            <w:tcMar>
              <w:left w:w="51" w:type="dxa"/>
              <w:right w:w="51" w:type="dxa"/>
            </w:tcMar>
            <w:vAlign w:val="center"/>
          </w:tcPr>
          <w:p w14:paraId="568821C8">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0DE3FC5">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BDA507C">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2E4BC322">
            <w:pPr>
              <w:widowControl/>
              <w:jc w:val="left"/>
              <w:rPr>
                <w:b/>
                <w:bCs/>
                <w:color w:val="000000"/>
                <w:kern w:val="0"/>
                <w:szCs w:val="21"/>
              </w:rPr>
            </w:pPr>
            <w:r>
              <w:rPr>
                <w:rFonts w:hAnsi="宋体"/>
                <w:b/>
                <w:bCs/>
                <w:color w:val="000000"/>
                <w:kern w:val="0"/>
                <w:szCs w:val="21"/>
              </w:rPr>
              <w:t>《中华人民共和国石油天然气管道保护法》第五十三条</w:t>
            </w:r>
            <w:r>
              <w:rPr>
                <w:color w:val="000000"/>
                <w:kern w:val="0"/>
                <w:szCs w:val="21"/>
              </w:rPr>
              <w:t xml:space="preserve">  </w:t>
            </w:r>
            <w:r>
              <w:rPr>
                <w:rFonts w:hAnsi="宋体"/>
                <w:color w:val="000000"/>
                <w:kern w:val="0"/>
                <w:szCs w:val="21"/>
              </w:rPr>
              <w:t>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411" w:type="dxa"/>
            <w:noWrap/>
            <w:tcMar>
              <w:left w:w="51" w:type="dxa"/>
              <w:right w:w="51" w:type="dxa"/>
            </w:tcMar>
            <w:vAlign w:val="center"/>
          </w:tcPr>
          <w:p w14:paraId="09DE342A">
            <w:pPr>
              <w:widowControl/>
              <w:jc w:val="left"/>
              <w:rPr>
                <w:color w:val="000000"/>
                <w:kern w:val="0"/>
                <w:szCs w:val="21"/>
              </w:rPr>
            </w:pPr>
            <w:r>
              <w:rPr>
                <w:rFonts w:hAnsi="宋体"/>
                <w:color w:val="000000"/>
                <w:kern w:val="0"/>
                <w:szCs w:val="21"/>
              </w:rPr>
              <w:t>　</w:t>
            </w:r>
          </w:p>
        </w:tc>
      </w:tr>
      <w:tr w14:paraId="412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17" w:type="dxa"/>
            <w:noWrap w:val="0"/>
            <w:tcMar>
              <w:left w:w="51" w:type="dxa"/>
              <w:right w:w="51" w:type="dxa"/>
            </w:tcMar>
            <w:vAlign w:val="center"/>
          </w:tcPr>
          <w:p w14:paraId="3F836BC6">
            <w:pPr>
              <w:widowControl/>
              <w:jc w:val="center"/>
              <w:rPr>
                <w:color w:val="000000"/>
                <w:kern w:val="0"/>
                <w:szCs w:val="21"/>
              </w:rPr>
            </w:pPr>
            <w:r>
              <w:rPr>
                <w:rFonts w:hint="eastAsia"/>
                <w:color w:val="000000"/>
                <w:szCs w:val="21"/>
                <w:lang w:val="en-US" w:eastAsia="zh-CN"/>
              </w:rPr>
              <w:t>6</w:t>
            </w:r>
            <w:r>
              <w:rPr>
                <w:color w:val="000000"/>
                <w:szCs w:val="21"/>
              </w:rPr>
              <w:t>1</w:t>
            </w:r>
          </w:p>
        </w:tc>
        <w:tc>
          <w:tcPr>
            <w:tcW w:w="1834" w:type="dxa"/>
            <w:noWrap w:val="0"/>
            <w:tcMar>
              <w:left w:w="51" w:type="dxa"/>
              <w:right w:w="51" w:type="dxa"/>
            </w:tcMar>
            <w:vAlign w:val="center"/>
          </w:tcPr>
          <w:p w14:paraId="304D8836">
            <w:pPr>
              <w:widowControl/>
              <w:jc w:val="left"/>
              <w:rPr>
                <w:color w:val="000000"/>
                <w:kern w:val="0"/>
                <w:szCs w:val="21"/>
              </w:rPr>
            </w:pPr>
            <w:r>
              <w:rPr>
                <w:rFonts w:hAnsi="宋体"/>
                <w:color w:val="000000"/>
                <w:kern w:val="0"/>
                <w:szCs w:val="21"/>
              </w:rPr>
              <w:t>对擅自开启、关闭管道阀门等危害石油天然气管道安全及阻碍管道建设行为的行政处罚</w:t>
            </w:r>
          </w:p>
        </w:tc>
        <w:tc>
          <w:tcPr>
            <w:tcW w:w="706" w:type="dxa"/>
            <w:noWrap w:val="0"/>
            <w:tcMar>
              <w:left w:w="51" w:type="dxa"/>
              <w:right w:w="51" w:type="dxa"/>
            </w:tcMar>
            <w:vAlign w:val="center"/>
          </w:tcPr>
          <w:p w14:paraId="0052DE8A">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15286DE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70620D1">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3BE12352">
            <w:pPr>
              <w:widowControl/>
              <w:jc w:val="left"/>
              <w:rPr>
                <w:b/>
                <w:bCs/>
                <w:color w:val="000000"/>
                <w:kern w:val="0"/>
                <w:szCs w:val="21"/>
              </w:rPr>
            </w:pPr>
            <w:r>
              <w:rPr>
                <w:rFonts w:hAnsi="宋体"/>
                <w:b/>
                <w:bCs/>
                <w:color w:val="000000"/>
                <w:kern w:val="0"/>
                <w:szCs w:val="21"/>
              </w:rPr>
              <w:t>《中华人民共和国石油天然气管道保护法》第五十四条</w:t>
            </w:r>
            <w:r>
              <w:rPr>
                <w:color w:val="000000"/>
                <w:kern w:val="0"/>
                <w:szCs w:val="21"/>
              </w:rPr>
              <w:t xml:space="preserve">  </w:t>
            </w:r>
            <w:r>
              <w:rPr>
                <w:rFonts w:hAnsi="宋体"/>
                <w:color w:val="000000"/>
                <w:kern w:val="0"/>
                <w:szCs w:val="21"/>
              </w:rPr>
              <w:t>违反本法规定，有下列行为之一的，由县级以上地方人民政府主管管道保护工作的部门责令改正；情节严重的，处二百元以上一千元以下的罚款：</w:t>
            </w:r>
            <w:r>
              <w:rPr>
                <w:color w:val="000000"/>
                <w:kern w:val="0"/>
                <w:szCs w:val="21"/>
              </w:rPr>
              <w:br w:type="textWrapping"/>
            </w:r>
            <w:r>
              <w:rPr>
                <w:rFonts w:hAnsi="宋体"/>
                <w:color w:val="000000"/>
                <w:kern w:val="0"/>
                <w:szCs w:val="21"/>
              </w:rPr>
              <w:t>（一）擅自开启、关闭管道阀门的；</w:t>
            </w:r>
            <w:r>
              <w:rPr>
                <w:color w:val="000000"/>
                <w:kern w:val="0"/>
                <w:szCs w:val="21"/>
              </w:rPr>
              <w:br w:type="textWrapping"/>
            </w:r>
            <w:r>
              <w:rPr>
                <w:rFonts w:hAnsi="宋体"/>
                <w:color w:val="000000"/>
                <w:kern w:val="0"/>
                <w:szCs w:val="21"/>
              </w:rPr>
              <w:t>（二）移动、毁损、涂改管道标志的；</w:t>
            </w:r>
            <w:r>
              <w:rPr>
                <w:color w:val="000000"/>
                <w:kern w:val="0"/>
                <w:szCs w:val="21"/>
              </w:rPr>
              <w:br w:type="textWrapping"/>
            </w:r>
            <w:r>
              <w:rPr>
                <w:rFonts w:hAnsi="宋体"/>
                <w:color w:val="000000"/>
                <w:kern w:val="0"/>
                <w:szCs w:val="21"/>
              </w:rPr>
              <w:t>（三）在埋地管道上方巡查便道上行驶重型车辆的；</w:t>
            </w:r>
            <w:r>
              <w:rPr>
                <w:color w:val="000000"/>
                <w:kern w:val="0"/>
                <w:szCs w:val="21"/>
              </w:rPr>
              <w:br w:type="textWrapping"/>
            </w:r>
            <w:r>
              <w:rPr>
                <w:rFonts w:hAnsi="宋体"/>
                <w:color w:val="000000"/>
                <w:kern w:val="0"/>
                <w:szCs w:val="21"/>
              </w:rPr>
              <w:t>（四）在地面管道线路、架空管道线路和管桥上行走或者放置重物的；</w:t>
            </w:r>
            <w:r>
              <w:rPr>
                <w:color w:val="000000"/>
                <w:kern w:val="0"/>
                <w:szCs w:val="21"/>
              </w:rPr>
              <w:br w:type="textWrapping"/>
            </w:r>
            <w:r>
              <w:rPr>
                <w:rFonts w:hAnsi="宋体"/>
                <w:color w:val="000000"/>
                <w:kern w:val="0"/>
                <w:szCs w:val="21"/>
              </w:rPr>
              <w:t>（五）阻碍依法进行的管道建设的。</w:t>
            </w:r>
          </w:p>
        </w:tc>
        <w:tc>
          <w:tcPr>
            <w:tcW w:w="411" w:type="dxa"/>
            <w:noWrap/>
            <w:tcMar>
              <w:left w:w="51" w:type="dxa"/>
              <w:right w:w="51" w:type="dxa"/>
            </w:tcMar>
            <w:vAlign w:val="center"/>
          </w:tcPr>
          <w:p w14:paraId="3E6947A3">
            <w:pPr>
              <w:widowControl/>
              <w:jc w:val="left"/>
              <w:rPr>
                <w:color w:val="000000"/>
                <w:kern w:val="0"/>
                <w:szCs w:val="21"/>
              </w:rPr>
            </w:pPr>
            <w:r>
              <w:rPr>
                <w:rFonts w:hAnsi="宋体"/>
                <w:color w:val="000000"/>
                <w:kern w:val="0"/>
                <w:szCs w:val="21"/>
              </w:rPr>
              <w:t>　</w:t>
            </w:r>
          </w:p>
        </w:tc>
      </w:tr>
      <w:tr w14:paraId="271E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9" w:hRule="atLeast"/>
          <w:jc w:val="center"/>
        </w:trPr>
        <w:tc>
          <w:tcPr>
            <w:tcW w:w="417" w:type="dxa"/>
            <w:noWrap w:val="0"/>
            <w:tcMar>
              <w:left w:w="51" w:type="dxa"/>
              <w:right w:w="51" w:type="dxa"/>
            </w:tcMar>
            <w:vAlign w:val="center"/>
          </w:tcPr>
          <w:p w14:paraId="6BC49A01">
            <w:pPr>
              <w:widowControl/>
              <w:jc w:val="center"/>
              <w:rPr>
                <w:color w:val="000000"/>
                <w:kern w:val="0"/>
                <w:szCs w:val="21"/>
              </w:rPr>
            </w:pPr>
            <w:r>
              <w:rPr>
                <w:rFonts w:hint="eastAsia"/>
                <w:color w:val="000000"/>
                <w:szCs w:val="21"/>
                <w:lang w:val="en-US" w:eastAsia="zh-CN"/>
              </w:rPr>
              <w:t>6</w:t>
            </w:r>
            <w:r>
              <w:rPr>
                <w:color w:val="000000"/>
                <w:szCs w:val="21"/>
              </w:rPr>
              <w:t>2</w:t>
            </w:r>
          </w:p>
        </w:tc>
        <w:tc>
          <w:tcPr>
            <w:tcW w:w="1834" w:type="dxa"/>
            <w:noWrap w:val="0"/>
            <w:tcMar>
              <w:left w:w="51" w:type="dxa"/>
              <w:right w:w="51" w:type="dxa"/>
            </w:tcMar>
            <w:vAlign w:val="center"/>
          </w:tcPr>
          <w:p w14:paraId="13251082">
            <w:pPr>
              <w:widowControl/>
              <w:jc w:val="left"/>
              <w:rPr>
                <w:color w:val="000000"/>
                <w:kern w:val="0"/>
                <w:szCs w:val="21"/>
              </w:rPr>
            </w:pPr>
            <w:r>
              <w:rPr>
                <w:rFonts w:hAnsi="宋体"/>
                <w:color w:val="000000"/>
                <w:kern w:val="0"/>
                <w:szCs w:val="21"/>
              </w:rPr>
              <w:t>对非公共信用信息提供单位及其工作人员侵害信用主体合法权益行为的处罚</w:t>
            </w:r>
          </w:p>
        </w:tc>
        <w:tc>
          <w:tcPr>
            <w:tcW w:w="706" w:type="dxa"/>
            <w:noWrap w:val="0"/>
            <w:tcMar>
              <w:left w:w="51" w:type="dxa"/>
              <w:right w:w="51" w:type="dxa"/>
            </w:tcMar>
            <w:vAlign w:val="center"/>
          </w:tcPr>
          <w:p w14:paraId="7ECE84D9">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B1F9AA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D934301">
            <w:pPr>
              <w:widowControl/>
              <w:jc w:val="center"/>
              <w:rPr>
                <w:rFonts w:hint="default" w:eastAsia="宋体"/>
                <w:color w:val="000000"/>
                <w:kern w:val="0"/>
                <w:szCs w:val="21"/>
                <w:highlight w:val="none"/>
                <w:lang w:val="en-US" w:eastAsia="zh-CN"/>
              </w:rPr>
            </w:pPr>
            <w:r>
              <w:rPr>
                <w:rFonts w:hint="eastAsia" w:hAnsi="宋体"/>
                <w:color w:val="000000"/>
                <w:kern w:val="0"/>
                <w:szCs w:val="21"/>
                <w:highlight w:val="none"/>
                <w:lang w:val="en-US" w:eastAsia="zh-CN"/>
              </w:rPr>
              <w:t>规划改革股</w:t>
            </w:r>
          </w:p>
        </w:tc>
        <w:tc>
          <w:tcPr>
            <w:tcW w:w="9611" w:type="dxa"/>
            <w:noWrap w:val="0"/>
            <w:tcMar>
              <w:left w:w="51" w:type="dxa"/>
              <w:right w:w="51" w:type="dxa"/>
            </w:tcMar>
            <w:vAlign w:val="center"/>
          </w:tcPr>
          <w:p w14:paraId="3FBE8E94">
            <w:pPr>
              <w:widowControl/>
              <w:jc w:val="left"/>
              <w:rPr>
                <w:color w:val="000000"/>
                <w:kern w:val="0"/>
                <w:szCs w:val="21"/>
              </w:rPr>
            </w:pPr>
            <w:r>
              <w:rPr>
                <w:b/>
                <w:bCs/>
                <w:color w:val="000000"/>
                <w:kern w:val="0"/>
                <w:szCs w:val="21"/>
              </w:rPr>
              <w:t>1.</w:t>
            </w:r>
            <w:r>
              <w:rPr>
                <w:rFonts w:hAnsi="宋体"/>
                <w:b/>
                <w:bCs/>
                <w:color w:val="000000"/>
                <w:kern w:val="0"/>
                <w:szCs w:val="21"/>
              </w:rPr>
              <w:t>《湖南省社会信用条例》第四十五条　</w:t>
            </w:r>
            <w:r>
              <w:rPr>
                <w:rFonts w:hAnsi="宋体"/>
                <w:color w:val="000000"/>
                <w:kern w:val="0"/>
                <w:szCs w:val="21"/>
              </w:rPr>
              <w:t>非公共信用信息提供单位及其工作人员有下列行为之一的，由县级以上人民政府社会信用工作主管部门或者法律、法规规定的部门责令限期改正，对单位处五万元以上三十万元以下罚款，对直接负责的主管人员和其他直接责任人员处一万元以上十万元以下罚款；有违法所得的，没收违法所得；构成犯罪的，依法追究刑事责任：</w:t>
            </w:r>
            <w:r>
              <w:rPr>
                <w:color w:val="000000"/>
                <w:kern w:val="0"/>
                <w:szCs w:val="21"/>
              </w:rPr>
              <w:br w:type="textWrapping"/>
            </w:r>
            <w:r>
              <w:rPr>
                <w:rFonts w:hAnsi="宋体"/>
                <w:color w:val="000000"/>
                <w:kern w:val="0"/>
                <w:szCs w:val="21"/>
              </w:rPr>
              <w:t>（一）虚构、篡改、违规删除非公共信用信息的</w:t>
            </w:r>
            <w:r>
              <w:rPr>
                <w:color w:val="000000"/>
                <w:kern w:val="0"/>
                <w:szCs w:val="21"/>
              </w:rPr>
              <w:t>;</w:t>
            </w:r>
            <w:r>
              <w:rPr>
                <w:color w:val="000000"/>
                <w:kern w:val="0"/>
                <w:szCs w:val="21"/>
              </w:rPr>
              <w:br w:type="textWrapping"/>
            </w:r>
            <w:r>
              <w:rPr>
                <w:rFonts w:hAnsi="宋体"/>
                <w:color w:val="000000"/>
                <w:kern w:val="0"/>
                <w:szCs w:val="21"/>
              </w:rPr>
              <w:t>（二）泄露涉及国家秘密、商业秘密、个人隐私的非公共信用信息的</w:t>
            </w:r>
            <w:r>
              <w:rPr>
                <w:color w:val="000000"/>
                <w:kern w:val="0"/>
                <w:szCs w:val="21"/>
              </w:rPr>
              <w:t>;</w:t>
            </w:r>
            <w:r>
              <w:rPr>
                <w:color w:val="000000"/>
                <w:kern w:val="0"/>
                <w:szCs w:val="21"/>
              </w:rPr>
              <w:br w:type="textWrapping"/>
            </w:r>
            <w:r>
              <w:rPr>
                <w:rFonts w:hAnsi="宋体"/>
                <w:color w:val="000000"/>
                <w:kern w:val="0"/>
                <w:szCs w:val="21"/>
              </w:rPr>
              <w:t>（三）非法获取、出售社会信用信息的</w:t>
            </w:r>
            <w:r>
              <w:rPr>
                <w:color w:val="000000"/>
                <w:kern w:val="0"/>
                <w:szCs w:val="21"/>
              </w:rPr>
              <w:t>;</w:t>
            </w:r>
            <w:r>
              <w:rPr>
                <w:color w:val="000000"/>
                <w:kern w:val="0"/>
                <w:szCs w:val="21"/>
              </w:rPr>
              <w:br w:type="textWrapping"/>
            </w:r>
            <w:r>
              <w:rPr>
                <w:rFonts w:hAnsi="宋体"/>
                <w:color w:val="000000"/>
                <w:kern w:val="0"/>
                <w:szCs w:val="21"/>
              </w:rPr>
              <w:t>（四）通过虚假宣传、承诺评价等级等方式承揽业务的；</w:t>
            </w:r>
            <w:r>
              <w:rPr>
                <w:color w:val="000000"/>
                <w:kern w:val="0"/>
                <w:szCs w:val="21"/>
              </w:rPr>
              <w:br w:type="textWrapping"/>
            </w:r>
            <w:r>
              <w:rPr>
                <w:rFonts w:hAnsi="宋体"/>
                <w:color w:val="000000"/>
                <w:kern w:val="0"/>
                <w:szCs w:val="21"/>
              </w:rPr>
              <w:t>（五）对信用主体进行恶意评级的；</w:t>
            </w:r>
            <w:r>
              <w:rPr>
                <w:color w:val="000000"/>
                <w:kern w:val="0"/>
                <w:szCs w:val="21"/>
              </w:rPr>
              <w:br w:type="textWrapping"/>
            </w:r>
            <w:r>
              <w:rPr>
                <w:rFonts w:hAnsi="宋体"/>
                <w:color w:val="000000"/>
                <w:kern w:val="0"/>
                <w:szCs w:val="21"/>
              </w:rPr>
              <w:t>（六）法律、法规禁止的其他侵害信用主体合法权益的行为。</w:t>
            </w:r>
            <w:r>
              <w:rPr>
                <w:color w:val="000000"/>
                <w:kern w:val="0"/>
                <w:szCs w:val="21"/>
              </w:rPr>
              <w:br w:type="textWrapping"/>
            </w:r>
            <w:r>
              <w:rPr>
                <w:b/>
                <w:bCs/>
                <w:color w:val="000000"/>
                <w:kern w:val="0"/>
                <w:szCs w:val="21"/>
              </w:rPr>
              <w:t>2.</w:t>
            </w:r>
            <w:r>
              <w:rPr>
                <w:rFonts w:hAnsi="宋体"/>
                <w:b/>
                <w:bCs/>
                <w:color w:val="000000"/>
                <w:kern w:val="0"/>
                <w:szCs w:val="21"/>
              </w:rPr>
              <w:t>《湖南省社会信用信息管理办法》第三十九条</w:t>
            </w:r>
            <w:r>
              <w:rPr>
                <w:rFonts w:hAnsi="宋体"/>
                <w:color w:val="000000"/>
                <w:kern w:val="0"/>
                <w:szCs w:val="21"/>
              </w:rPr>
              <w:t>　非公共信用信息提供单位及其工作人员违反本办法第十八条规定，依法给予行政处罚；构成犯罪的，依法追究刑事责任。</w:t>
            </w:r>
          </w:p>
        </w:tc>
        <w:tc>
          <w:tcPr>
            <w:tcW w:w="411" w:type="dxa"/>
            <w:noWrap/>
            <w:tcMar>
              <w:left w:w="51" w:type="dxa"/>
              <w:right w:w="51" w:type="dxa"/>
            </w:tcMar>
            <w:vAlign w:val="center"/>
          </w:tcPr>
          <w:p w14:paraId="3F66C7B6">
            <w:pPr>
              <w:widowControl/>
              <w:jc w:val="left"/>
              <w:rPr>
                <w:color w:val="000000"/>
                <w:kern w:val="0"/>
                <w:szCs w:val="21"/>
              </w:rPr>
            </w:pPr>
            <w:r>
              <w:rPr>
                <w:rFonts w:hAnsi="宋体"/>
                <w:color w:val="000000"/>
                <w:kern w:val="0"/>
                <w:szCs w:val="21"/>
              </w:rPr>
              <w:t>　</w:t>
            </w:r>
          </w:p>
        </w:tc>
      </w:tr>
      <w:tr w14:paraId="4C51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417" w:type="dxa"/>
            <w:noWrap w:val="0"/>
            <w:tcMar>
              <w:left w:w="51" w:type="dxa"/>
              <w:right w:w="51" w:type="dxa"/>
            </w:tcMar>
            <w:vAlign w:val="center"/>
          </w:tcPr>
          <w:p w14:paraId="47B0715D">
            <w:pPr>
              <w:widowControl/>
              <w:jc w:val="center"/>
              <w:rPr>
                <w:color w:val="000000"/>
                <w:kern w:val="0"/>
                <w:szCs w:val="21"/>
              </w:rPr>
            </w:pPr>
            <w:r>
              <w:rPr>
                <w:rFonts w:hint="eastAsia"/>
                <w:color w:val="000000"/>
                <w:szCs w:val="21"/>
                <w:lang w:val="en-US" w:eastAsia="zh-CN"/>
              </w:rPr>
              <w:t>6</w:t>
            </w:r>
            <w:r>
              <w:rPr>
                <w:color w:val="000000"/>
                <w:szCs w:val="21"/>
              </w:rPr>
              <w:t>3</w:t>
            </w:r>
          </w:p>
        </w:tc>
        <w:tc>
          <w:tcPr>
            <w:tcW w:w="1834" w:type="dxa"/>
            <w:noWrap w:val="0"/>
            <w:tcMar>
              <w:left w:w="51" w:type="dxa"/>
              <w:right w:w="51" w:type="dxa"/>
            </w:tcMar>
            <w:vAlign w:val="center"/>
          </w:tcPr>
          <w:p w14:paraId="5F3E696D">
            <w:pPr>
              <w:widowControl/>
              <w:jc w:val="left"/>
              <w:rPr>
                <w:color w:val="000000"/>
                <w:kern w:val="0"/>
                <w:szCs w:val="21"/>
              </w:rPr>
            </w:pPr>
            <w:r>
              <w:rPr>
                <w:rFonts w:hAnsi="宋体"/>
                <w:color w:val="000000"/>
                <w:kern w:val="0"/>
                <w:szCs w:val="21"/>
              </w:rPr>
              <w:t>对公共资源交易项目发起方不遵守公共资源交易活动规则和公共资源交易平台现场管理制度的处罚</w:t>
            </w:r>
          </w:p>
        </w:tc>
        <w:tc>
          <w:tcPr>
            <w:tcW w:w="706" w:type="dxa"/>
            <w:noWrap w:val="0"/>
            <w:tcMar>
              <w:left w:w="51" w:type="dxa"/>
              <w:right w:w="51" w:type="dxa"/>
            </w:tcMar>
            <w:vAlign w:val="center"/>
          </w:tcPr>
          <w:p w14:paraId="57275A49">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5915B42">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F1A8C72">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742477C8">
            <w:pPr>
              <w:widowControl/>
              <w:jc w:val="left"/>
              <w:rPr>
                <w:b/>
                <w:bCs/>
                <w:color w:val="000000"/>
                <w:kern w:val="0"/>
                <w:szCs w:val="21"/>
              </w:rPr>
            </w:pPr>
            <w:r>
              <w:rPr>
                <w:rFonts w:hAnsi="宋体"/>
                <w:b/>
                <w:bCs/>
                <w:color w:val="000000"/>
                <w:kern w:val="0"/>
                <w:szCs w:val="21"/>
              </w:rPr>
              <w:t>《湖南省公共资源交易监督管理办法》第十六条</w:t>
            </w:r>
            <w:r>
              <w:rPr>
                <w:b/>
                <w:bCs/>
                <w:color w:val="000000"/>
                <w:kern w:val="0"/>
                <w:szCs w:val="21"/>
              </w:rPr>
              <w:t xml:space="preserve">   </w:t>
            </w:r>
            <w:r>
              <w:rPr>
                <w:rFonts w:hAnsi="宋体"/>
                <w:color w:val="000000"/>
                <w:kern w:val="0"/>
                <w:szCs w:val="21"/>
              </w:rPr>
              <w:t>行政监督部门应当监督公共资源交易项目发起方遵守公共资源交易活动规则和公共资源交易平台现场管理制度。发起方不得有以下行为：</w:t>
            </w:r>
            <w:r>
              <w:rPr>
                <w:color w:val="000000"/>
                <w:kern w:val="0"/>
                <w:szCs w:val="21"/>
              </w:rPr>
              <w:br w:type="textWrapping"/>
            </w:r>
            <w:r>
              <w:rPr>
                <w:rFonts w:hAnsi="宋体"/>
                <w:color w:val="000000"/>
                <w:kern w:val="0"/>
                <w:szCs w:val="21"/>
              </w:rPr>
              <w:t>（一）对列入公共资源交易目录的项目，采取化整为零或者以其他方式予以规避，不进入公共资源交易平台交易；</w:t>
            </w:r>
            <w:r>
              <w:rPr>
                <w:color w:val="000000"/>
                <w:kern w:val="0"/>
                <w:szCs w:val="21"/>
              </w:rPr>
              <w:br w:type="textWrapping"/>
            </w:r>
            <w:r>
              <w:rPr>
                <w:rFonts w:hAnsi="宋体"/>
                <w:color w:val="000000"/>
                <w:kern w:val="0"/>
                <w:szCs w:val="21"/>
              </w:rPr>
              <w:t>（二）以不合理的条件排斥、歧视潜在响应方；</w:t>
            </w:r>
            <w:r>
              <w:rPr>
                <w:color w:val="000000"/>
                <w:kern w:val="0"/>
                <w:szCs w:val="21"/>
              </w:rPr>
              <w:br w:type="textWrapping"/>
            </w:r>
            <w:r>
              <w:rPr>
                <w:rFonts w:hAnsi="宋体"/>
                <w:color w:val="000000"/>
                <w:kern w:val="0"/>
                <w:szCs w:val="21"/>
              </w:rPr>
              <w:t>（三）与公共资源交易项目响应方或者评标评审委员会成员串通；</w:t>
            </w:r>
            <w:r>
              <w:rPr>
                <w:color w:val="000000"/>
                <w:kern w:val="0"/>
                <w:szCs w:val="21"/>
              </w:rPr>
              <w:br w:type="textWrapping"/>
            </w:r>
            <w:r>
              <w:rPr>
                <w:rFonts w:hAnsi="宋体"/>
                <w:color w:val="000000"/>
                <w:kern w:val="0"/>
                <w:szCs w:val="21"/>
              </w:rPr>
              <w:t>（四）其他违反法律、法规、规章的行为。</w:t>
            </w:r>
            <w:r>
              <w:rPr>
                <w:b/>
                <w:bCs/>
                <w:color w:val="000000"/>
                <w:kern w:val="0"/>
                <w:szCs w:val="21"/>
              </w:rPr>
              <w:br w:type="textWrapping"/>
            </w:r>
            <w:r>
              <w:rPr>
                <w:rFonts w:hAnsi="宋体"/>
                <w:b/>
                <w:bCs/>
                <w:color w:val="000000"/>
                <w:kern w:val="0"/>
                <w:szCs w:val="21"/>
              </w:rPr>
              <w:t>第二十七条　</w:t>
            </w:r>
            <w:r>
              <w:rPr>
                <w:rFonts w:hAnsi="宋体"/>
                <w:color w:val="000000"/>
                <w:kern w:val="0"/>
                <w:szCs w:val="21"/>
              </w:rPr>
              <w:t>公共资源交易项目发起方、响应方违反本办法第十六条、第十七条规定的，由相关行政监督部门责令改正；情节严重的，给予警告，可以处</w:t>
            </w:r>
            <w:r>
              <w:rPr>
                <w:color w:val="000000"/>
                <w:kern w:val="0"/>
                <w:szCs w:val="21"/>
              </w:rPr>
              <w:t>10000</w:t>
            </w:r>
            <w:r>
              <w:rPr>
                <w:rFonts w:hAnsi="宋体"/>
                <w:color w:val="000000"/>
                <w:kern w:val="0"/>
                <w:szCs w:val="21"/>
              </w:rPr>
              <w:t>元以上</w:t>
            </w:r>
            <w:r>
              <w:rPr>
                <w:color w:val="000000"/>
                <w:kern w:val="0"/>
                <w:szCs w:val="21"/>
              </w:rPr>
              <w:t>50000</w:t>
            </w:r>
            <w:r>
              <w:rPr>
                <w:rFonts w:hAnsi="宋体"/>
                <w:color w:val="000000"/>
                <w:kern w:val="0"/>
                <w:szCs w:val="21"/>
              </w:rPr>
              <w:t>元以下罚款，依法追究直接负责的主管人员和直接责任人员的责任；构成犯罪的，依法追究刑事责任。</w:t>
            </w:r>
          </w:p>
        </w:tc>
        <w:tc>
          <w:tcPr>
            <w:tcW w:w="411" w:type="dxa"/>
            <w:noWrap/>
            <w:tcMar>
              <w:left w:w="51" w:type="dxa"/>
              <w:right w:w="51" w:type="dxa"/>
            </w:tcMar>
            <w:vAlign w:val="center"/>
          </w:tcPr>
          <w:p w14:paraId="2412F994">
            <w:pPr>
              <w:widowControl/>
              <w:jc w:val="left"/>
              <w:rPr>
                <w:color w:val="000000"/>
                <w:kern w:val="0"/>
                <w:szCs w:val="21"/>
              </w:rPr>
            </w:pPr>
            <w:r>
              <w:rPr>
                <w:rFonts w:hAnsi="宋体"/>
                <w:color w:val="000000"/>
                <w:kern w:val="0"/>
                <w:szCs w:val="21"/>
              </w:rPr>
              <w:t>　</w:t>
            </w:r>
          </w:p>
        </w:tc>
      </w:tr>
      <w:tr w14:paraId="26C4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417" w:type="dxa"/>
            <w:noWrap w:val="0"/>
            <w:tcMar>
              <w:left w:w="51" w:type="dxa"/>
              <w:right w:w="51" w:type="dxa"/>
            </w:tcMar>
            <w:vAlign w:val="center"/>
          </w:tcPr>
          <w:p w14:paraId="04AB082F">
            <w:pPr>
              <w:widowControl/>
              <w:jc w:val="center"/>
              <w:rPr>
                <w:color w:val="000000"/>
                <w:kern w:val="0"/>
                <w:szCs w:val="21"/>
              </w:rPr>
            </w:pPr>
            <w:r>
              <w:rPr>
                <w:rFonts w:hint="eastAsia"/>
                <w:color w:val="000000"/>
                <w:szCs w:val="21"/>
                <w:lang w:val="en-US" w:eastAsia="zh-CN"/>
              </w:rPr>
              <w:t>6</w:t>
            </w:r>
            <w:r>
              <w:rPr>
                <w:color w:val="000000"/>
                <w:szCs w:val="21"/>
              </w:rPr>
              <w:t>4</w:t>
            </w:r>
          </w:p>
        </w:tc>
        <w:tc>
          <w:tcPr>
            <w:tcW w:w="1834" w:type="dxa"/>
            <w:noWrap w:val="0"/>
            <w:tcMar>
              <w:left w:w="51" w:type="dxa"/>
              <w:right w:w="51" w:type="dxa"/>
            </w:tcMar>
            <w:vAlign w:val="center"/>
          </w:tcPr>
          <w:p w14:paraId="2A317BBD">
            <w:pPr>
              <w:widowControl/>
              <w:jc w:val="left"/>
              <w:rPr>
                <w:color w:val="000000"/>
                <w:kern w:val="0"/>
                <w:szCs w:val="21"/>
              </w:rPr>
            </w:pPr>
            <w:r>
              <w:rPr>
                <w:rFonts w:hAnsi="宋体"/>
                <w:color w:val="000000"/>
                <w:kern w:val="0"/>
                <w:szCs w:val="21"/>
              </w:rPr>
              <w:t>对公共资源交易项目响应方不遵守公共资源交易活动规则和公共资源交易平台现场管理制度的处罚</w:t>
            </w:r>
          </w:p>
        </w:tc>
        <w:tc>
          <w:tcPr>
            <w:tcW w:w="706" w:type="dxa"/>
            <w:noWrap w:val="0"/>
            <w:tcMar>
              <w:left w:w="51" w:type="dxa"/>
              <w:right w:w="51" w:type="dxa"/>
            </w:tcMar>
            <w:vAlign w:val="center"/>
          </w:tcPr>
          <w:p w14:paraId="79213F33">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BB75658">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78F858F">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8207679">
            <w:pPr>
              <w:widowControl/>
              <w:jc w:val="left"/>
              <w:rPr>
                <w:b/>
                <w:bCs/>
                <w:color w:val="000000"/>
                <w:kern w:val="0"/>
                <w:szCs w:val="21"/>
              </w:rPr>
            </w:pPr>
            <w:r>
              <w:rPr>
                <w:rFonts w:hAnsi="宋体"/>
                <w:b/>
                <w:bCs/>
                <w:color w:val="000000"/>
                <w:kern w:val="0"/>
                <w:szCs w:val="21"/>
              </w:rPr>
              <w:t>《湖南省公共资源交易监督管理办法》第十七条　</w:t>
            </w:r>
            <w:r>
              <w:rPr>
                <w:rFonts w:hAnsi="宋体"/>
                <w:color w:val="000000"/>
                <w:kern w:val="0"/>
                <w:szCs w:val="21"/>
              </w:rPr>
              <w:t>行政监督部门应当监督公共资源交易项目响应方遵守公共资源交易活动规则和公共资源交易平台现场管理制度。响应方不得有以下行为：</w:t>
            </w:r>
            <w:r>
              <w:rPr>
                <w:color w:val="000000"/>
                <w:kern w:val="0"/>
                <w:szCs w:val="21"/>
              </w:rPr>
              <w:br w:type="textWrapping"/>
            </w:r>
            <w:r>
              <w:rPr>
                <w:rFonts w:hAnsi="宋体"/>
                <w:color w:val="000000"/>
                <w:kern w:val="0"/>
                <w:szCs w:val="21"/>
              </w:rPr>
              <w:t>（一）冒用、借用他人名义交易或者以其他方式弄虚作假骗取项目竞得；</w:t>
            </w:r>
            <w:r>
              <w:rPr>
                <w:color w:val="000000"/>
                <w:kern w:val="0"/>
                <w:szCs w:val="21"/>
              </w:rPr>
              <w:br w:type="textWrapping"/>
            </w:r>
            <w:r>
              <w:rPr>
                <w:rFonts w:hAnsi="宋体"/>
                <w:color w:val="000000"/>
                <w:kern w:val="0"/>
                <w:szCs w:val="21"/>
              </w:rPr>
              <w:t>（二）串通或者通过行贿等违法手段谋取竞得；</w:t>
            </w:r>
            <w:r>
              <w:rPr>
                <w:color w:val="000000"/>
                <w:kern w:val="0"/>
                <w:szCs w:val="21"/>
              </w:rPr>
              <w:br w:type="textWrapping"/>
            </w:r>
            <w:r>
              <w:rPr>
                <w:rFonts w:hAnsi="宋体"/>
                <w:color w:val="000000"/>
                <w:kern w:val="0"/>
                <w:szCs w:val="21"/>
              </w:rPr>
              <w:t>（三）虚假、恶意投诉排挤竞争对手，阻碍公共资源交易活动正常进行；</w:t>
            </w:r>
            <w:r>
              <w:rPr>
                <w:color w:val="000000"/>
                <w:kern w:val="0"/>
                <w:szCs w:val="21"/>
              </w:rPr>
              <w:br w:type="textWrapping"/>
            </w:r>
            <w:r>
              <w:rPr>
                <w:rFonts w:hAnsi="宋体"/>
                <w:color w:val="000000"/>
                <w:kern w:val="0"/>
                <w:szCs w:val="21"/>
              </w:rPr>
              <w:t>（四）其他违反法律、法规、规章的行为。</w:t>
            </w:r>
            <w:r>
              <w:rPr>
                <w:b/>
                <w:bCs/>
                <w:color w:val="000000"/>
                <w:kern w:val="0"/>
                <w:szCs w:val="21"/>
              </w:rPr>
              <w:br w:type="textWrapping"/>
            </w:r>
            <w:r>
              <w:rPr>
                <w:rFonts w:hAnsi="宋体"/>
                <w:b/>
                <w:bCs/>
                <w:color w:val="000000"/>
                <w:kern w:val="0"/>
                <w:szCs w:val="21"/>
              </w:rPr>
              <w:t>第二十七条　</w:t>
            </w:r>
            <w:r>
              <w:rPr>
                <w:rFonts w:hAnsi="宋体"/>
                <w:color w:val="000000"/>
                <w:kern w:val="0"/>
                <w:szCs w:val="21"/>
              </w:rPr>
              <w:t>公共资源交易项目发起方、响应方违反本办法第十六条、第十七条规定的，由相关行政监督部门责令改正；情节严重的，给予警告，可以处</w:t>
            </w:r>
            <w:r>
              <w:rPr>
                <w:color w:val="000000"/>
                <w:kern w:val="0"/>
                <w:szCs w:val="21"/>
              </w:rPr>
              <w:t>10000</w:t>
            </w:r>
            <w:r>
              <w:rPr>
                <w:rFonts w:hAnsi="宋体"/>
                <w:color w:val="000000"/>
                <w:kern w:val="0"/>
                <w:szCs w:val="21"/>
              </w:rPr>
              <w:t>元以上</w:t>
            </w:r>
            <w:r>
              <w:rPr>
                <w:color w:val="000000"/>
                <w:kern w:val="0"/>
                <w:szCs w:val="21"/>
              </w:rPr>
              <w:t>50000</w:t>
            </w:r>
            <w:r>
              <w:rPr>
                <w:rFonts w:hAnsi="宋体"/>
                <w:color w:val="000000"/>
                <w:kern w:val="0"/>
                <w:szCs w:val="21"/>
              </w:rPr>
              <w:t>元以下罚款，依法追究直接负责的主管人员和直接责任人员的责任；构成犯罪的，依法追究刑事责任。</w:t>
            </w:r>
          </w:p>
        </w:tc>
        <w:tc>
          <w:tcPr>
            <w:tcW w:w="411" w:type="dxa"/>
            <w:noWrap/>
            <w:tcMar>
              <w:left w:w="51" w:type="dxa"/>
              <w:right w:w="51" w:type="dxa"/>
            </w:tcMar>
            <w:vAlign w:val="center"/>
          </w:tcPr>
          <w:p w14:paraId="3DE5BAAF">
            <w:pPr>
              <w:widowControl/>
              <w:jc w:val="left"/>
              <w:rPr>
                <w:color w:val="000000"/>
                <w:kern w:val="0"/>
                <w:szCs w:val="21"/>
              </w:rPr>
            </w:pPr>
            <w:r>
              <w:rPr>
                <w:rFonts w:hAnsi="宋体"/>
                <w:color w:val="000000"/>
                <w:kern w:val="0"/>
                <w:szCs w:val="21"/>
              </w:rPr>
              <w:t>　</w:t>
            </w:r>
          </w:p>
        </w:tc>
      </w:tr>
      <w:tr w14:paraId="4421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417" w:type="dxa"/>
            <w:noWrap w:val="0"/>
            <w:tcMar>
              <w:left w:w="51" w:type="dxa"/>
              <w:right w:w="51" w:type="dxa"/>
            </w:tcMar>
            <w:vAlign w:val="center"/>
          </w:tcPr>
          <w:p w14:paraId="2CEB234F">
            <w:pPr>
              <w:widowControl/>
              <w:jc w:val="center"/>
              <w:rPr>
                <w:color w:val="000000"/>
                <w:kern w:val="0"/>
                <w:szCs w:val="21"/>
              </w:rPr>
            </w:pPr>
            <w:r>
              <w:rPr>
                <w:rFonts w:hint="eastAsia"/>
                <w:color w:val="000000"/>
                <w:szCs w:val="21"/>
                <w:lang w:val="en-US" w:eastAsia="zh-CN"/>
              </w:rPr>
              <w:t>6</w:t>
            </w:r>
            <w:r>
              <w:rPr>
                <w:color w:val="000000"/>
                <w:szCs w:val="21"/>
              </w:rPr>
              <w:t>5</w:t>
            </w:r>
          </w:p>
        </w:tc>
        <w:tc>
          <w:tcPr>
            <w:tcW w:w="1834" w:type="dxa"/>
            <w:noWrap w:val="0"/>
            <w:tcMar>
              <w:left w:w="51" w:type="dxa"/>
              <w:right w:w="51" w:type="dxa"/>
            </w:tcMar>
            <w:vAlign w:val="center"/>
          </w:tcPr>
          <w:p w14:paraId="45EFFAC4">
            <w:pPr>
              <w:widowControl/>
              <w:jc w:val="left"/>
              <w:rPr>
                <w:color w:val="000000"/>
                <w:kern w:val="0"/>
                <w:szCs w:val="21"/>
              </w:rPr>
            </w:pPr>
            <w:r>
              <w:rPr>
                <w:rFonts w:hAnsi="宋体"/>
                <w:color w:val="000000"/>
                <w:kern w:val="0"/>
                <w:szCs w:val="21"/>
              </w:rPr>
              <w:t>对公共资源交易中介机构违法参与公共资源交易活动的处罚</w:t>
            </w:r>
          </w:p>
        </w:tc>
        <w:tc>
          <w:tcPr>
            <w:tcW w:w="706" w:type="dxa"/>
            <w:noWrap w:val="0"/>
            <w:tcMar>
              <w:left w:w="51" w:type="dxa"/>
              <w:right w:w="51" w:type="dxa"/>
            </w:tcMar>
            <w:vAlign w:val="center"/>
          </w:tcPr>
          <w:p w14:paraId="11119EC0">
            <w:pPr>
              <w:widowControl/>
              <w:jc w:val="center"/>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D46B912">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5E4FF6E">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D0ECE7C">
            <w:pPr>
              <w:widowControl/>
              <w:jc w:val="left"/>
              <w:rPr>
                <w:b/>
                <w:bCs/>
                <w:color w:val="000000"/>
                <w:kern w:val="0"/>
                <w:szCs w:val="21"/>
              </w:rPr>
            </w:pPr>
            <w:r>
              <w:rPr>
                <w:rFonts w:hAnsi="宋体"/>
                <w:b/>
                <w:bCs/>
                <w:color w:val="000000"/>
                <w:kern w:val="0"/>
                <w:szCs w:val="21"/>
              </w:rPr>
              <w:t>《湖南省公共资源交易监督管理办法》第十八条　</w:t>
            </w:r>
            <w:r>
              <w:rPr>
                <w:rFonts w:hAnsi="宋体"/>
                <w:color w:val="000000"/>
                <w:kern w:val="0"/>
                <w:szCs w:val="21"/>
              </w:rPr>
              <w:t>行政监督部门应当监督公共资源交易中介机构依法参与公共资源交易活动。中介机构不得有以下行为：</w:t>
            </w:r>
            <w:r>
              <w:rPr>
                <w:color w:val="000000"/>
                <w:kern w:val="0"/>
                <w:szCs w:val="21"/>
              </w:rPr>
              <w:br w:type="textWrapping"/>
            </w:r>
            <w:r>
              <w:rPr>
                <w:rFonts w:hAnsi="宋体"/>
                <w:color w:val="000000"/>
                <w:kern w:val="0"/>
                <w:szCs w:val="21"/>
              </w:rPr>
              <w:t>（一）泄露应当保密的与公共资源交易活动有关的情况和资料；</w:t>
            </w:r>
            <w:r>
              <w:rPr>
                <w:color w:val="000000"/>
                <w:kern w:val="0"/>
                <w:szCs w:val="21"/>
              </w:rPr>
              <w:br w:type="textWrapping"/>
            </w:r>
            <w:r>
              <w:rPr>
                <w:rFonts w:hAnsi="宋体"/>
                <w:color w:val="000000"/>
                <w:kern w:val="0"/>
                <w:szCs w:val="21"/>
              </w:rPr>
              <w:t>（二）与公共资源交易项目发起方或者项目响应方串通损害国家利益、社会公共利益或者他人合法权益；</w:t>
            </w:r>
            <w:r>
              <w:rPr>
                <w:color w:val="000000"/>
                <w:kern w:val="0"/>
                <w:szCs w:val="21"/>
              </w:rPr>
              <w:br w:type="textWrapping"/>
            </w:r>
            <w:r>
              <w:rPr>
                <w:rFonts w:hAnsi="宋体"/>
                <w:color w:val="000000"/>
                <w:kern w:val="0"/>
                <w:szCs w:val="21"/>
              </w:rPr>
              <w:t>（三）在交易过程中行贿、接受贿赂或者获取其他不正当利益；</w:t>
            </w:r>
            <w:r>
              <w:rPr>
                <w:color w:val="000000"/>
                <w:kern w:val="0"/>
                <w:szCs w:val="21"/>
              </w:rPr>
              <w:br w:type="textWrapping"/>
            </w:r>
            <w:r>
              <w:rPr>
                <w:rFonts w:hAnsi="宋体"/>
                <w:color w:val="000000"/>
                <w:kern w:val="0"/>
                <w:szCs w:val="21"/>
              </w:rPr>
              <w:t>（四）其他违反法律、法规、规章的行为。</w:t>
            </w:r>
            <w:r>
              <w:rPr>
                <w:b/>
                <w:bCs/>
                <w:color w:val="000000"/>
                <w:kern w:val="0"/>
                <w:szCs w:val="21"/>
              </w:rPr>
              <w:br w:type="textWrapping"/>
            </w:r>
            <w:r>
              <w:rPr>
                <w:rFonts w:hAnsi="宋体"/>
                <w:b/>
                <w:bCs/>
                <w:color w:val="000000"/>
                <w:kern w:val="0"/>
                <w:szCs w:val="21"/>
              </w:rPr>
              <w:t>第二十八条　</w:t>
            </w:r>
            <w:r>
              <w:rPr>
                <w:rFonts w:hAnsi="宋体"/>
                <w:color w:val="000000"/>
                <w:kern w:val="0"/>
                <w:szCs w:val="21"/>
              </w:rPr>
              <w:t>中介机构违反本办法第十八条规定的，由相关行政监督部门责令改正；对交易结果造成实质性影响的，给予警告，无违法所得的，可以处</w:t>
            </w:r>
            <w:r>
              <w:rPr>
                <w:color w:val="000000"/>
                <w:kern w:val="0"/>
                <w:szCs w:val="21"/>
              </w:rPr>
              <w:t>10000</w:t>
            </w:r>
            <w:r>
              <w:rPr>
                <w:rFonts w:hAnsi="宋体"/>
                <w:color w:val="000000"/>
                <w:kern w:val="0"/>
                <w:szCs w:val="21"/>
              </w:rPr>
              <w:t>元以上</w:t>
            </w:r>
            <w:r>
              <w:rPr>
                <w:color w:val="000000"/>
                <w:kern w:val="0"/>
                <w:szCs w:val="21"/>
              </w:rPr>
              <w:t>50000</w:t>
            </w:r>
            <w:r>
              <w:rPr>
                <w:rFonts w:hAnsi="宋体"/>
                <w:color w:val="000000"/>
                <w:kern w:val="0"/>
                <w:szCs w:val="21"/>
              </w:rPr>
              <w:t>元以下罚款，有违法所得的，可以处</w:t>
            </w:r>
            <w:r>
              <w:rPr>
                <w:color w:val="000000"/>
                <w:kern w:val="0"/>
                <w:szCs w:val="21"/>
              </w:rPr>
              <w:t>50000</w:t>
            </w:r>
            <w:r>
              <w:rPr>
                <w:rFonts w:hAnsi="宋体"/>
                <w:color w:val="000000"/>
                <w:kern w:val="0"/>
                <w:szCs w:val="21"/>
              </w:rPr>
              <w:t>元以上</w:t>
            </w:r>
            <w:r>
              <w:rPr>
                <w:color w:val="000000"/>
                <w:kern w:val="0"/>
                <w:szCs w:val="21"/>
              </w:rPr>
              <w:t>150000</w:t>
            </w:r>
            <w:r>
              <w:rPr>
                <w:rFonts w:hAnsi="宋体"/>
                <w:color w:val="000000"/>
                <w:kern w:val="0"/>
                <w:szCs w:val="21"/>
              </w:rPr>
              <w:t>元以下罚款，依法追究直接负责的主管人员和直接责任人员的责任；构成犯罪的，依法追究刑事责任。</w:t>
            </w:r>
          </w:p>
        </w:tc>
        <w:tc>
          <w:tcPr>
            <w:tcW w:w="411" w:type="dxa"/>
            <w:noWrap/>
            <w:tcMar>
              <w:left w:w="51" w:type="dxa"/>
              <w:right w:w="51" w:type="dxa"/>
            </w:tcMar>
            <w:vAlign w:val="center"/>
          </w:tcPr>
          <w:p w14:paraId="5C1EF937">
            <w:pPr>
              <w:widowControl/>
              <w:jc w:val="left"/>
              <w:rPr>
                <w:color w:val="000000"/>
                <w:kern w:val="0"/>
                <w:szCs w:val="21"/>
              </w:rPr>
            </w:pPr>
            <w:r>
              <w:rPr>
                <w:rFonts w:hAnsi="宋体"/>
                <w:color w:val="000000"/>
                <w:kern w:val="0"/>
                <w:szCs w:val="21"/>
              </w:rPr>
              <w:t>　</w:t>
            </w:r>
          </w:p>
        </w:tc>
      </w:tr>
      <w:tr w14:paraId="2911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417" w:type="dxa"/>
            <w:noWrap w:val="0"/>
            <w:tcMar>
              <w:left w:w="51" w:type="dxa"/>
              <w:right w:w="51" w:type="dxa"/>
            </w:tcMar>
            <w:vAlign w:val="center"/>
          </w:tcPr>
          <w:p w14:paraId="3EB5AADE">
            <w:pPr>
              <w:widowControl/>
              <w:jc w:val="center"/>
              <w:rPr>
                <w:color w:val="000000"/>
                <w:kern w:val="0"/>
                <w:szCs w:val="21"/>
              </w:rPr>
            </w:pPr>
            <w:r>
              <w:rPr>
                <w:rFonts w:hint="eastAsia"/>
                <w:color w:val="000000"/>
                <w:szCs w:val="21"/>
                <w:lang w:val="en-US" w:eastAsia="zh-CN"/>
              </w:rPr>
              <w:t>6</w:t>
            </w:r>
            <w:r>
              <w:rPr>
                <w:color w:val="000000"/>
                <w:szCs w:val="21"/>
              </w:rPr>
              <w:t>6</w:t>
            </w:r>
          </w:p>
        </w:tc>
        <w:tc>
          <w:tcPr>
            <w:tcW w:w="1834" w:type="dxa"/>
            <w:noWrap w:val="0"/>
            <w:tcMar>
              <w:left w:w="51" w:type="dxa"/>
              <w:right w:w="51" w:type="dxa"/>
            </w:tcMar>
            <w:vAlign w:val="center"/>
          </w:tcPr>
          <w:p w14:paraId="2FD730A4">
            <w:pPr>
              <w:widowControl/>
              <w:jc w:val="left"/>
              <w:rPr>
                <w:color w:val="000000"/>
                <w:kern w:val="0"/>
                <w:szCs w:val="21"/>
              </w:rPr>
            </w:pPr>
            <w:r>
              <w:rPr>
                <w:rFonts w:hAnsi="宋体"/>
                <w:color w:val="000000"/>
                <w:kern w:val="0"/>
                <w:szCs w:val="21"/>
              </w:rPr>
              <w:t>节能监察和检查</w:t>
            </w:r>
          </w:p>
        </w:tc>
        <w:tc>
          <w:tcPr>
            <w:tcW w:w="706" w:type="dxa"/>
            <w:noWrap w:val="0"/>
            <w:tcMar>
              <w:left w:w="51" w:type="dxa"/>
              <w:right w:w="51" w:type="dxa"/>
            </w:tcMar>
            <w:vAlign w:val="center"/>
          </w:tcPr>
          <w:p w14:paraId="2EF88DA0">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06C22B0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F83CF0D">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0BBC7568">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《中华人民共和国节约能源法》（中华人民共和国主席令〔</w:t>
            </w:r>
            <w:r>
              <w:rPr>
                <w:b/>
                <w:bCs/>
                <w:color w:val="000000"/>
                <w:kern w:val="0"/>
                <w:szCs w:val="21"/>
              </w:rPr>
              <w:t>2018</w:t>
            </w:r>
            <w:r>
              <w:rPr>
                <w:rFonts w:hAnsi="宋体"/>
                <w:b/>
                <w:bCs/>
                <w:color w:val="000000"/>
                <w:kern w:val="0"/>
                <w:szCs w:val="21"/>
              </w:rPr>
              <w:t>〕第</w:t>
            </w:r>
            <w:r>
              <w:rPr>
                <w:b/>
                <w:bCs/>
                <w:color w:val="000000"/>
                <w:kern w:val="0"/>
                <w:szCs w:val="21"/>
              </w:rPr>
              <w:t>16</w:t>
            </w:r>
            <w:r>
              <w:rPr>
                <w:rFonts w:hAnsi="宋体"/>
                <w:b/>
                <w:bCs/>
                <w:color w:val="000000"/>
                <w:kern w:val="0"/>
                <w:szCs w:val="21"/>
              </w:rPr>
              <w:t>号）第十条</w:t>
            </w:r>
            <w:r>
              <w:rPr>
                <w:color w:val="000000"/>
                <w:kern w:val="0"/>
                <w:szCs w:val="21"/>
              </w:rPr>
              <w:t xml:space="preserve">  </w:t>
            </w:r>
            <w:r>
              <w:rPr>
                <w:rFonts w:hAnsi="宋体"/>
                <w:color w:val="000000"/>
                <w:kern w:val="0"/>
                <w:szCs w:val="21"/>
              </w:rPr>
              <w:t>国务院管理节能工作的部门主管全国的节能监督管理工作。国务院有关部门在各自的职责范围内负责节能监督管理工作，并接受国务院管理节能工作的部门的指导。</w:t>
            </w:r>
            <w:r>
              <w:rPr>
                <w:color w:val="000000"/>
                <w:kern w:val="0"/>
                <w:szCs w:val="21"/>
              </w:rPr>
              <w:t xml:space="preserve"> </w:t>
            </w:r>
            <w:r>
              <w:rPr>
                <w:rFonts w:hAnsi="宋体"/>
                <w:color w:val="000000"/>
                <w:kern w:val="0"/>
                <w:szCs w:val="21"/>
              </w:rPr>
              <w:t>县级以上地方各级人民政府管理节能工作的部门负责本行政区域内的节能监督管理工作。县级以上地方各级人民政府有关部门在各自的职责范围内负责节能监督管理工作，并接受同级管理节能工作的部门的指导。第十二条</w:t>
            </w:r>
            <w:r>
              <w:rPr>
                <w:color w:val="000000"/>
                <w:kern w:val="0"/>
                <w:szCs w:val="21"/>
              </w:rPr>
              <w:t xml:space="preserve">  </w:t>
            </w:r>
            <w:r>
              <w:rPr>
                <w:rFonts w:hAnsi="宋体"/>
                <w:color w:val="000000"/>
                <w:kern w:val="0"/>
                <w:szCs w:val="21"/>
              </w:rPr>
              <w:t>县级以上人民政府管理节能工作的部门和有关部门应当在各自的职责范围内，加强对节能法律、法规和节能标准执行情况的监督检查，依法查处违法用能行为。</w:t>
            </w:r>
            <w:r>
              <w:rPr>
                <w:color w:val="000000"/>
                <w:kern w:val="0"/>
                <w:szCs w:val="21"/>
              </w:rPr>
              <w:t xml:space="preserve"> </w:t>
            </w:r>
            <w:r>
              <w:rPr>
                <w:rFonts w:hAnsi="宋体"/>
                <w:color w:val="000000"/>
                <w:kern w:val="0"/>
                <w:szCs w:val="21"/>
              </w:rPr>
              <w:t>履行节能监督管理职责不得向监督管理对象收取费用。</w:t>
            </w:r>
            <w:r>
              <w:rPr>
                <w:color w:val="000000"/>
                <w:kern w:val="0"/>
                <w:szCs w:val="21"/>
              </w:rPr>
              <w:br w:type="textWrapping"/>
            </w:r>
            <w:r>
              <w:rPr>
                <w:b/>
                <w:bCs/>
                <w:color w:val="000000"/>
                <w:kern w:val="0"/>
                <w:szCs w:val="21"/>
              </w:rPr>
              <w:t>2.</w:t>
            </w:r>
            <w:r>
              <w:rPr>
                <w:rFonts w:hAnsi="宋体"/>
                <w:b/>
                <w:bCs/>
                <w:color w:val="000000"/>
                <w:kern w:val="0"/>
                <w:szCs w:val="21"/>
              </w:rPr>
              <w:t>《固定资产投资项目节能审查办法》（国家发展改革委令〔</w:t>
            </w:r>
            <w:r>
              <w:rPr>
                <w:b/>
                <w:bCs/>
                <w:color w:val="000000"/>
                <w:kern w:val="0"/>
                <w:szCs w:val="21"/>
              </w:rPr>
              <w:t>2023</w:t>
            </w:r>
            <w:r>
              <w:rPr>
                <w:rFonts w:hAnsi="宋体"/>
                <w:b/>
                <w:bCs/>
                <w:color w:val="000000"/>
                <w:kern w:val="0"/>
                <w:szCs w:val="21"/>
              </w:rPr>
              <w:t>〕第</w:t>
            </w:r>
            <w:r>
              <w:rPr>
                <w:b/>
                <w:bCs/>
                <w:color w:val="000000"/>
                <w:kern w:val="0"/>
                <w:szCs w:val="21"/>
              </w:rPr>
              <w:t>2</w:t>
            </w:r>
            <w:r>
              <w:rPr>
                <w:rFonts w:hAnsi="宋体"/>
                <w:b/>
                <w:bCs/>
                <w:color w:val="000000"/>
                <w:kern w:val="0"/>
                <w:szCs w:val="21"/>
              </w:rPr>
              <w:t>号）第十九条</w:t>
            </w:r>
            <w:r>
              <w:rPr>
                <w:b/>
                <w:bCs/>
                <w:color w:val="000000"/>
                <w:kern w:val="0"/>
                <w:szCs w:val="21"/>
              </w:rPr>
              <w:t xml:space="preserve">  </w:t>
            </w:r>
            <w:r>
              <w:rPr>
                <w:rFonts w:hAnsi="宋体"/>
                <w:color w:val="000000"/>
                <w:kern w:val="0"/>
                <w:szCs w:val="21"/>
              </w:rPr>
              <w:t>节能审查机关应会同相关行业主管部门强化节能审查事中事后监管，组织对项目节能审查意见落实、节能验收等情况进行监督检查。日常监督检查工作应按照</w:t>
            </w:r>
            <w:r>
              <w:rPr>
                <w:color w:val="000000"/>
                <w:kern w:val="0"/>
                <w:szCs w:val="21"/>
              </w:rPr>
              <w:t>“</w:t>
            </w:r>
            <w:bookmarkStart w:id="0" w:name="_GoBack"/>
            <w:bookmarkEnd w:id="0"/>
            <w:r>
              <w:rPr>
                <w:rFonts w:hAnsi="宋体"/>
                <w:color w:val="000000"/>
                <w:kern w:val="0"/>
                <w:szCs w:val="21"/>
              </w:rPr>
              <w:t>双随机</w:t>
            </w:r>
            <w:r>
              <w:rPr>
                <w:rFonts w:hint="eastAsia" w:hAnsi="宋体"/>
                <w:color w:val="000000"/>
                <w:kern w:val="0"/>
                <w:szCs w:val="21"/>
                <w:lang w:eastAsia="zh-CN"/>
              </w:rPr>
              <w:t>、</w:t>
            </w:r>
            <w:r>
              <w:rPr>
                <w:rFonts w:hAnsi="宋体"/>
                <w:color w:val="000000"/>
                <w:kern w:val="0"/>
                <w:szCs w:val="21"/>
              </w:rPr>
              <w:t>一公开</w:t>
            </w:r>
            <w:r>
              <w:rPr>
                <w:color w:val="000000"/>
                <w:kern w:val="0"/>
                <w:szCs w:val="21"/>
              </w:rPr>
              <w:t>”</w:t>
            </w:r>
            <w:r>
              <w:rPr>
                <w:rFonts w:hAnsi="宋体"/>
                <w:color w:val="000000"/>
                <w:kern w:val="0"/>
                <w:szCs w:val="21"/>
              </w:rPr>
              <w:t>原则开展。</w:t>
            </w:r>
            <w:r>
              <w:rPr>
                <w:rFonts w:hAnsi="宋体"/>
                <w:b/>
                <w:bCs/>
                <w:color w:val="000000"/>
                <w:kern w:val="0"/>
                <w:szCs w:val="21"/>
              </w:rPr>
              <w:t>第二十条</w:t>
            </w:r>
            <w:r>
              <w:rPr>
                <w:b/>
                <w:bCs/>
                <w:color w:val="000000"/>
                <w:kern w:val="0"/>
                <w:szCs w:val="21"/>
              </w:rPr>
              <w:t xml:space="preserve"> </w:t>
            </w:r>
            <w:r>
              <w:rPr>
                <w:color w:val="000000"/>
                <w:kern w:val="0"/>
                <w:szCs w:val="21"/>
              </w:rPr>
              <w:t xml:space="preserve">  </w:t>
            </w:r>
            <w:r>
              <w:rPr>
                <w:rFonts w:hAnsi="宋体"/>
                <w:color w:val="000000"/>
                <w:kern w:val="0"/>
                <w:szCs w:val="21"/>
              </w:rPr>
              <w:t>管理节能工作的部门要依法依规履行节能监督管理职责，将节能审查实施情况作为节能监察的重点内容。各级管理节能工作的部门应加强节能审查信息的统计分析，定期调度已投产项目能源消费、能效水平等情况，作为研判节能形势、开展节能工作的重要参考。</w:t>
            </w:r>
            <w:r>
              <w:rPr>
                <w:color w:val="000000"/>
                <w:kern w:val="0"/>
                <w:szCs w:val="21"/>
              </w:rPr>
              <w:br w:type="textWrapping"/>
            </w:r>
            <w:r>
              <w:rPr>
                <w:b/>
                <w:bCs/>
                <w:color w:val="000000"/>
                <w:kern w:val="0"/>
                <w:szCs w:val="21"/>
              </w:rPr>
              <w:t>3.</w:t>
            </w:r>
            <w:r>
              <w:rPr>
                <w:rFonts w:hAnsi="宋体"/>
                <w:b/>
                <w:bCs/>
                <w:color w:val="000000"/>
                <w:kern w:val="0"/>
                <w:szCs w:val="21"/>
              </w:rPr>
              <w:t>《节能监察办法》（国家发展改革委令〔</w:t>
            </w:r>
            <w:r>
              <w:rPr>
                <w:b/>
                <w:bCs/>
                <w:color w:val="000000"/>
                <w:kern w:val="0"/>
                <w:szCs w:val="21"/>
              </w:rPr>
              <w:t>2016</w:t>
            </w:r>
            <w:r>
              <w:rPr>
                <w:rFonts w:hAnsi="宋体"/>
                <w:b/>
                <w:bCs/>
                <w:color w:val="000000"/>
                <w:kern w:val="0"/>
                <w:szCs w:val="21"/>
              </w:rPr>
              <w:t>〕第</w:t>
            </w:r>
            <w:r>
              <w:rPr>
                <w:b/>
                <w:bCs/>
                <w:color w:val="000000"/>
                <w:kern w:val="0"/>
                <w:szCs w:val="21"/>
              </w:rPr>
              <w:t>33</w:t>
            </w:r>
            <w:r>
              <w:rPr>
                <w:rFonts w:hAnsi="宋体"/>
                <w:b/>
                <w:bCs/>
                <w:color w:val="000000"/>
                <w:kern w:val="0"/>
                <w:szCs w:val="21"/>
              </w:rPr>
              <w:t>号）第三条</w:t>
            </w:r>
            <w:r>
              <w:rPr>
                <w:color w:val="000000"/>
                <w:kern w:val="0"/>
                <w:szCs w:val="21"/>
              </w:rPr>
              <w:t xml:space="preserve">  </w:t>
            </w:r>
            <w:r>
              <w:rPr>
                <w:rFonts w:hAnsi="宋体"/>
                <w:color w:val="000000"/>
                <w:kern w:val="0"/>
                <w:szCs w:val="21"/>
              </w:rPr>
              <w:t>国家发展和改革委员会负责全国节能监察工作的统筹协调和指导。县级以上地方人民政府管理节能工作的部门负责本行政区域内节能监察工作的统筹协调和指导。</w:t>
            </w:r>
          </w:p>
        </w:tc>
        <w:tc>
          <w:tcPr>
            <w:tcW w:w="411" w:type="dxa"/>
            <w:noWrap/>
            <w:tcMar>
              <w:left w:w="51" w:type="dxa"/>
              <w:right w:w="51" w:type="dxa"/>
            </w:tcMar>
            <w:vAlign w:val="center"/>
          </w:tcPr>
          <w:p w14:paraId="01595F7B">
            <w:pPr>
              <w:widowControl/>
              <w:jc w:val="left"/>
              <w:rPr>
                <w:color w:val="000000"/>
                <w:kern w:val="0"/>
                <w:szCs w:val="21"/>
              </w:rPr>
            </w:pPr>
            <w:r>
              <w:rPr>
                <w:rFonts w:hAnsi="宋体"/>
                <w:color w:val="000000"/>
                <w:kern w:val="0"/>
                <w:szCs w:val="21"/>
              </w:rPr>
              <w:t>　</w:t>
            </w:r>
          </w:p>
        </w:tc>
      </w:tr>
      <w:tr w14:paraId="12D4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17" w:type="dxa"/>
            <w:noWrap w:val="0"/>
            <w:tcMar>
              <w:left w:w="51" w:type="dxa"/>
              <w:right w:w="51" w:type="dxa"/>
            </w:tcMar>
            <w:vAlign w:val="center"/>
          </w:tcPr>
          <w:p w14:paraId="0A38D28B">
            <w:pPr>
              <w:widowControl/>
              <w:jc w:val="center"/>
              <w:rPr>
                <w:color w:val="000000"/>
                <w:kern w:val="0"/>
                <w:szCs w:val="21"/>
              </w:rPr>
            </w:pPr>
            <w:r>
              <w:rPr>
                <w:rFonts w:hint="eastAsia"/>
                <w:color w:val="000000"/>
                <w:szCs w:val="21"/>
                <w:lang w:val="en-US" w:eastAsia="zh-CN"/>
              </w:rPr>
              <w:t>6</w:t>
            </w:r>
            <w:r>
              <w:rPr>
                <w:color w:val="000000"/>
                <w:szCs w:val="21"/>
              </w:rPr>
              <w:t>7</w:t>
            </w:r>
          </w:p>
        </w:tc>
        <w:tc>
          <w:tcPr>
            <w:tcW w:w="1834" w:type="dxa"/>
            <w:noWrap w:val="0"/>
            <w:tcMar>
              <w:left w:w="51" w:type="dxa"/>
              <w:right w:w="51" w:type="dxa"/>
            </w:tcMar>
            <w:vAlign w:val="center"/>
          </w:tcPr>
          <w:p w14:paraId="721006C0">
            <w:pPr>
              <w:widowControl/>
              <w:jc w:val="left"/>
              <w:rPr>
                <w:color w:val="000000"/>
                <w:kern w:val="0"/>
                <w:szCs w:val="21"/>
              </w:rPr>
            </w:pPr>
            <w:r>
              <w:rPr>
                <w:rFonts w:hAnsi="宋体"/>
                <w:color w:val="000000"/>
                <w:kern w:val="0"/>
                <w:szCs w:val="21"/>
              </w:rPr>
              <w:t>对工业项目及按规定履行监管职责项目招标投标活动的监督检查</w:t>
            </w:r>
          </w:p>
        </w:tc>
        <w:tc>
          <w:tcPr>
            <w:tcW w:w="706" w:type="dxa"/>
            <w:noWrap w:val="0"/>
            <w:tcMar>
              <w:left w:w="51" w:type="dxa"/>
              <w:right w:w="51" w:type="dxa"/>
            </w:tcMar>
            <w:vAlign w:val="center"/>
          </w:tcPr>
          <w:p w14:paraId="5678A427">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29A14B38">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A59EAEF">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AA72E63">
            <w:pPr>
              <w:widowControl/>
              <w:jc w:val="left"/>
              <w:rPr>
                <w:b/>
                <w:bCs/>
                <w:color w:val="000000"/>
                <w:kern w:val="0"/>
                <w:szCs w:val="21"/>
              </w:rPr>
            </w:pPr>
            <w:r>
              <w:rPr>
                <w:b/>
                <w:bCs/>
                <w:color w:val="000000"/>
                <w:kern w:val="0"/>
                <w:szCs w:val="21"/>
              </w:rPr>
              <w:t>1.</w:t>
            </w:r>
            <w:r>
              <w:rPr>
                <w:rFonts w:hAnsi="宋体"/>
                <w:b/>
                <w:bCs/>
                <w:color w:val="000000"/>
                <w:kern w:val="0"/>
                <w:szCs w:val="21"/>
              </w:rPr>
              <w:t>《中华人民共和国招标投标法》（中华人民共和国主席令〔</w:t>
            </w:r>
            <w:r>
              <w:rPr>
                <w:b/>
                <w:bCs/>
                <w:color w:val="000000"/>
                <w:kern w:val="0"/>
                <w:szCs w:val="21"/>
              </w:rPr>
              <w:t>2017</w:t>
            </w:r>
            <w:r>
              <w:rPr>
                <w:rFonts w:hAnsi="宋体"/>
                <w:b/>
                <w:bCs/>
                <w:color w:val="000000"/>
                <w:kern w:val="0"/>
                <w:szCs w:val="21"/>
              </w:rPr>
              <w:t>〕第</w:t>
            </w:r>
            <w:r>
              <w:rPr>
                <w:b/>
                <w:bCs/>
                <w:color w:val="000000"/>
                <w:kern w:val="0"/>
                <w:szCs w:val="21"/>
              </w:rPr>
              <w:t>86</w:t>
            </w:r>
            <w:r>
              <w:rPr>
                <w:rFonts w:hAnsi="宋体"/>
                <w:b/>
                <w:bCs/>
                <w:color w:val="000000"/>
                <w:kern w:val="0"/>
                <w:szCs w:val="21"/>
              </w:rPr>
              <w:t>号）第七条</w:t>
            </w:r>
            <w:r>
              <w:rPr>
                <w:color w:val="000000"/>
                <w:kern w:val="0"/>
                <w:szCs w:val="21"/>
              </w:rPr>
              <w:t xml:space="preserve">  </w:t>
            </w:r>
            <w:r>
              <w:rPr>
                <w:rFonts w:hAnsi="宋体"/>
                <w:color w:val="000000"/>
                <w:kern w:val="0"/>
                <w:szCs w:val="21"/>
              </w:rPr>
              <w:t>招标投标活动及其当事人应当接受依法实施的监督。</w:t>
            </w:r>
            <w:r>
              <w:rPr>
                <w:color w:val="000000"/>
                <w:kern w:val="0"/>
                <w:szCs w:val="21"/>
              </w:rPr>
              <w:t xml:space="preserve"> </w:t>
            </w:r>
            <w:r>
              <w:rPr>
                <w:rFonts w:hAnsi="宋体"/>
                <w:color w:val="000000"/>
                <w:kern w:val="0"/>
                <w:szCs w:val="21"/>
              </w:rPr>
              <w:t>有关行政监督部门依法对招标投标活动实施监督，依法查处招标投标活动中的违法行为。</w:t>
            </w:r>
            <w:r>
              <w:rPr>
                <w:color w:val="000000"/>
                <w:kern w:val="0"/>
                <w:szCs w:val="21"/>
              </w:rPr>
              <w:t xml:space="preserve"> </w:t>
            </w:r>
            <w:r>
              <w:rPr>
                <w:rFonts w:hAnsi="宋体"/>
                <w:color w:val="000000"/>
                <w:kern w:val="0"/>
                <w:szCs w:val="21"/>
              </w:rPr>
              <w:t>对招标投标活动的行政监督及有关部门的具体职权划分，由国务院规定。</w:t>
            </w:r>
            <w:r>
              <w:rPr>
                <w:color w:val="000000"/>
                <w:kern w:val="0"/>
                <w:szCs w:val="21"/>
              </w:rPr>
              <w:br w:type="textWrapping"/>
            </w:r>
            <w:r>
              <w:rPr>
                <w:b/>
                <w:bCs/>
                <w:color w:val="000000"/>
                <w:kern w:val="0"/>
                <w:szCs w:val="21"/>
              </w:rPr>
              <w:t>2.</w:t>
            </w:r>
            <w:r>
              <w:rPr>
                <w:rFonts w:hAnsi="宋体"/>
                <w:b/>
                <w:bCs/>
                <w:color w:val="000000"/>
                <w:kern w:val="0"/>
                <w:szCs w:val="21"/>
              </w:rPr>
              <w:t>《中华人民共和国招标投标法实施条例》第四条</w:t>
            </w:r>
            <w:r>
              <w:rPr>
                <w:rFonts w:hAnsi="宋体"/>
                <w:color w:val="000000"/>
                <w:kern w:val="0"/>
                <w:szCs w:val="21"/>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color w:val="000000"/>
                <w:kern w:val="0"/>
                <w:szCs w:val="21"/>
              </w:rPr>
              <w:br w:type="textWrapping"/>
            </w:r>
            <w:r>
              <w:rPr>
                <w:rFonts w:hAnsi="宋体"/>
                <w:color w:val="000000"/>
                <w:kern w:val="0"/>
                <w:szCs w:val="21"/>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color w:val="000000"/>
                <w:kern w:val="0"/>
                <w:szCs w:val="21"/>
              </w:rPr>
              <w:br w:type="textWrapping"/>
            </w:r>
            <w:r>
              <w:rPr>
                <w:b/>
                <w:bCs/>
                <w:color w:val="000000"/>
                <w:kern w:val="0"/>
                <w:szCs w:val="21"/>
              </w:rPr>
              <w:t>3.</w:t>
            </w:r>
            <w:r>
              <w:rPr>
                <w:rFonts w:hAnsi="宋体"/>
                <w:b/>
                <w:bCs/>
                <w:color w:val="000000"/>
                <w:kern w:val="0"/>
                <w:szCs w:val="21"/>
              </w:rPr>
              <w:t>《湖南省人民政府办公厅《关于建立健全招标投标监管长效机制规范招标投标活动的意见》（湘政办发〔</w:t>
            </w:r>
            <w:r>
              <w:rPr>
                <w:b/>
                <w:bCs/>
                <w:color w:val="000000"/>
                <w:kern w:val="0"/>
                <w:szCs w:val="21"/>
              </w:rPr>
              <w:t>2021</w:t>
            </w:r>
            <w:r>
              <w:rPr>
                <w:rFonts w:hAnsi="宋体"/>
                <w:b/>
                <w:bCs/>
                <w:color w:val="000000"/>
                <w:kern w:val="0"/>
                <w:szCs w:val="21"/>
              </w:rPr>
              <w:t>〕</w:t>
            </w:r>
            <w:r>
              <w:rPr>
                <w:b/>
                <w:bCs/>
                <w:color w:val="000000"/>
                <w:kern w:val="0"/>
                <w:szCs w:val="21"/>
              </w:rPr>
              <w:t>77</w:t>
            </w:r>
            <w:r>
              <w:rPr>
                <w:rFonts w:hAnsi="宋体"/>
                <w:b/>
                <w:bCs/>
                <w:color w:val="000000"/>
                <w:kern w:val="0"/>
                <w:szCs w:val="21"/>
              </w:rPr>
              <w:t>号）</w:t>
            </w:r>
            <w:r>
              <w:rPr>
                <w:color w:val="000000"/>
                <w:kern w:val="0"/>
                <w:szCs w:val="21"/>
              </w:rPr>
              <w:t xml:space="preserve">  (</w:t>
            </w:r>
            <w:r>
              <w:rPr>
                <w:rFonts w:hAnsi="宋体"/>
                <w:color w:val="000000"/>
                <w:kern w:val="0"/>
                <w:szCs w:val="21"/>
              </w:rPr>
              <w:t>一</w:t>
            </w:r>
            <w:r>
              <w:rPr>
                <w:color w:val="000000"/>
                <w:kern w:val="0"/>
                <w:szCs w:val="21"/>
              </w:rPr>
              <w:t>)</w:t>
            </w:r>
            <w:r>
              <w:rPr>
                <w:rFonts w:hAnsi="宋体"/>
                <w:color w:val="000000"/>
                <w:kern w:val="0"/>
                <w:szCs w:val="21"/>
              </w:rPr>
              <w:t>合理划分招标投标活动监管职责。各级发展改革部门负责指导和协调本行政区域内的招标投标工作，按照职责权限对工业项目</w:t>
            </w:r>
            <w:r>
              <w:rPr>
                <w:color w:val="000000"/>
                <w:kern w:val="0"/>
                <w:szCs w:val="21"/>
              </w:rPr>
              <w:t>(</w:t>
            </w:r>
            <w:r>
              <w:rPr>
                <w:rFonts w:hAnsi="宋体"/>
                <w:color w:val="000000"/>
                <w:kern w:val="0"/>
                <w:szCs w:val="21"/>
              </w:rPr>
              <w:t>含能源</w:t>
            </w:r>
            <w:r>
              <w:rPr>
                <w:color w:val="000000"/>
                <w:kern w:val="0"/>
                <w:szCs w:val="21"/>
              </w:rPr>
              <w:t>)</w:t>
            </w:r>
            <w:r>
              <w:rPr>
                <w:rFonts w:hAnsi="宋体"/>
                <w:color w:val="000000"/>
                <w:kern w:val="0"/>
                <w:szCs w:val="21"/>
              </w:rPr>
              <w:t>、代建单位招标投标实施监督。对没有行业主管部门或确实难以协调明确监管职责的项目，由发展改革部门实施监督和查处违法违规行为，避免出现管理空白和监督缺位。</w:t>
            </w:r>
          </w:p>
        </w:tc>
        <w:tc>
          <w:tcPr>
            <w:tcW w:w="411" w:type="dxa"/>
            <w:noWrap/>
            <w:tcMar>
              <w:left w:w="51" w:type="dxa"/>
              <w:right w:w="51" w:type="dxa"/>
            </w:tcMar>
            <w:vAlign w:val="center"/>
          </w:tcPr>
          <w:p w14:paraId="75AE1CB6">
            <w:pPr>
              <w:widowControl/>
              <w:jc w:val="left"/>
              <w:rPr>
                <w:color w:val="000000"/>
                <w:kern w:val="0"/>
                <w:szCs w:val="21"/>
              </w:rPr>
            </w:pPr>
            <w:r>
              <w:rPr>
                <w:rFonts w:hAnsi="宋体"/>
                <w:color w:val="000000"/>
                <w:kern w:val="0"/>
                <w:szCs w:val="21"/>
              </w:rPr>
              <w:t>　</w:t>
            </w:r>
          </w:p>
        </w:tc>
      </w:tr>
      <w:tr w14:paraId="3396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17" w:type="dxa"/>
            <w:noWrap w:val="0"/>
            <w:tcMar>
              <w:left w:w="51" w:type="dxa"/>
              <w:right w:w="51" w:type="dxa"/>
            </w:tcMar>
            <w:vAlign w:val="center"/>
          </w:tcPr>
          <w:p w14:paraId="2E2D9503">
            <w:pPr>
              <w:widowControl/>
              <w:jc w:val="center"/>
              <w:rPr>
                <w:color w:val="000000"/>
                <w:kern w:val="0"/>
                <w:szCs w:val="21"/>
              </w:rPr>
            </w:pPr>
            <w:r>
              <w:rPr>
                <w:rFonts w:hint="eastAsia"/>
                <w:color w:val="000000"/>
                <w:szCs w:val="21"/>
                <w:lang w:val="en-US" w:eastAsia="zh-CN"/>
              </w:rPr>
              <w:t>6</w:t>
            </w:r>
            <w:r>
              <w:rPr>
                <w:color w:val="000000"/>
                <w:szCs w:val="21"/>
              </w:rPr>
              <w:t>8</w:t>
            </w:r>
          </w:p>
        </w:tc>
        <w:tc>
          <w:tcPr>
            <w:tcW w:w="1834" w:type="dxa"/>
            <w:noWrap w:val="0"/>
            <w:tcMar>
              <w:left w:w="51" w:type="dxa"/>
              <w:right w:w="51" w:type="dxa"/>
            </w:tcMar>
            <w:vAlign w:val="center"/>
          </w:tcPr>
          <w:p w14:paraId="484B6DDA">
            <w:pPr>
              <w:widowControl/>
              <w:jc w:val="left"/>
              <w:rPr>
                <w:color w:val="000000"/>
                <w:kern w:val="0"/>
                <w:szCs w:val="21"/>
              </w:rPr>
            </w:pPr>
            <w:r>
              <w:rPr>
                <w:rFonts w:hAnsi="宋体"/>
                <w:color w:val="000000"/>
                <w:kern w:val="0"/>
                <w:szCs w:val="21"/>
              </w:rPr>
              <w:t>中央投资项目实施情况监督检查</w:t>
            </w:r>
          </w:p>
        </w:tc>
        <w:tc>
          <w:tcPr>
            <w:tcW w:w="706" w:type="dxa"/>
            <w:noWrap w:val="0"/>
            <w:tcMar>
              <w:left w:w="51" w:type="dxa"/>
              <w:right w:w="51" w:type="dxa"/>
            </w:tcMar>
            <w:vAlign w:val="center"/>
          </w:tcPr>
          <w:p w14:paraId="14FCB808">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4BCADC89">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3B7F55C">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3611702B">
            <w:pPr>
              <w:widowControl/>
              <w:jc w:val="left"/>
              <w:rPr>
                <w:b/>
                <w:bCs/>
                <w:color w:val="000000"/>
                <w:kern w:val="0"/>
                <w:szCs w:val="21"/>
              </w:rPr>
            </w:pPr>
            <w:r>
              <w:rPr>
                <w:rFonts w:hAnsi="宋体"/>
                <w:b/>
                <w:bCs/>
                <w:color w:val="000000"/>
                <w:kern w:val="0"/>
                <w:szCs w:val="21"/>
              </w:rPr>
              <w:t>《中央预算内投资项目监督管理办法》（中华人民共和国国家发展和改革委员会令第</w:t>
            </w:r>
            <w:r>
              <w:rPr>
                <w:b/>
                <w:bCs/>
                <w:color w:val="000000"/>
                <w:kern w:val="0"/>
                <w:szCs w:val="21"/>
              </w:rPr>
              <w:t>10</w:t>
            </w:r>
            <w:r>
              <w:rPr>
                <w:rFonts w:hAnsi="宋体"/>
                <w:b/>
                <w:bCs/>
                <w:color w:val="000000"/>
                <w:kern w:val="0"/>
                <w:szCs w:val="21"/>
              </w:rPr>
              <w:t>号）</w:t>
            </w:r>
            <w:r>
              <w:rPr>
                <w:color w:val="000000"/>
                <w:kern w:val="0"/>
                <w:szCs w:val="21"/>
              </w:rPr>
              <w:t xml:space="preserve">   </w:t>
            </w:r>
            <w:r>
              <w:rPr>
                <w:rFonts w:hAnsi="宋体"/>
                <w:b/>
                <w:bCs/>
                <w:color w:val="000000"/>
                <w:kern w:val="0"/>
                <w:szCs w:val="21"/>
              </w:rPr>
              <w:t>第六条</w:t>
            </w:r>
            <w:r>
              <w:rPr>
                <w:b/>
                <w:bCs/>
                <w:color w:val="000000"/>
                <w:kern w:val="0"/>
                <w:szCs w:val="21"/>
              </w:rPr>
              <w:t xml:space="preserve">  </w:t>
            </w:r>
            <w:r>
              <w:rPr>
                <w:color w:val="000000"/>
                <w:szCs w:val="21"/>
                <w:shd w:val="clear" w:color="auto" w:fill="FFFFFF"/>
              </w:rPr>
              <w:t> </w:t>
            </w:r>
            <w:r>
              <w:rPr>
                <w:rFonts w:hAnsi="宋体"/>
                <w:color w:val="000000"/>
                <w:kern w:val="0"/>
                <w:szCs w:val="21"/>
              </w:rPr>
              <w:t>地方各级发展改革部门、有关行业主管部门根据职责分工，对投资项目履行属地监督管理责任，建立健全有关监督管理工作机制，组织实施对本地区投资项目的日常调度、在线监测和监督检查等。</w:t>
            </w:r>
          </w:p>
        </w:tc>
        <w:tc>
          <w:tcPr>
            <w:tcW w:w="411" w:type="dxa"/>
            <w:noWrap/>
            <w:tcMar>
              <w:left w:w="51" w:type="dxa"/>
              <w:right w:w="51" w:type="dxa"/>
            </w:tcMar>
            <w:vAlign w:val="center"/>
          </w:tcPr>
          <w:p w14:paraId="34C8BD2E">
            <w:pPr>
              <w:widowControl/>
              <w:jc w:val="left"/>
              <w:rPr>
                <w:color w:val="000000"/>
                <w:kern w:val="0"/>
                <w:szCs w:val="21"/>
              </w:rPr>
            </w:pPr>
            <w:r>
              <w:rPr>
                <w:rFonts w:hAnsi="宋体"/>
                <w:color w:val="000000"/>
                <w:kern w:val="0"/>
                <w:szCs w:val="21"/>
              </w:rPr>
              <w:t>　</w:t>
            </w:r>
          </w:p>
        </w:tc>
      </w:tr>
      <w:tr w14:paraId="2361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17" w:type="dxa"/>
            <w:noWrap w:val="0"/>
            <w:tcMar>
              <w:left w:w="51" w:type="dxa"/>
              <w:right w:w="51" w:type="dxa"/>
            </w:tcMar>
            <w:vAlign w:val="center"/>
          </w:tcPr>
          <w:p w14:paraId="7ED06F46">
            <w:pPr>
              <w:widowControl/>
              <w:jc w:val="center"/>
              <w:rPr>
                <w:color w:val="000000"/>
                <w:kern w:val="0"/>
                <w:szCs w:val="21"/>
              </w:rPr>
            </w:pPr>
            <w:r>
              <w:rPr>
                <w:rFonts w:hint="eastAsia"/>
                <w:color w:val="000000"/>
                <w:szCs w:val="21"/>
                <w:lang w:val="en-US" w:eastAsia="zh-CN"/>
              </w:rPr>
              <w:t>6</w:t>
            </w:r>
            <w:r>
              <w:rPr>
                <w:color w:val="000000"/>
                <w:szCs w:val="21"/>
              </w:rPr>
              <w:t>9</w:t>
            </w:r>
          </w:p>
        </w:tc>
        <w:tc>
          <w:tcPr>
            <w:tcW w:w="1834" w:type="dxa"/>
            <w:noWrap w:val="0"/>
            <w:tcMar>
              <w:left w:w="51" w:type="dxa"/>
              <w:right w:w="51" w:type="dxa"/>
            </w:tcMar>
            <w:vAlign w:val="center"/>
          </w:tcPr>
          <w:p w14:paraId="59DB3C24">
            <w:pPr>
              <w:widowControl/>
              <w:jc w:val="left"/>
              <w:rPr>
                <w:color w:val="000000"/>
                <w:kern w:val="0"/>
                <w:szCs w:val="21"/>
              </w:rPr>
            </w:pPr>
            <w:r>
              <w:rPr>
                <w:rFonts w:hAnsi="宋体"/>
                <w:color w:val="000000"/>
                <w:kern w:val="0"/>
                <w:szCs w:val="21"/>
              </w:rPr>
              <w:t>对本级政府投资代建项目实施的监督检查</w:t>
            </w:r>
          </w:p>
        </w:tc>
        <w:tc>
          <w:tcPr>
            <w:tcW w:w="706" w:type="dxa"/>
            <w:noWrap w:val="0"/>
            <w:tcMar>
              <w:left w:w="51" w:type="dxa"/>
              <w:right w:w="51" w:type="dxa"/>
            </w:tcMar>
            <w:vAlign w:val="center"/>
          </w:tcPr>
          <w:p w14:paraId="35827CA4">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6C7124E9">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097D5F9">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1F2A718E">
            <w:pPr>
              <w:widowControl/>
              <w:jc w:val="left"/>
              <w:rPr>
                <w:b/>
                <w:bCs/>
                <w:color w:val="000000"/>
                <w:kern w:val="0"/>
                <w:szCs w:val="21"/>
              </w:rPr>
            </w:pPr>
            <w:r>
              <w:rPr>
                <w:rFonts w:hAnsi="宋体"/>
                <w:b/>
                <w:bCs/>
                <w:color w:val="000000"/>
                <w:kern w:val="0"/>
                <w:szCs w:val="21"/>
              </w:rPr>
              <w:t>《湖南省政府投资项目代建制管理办法》（湖南省人民政府令第</w:t>
            </w:r>
            <w:r>
              <w:rPr>
                <w:b/>
                <w:bCs/>
                <w:color w:val="000000"/>
                <w:kern w:val="0"/>
                <w:szCs w:val="21"/>
              </w:rPr>
              <w:t>241</w:t>
            </w:r>
            <w:r>
              <w:rPr>
                <w:rFonts w:hAnsi="宋体"/>
                <w:b/>
                <w:bCs/>
                <w:color w:val="000000"/>
                <w:kern w:val="0"/>
                <w:szCs w:val="21"/>
              </w:rPr>
              <w:t>号）</w:t>
            </w:r>
            <w:r>
              <w:rPr>
                <w:color w:val="000000"/>
                <w:kern w:val="0"/>
                <w:szCs w:val="21"/>
              </w:rPr>
              <w:t xml:space="preserve"> </w:t>
            </w:r>
            <w:r>
              <w:rPr>
                <w:rFonts w:hAnsi="宋体"/>
                <w:b/>
                <w:bCs/>
                <w:color w:val="000000"/>
                <w:kern w:val="0"/>
                <w:szCs w:val="21"/>
              </w:rPr>
              <w:t>第十二条</w:t>
            </w:r>
            <w:r>
              <w:rPr>
                <w:color w:val="000000"/>
                <w:kern w:val="0"/>
                <w:szCs w:val="21"/>
              </w:rPr>
              <w:t xml:space="preserve">  </w:t>
            </w:r>
            <w:r>
              <w:rPr>
                <w:rFonts w:hAnsi="宋体"/>
                <w:color w:val="000000"/>
                <w:kern w:val="0"/>
                <w:szCs w:val="21"/>
              </w:rPr>
              <w:t>发展改革部门可以采取以下方式，加强对政府投资代建制推行的指导、协调和监督管理：（二）参与监督项目工程招标代理机构选择及招标投标活动；（五）监督检查项目实施，制止或者纠正有关违规、违约行为，或者提请有关行政监督部门处理。</w:t>
            </w:r>
          </w:p>
        </w:tc>
        <w:tc>
          <w:tcPr>
            <w:tcW w:w="411" w:type="dxa"/>
            <w:noWrap/>
            <w:tcMar>
              <w:left w:w="51" w:type="dxa"/>
              <w:right w:w="51" w:type="dxa"/>
            </w:tcMar>
            <w:vAlign w:val="center"/>
          </w:tcPr>
          <w:p w14:paraId="56B50247">
            <w:pPr>
              <w:widowControl/>
              <w:jc w:val="left"/>
              <w:rPr>
                <w:color w:val="000000"/>
                <w:kern w:val="0"/>
                <w:szCs w:val="21"/>
              </w:rPr>
            </w:pPr>
            <w:r>
              <w:rPr>
                <w:rFonts w:hAnsi="宋体"/>
                <w:color w:val="000000"/>
                <w:kern w:val="0"/>
                <w:szCs w:val="21"/>
              </w:rPr>
              <w:t>　</w:t>
            </w:r>
          </w:p>
        </w:tc>
      </w:tr>
      <w:tr w14:paraId="0319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417" w:type="dxa"/>
            <w:noWrap w:val="0"/>
            <w:tcMar>
              <w:left w:w="51" w:type="dxa"/>
              <w:right w:w="51" w:type="dxa"/>
            </w:tcMar>
            <w:vAlign w:val="center"/>
          </w:tcPr>
          <w:p w14:paraId="3856BDA9">
            <w:pPr>
              <w:widowControl/>
              <w:jc w:val="center"/>
              <w:rPr>
                <w:color w:val="000000"/>
                <w:kern w:val="0"/>
                <w:szCs w:val="21"/>
              </w:rPr>
            </w:pPr>
            <w:r>
              <w:rPr>
                <w:rFonts w:hint="eastAsia"/>
                <w:color w:val="000000"/>
                <w:szCs w:val="21"/>
                <w:lang w:val="en-US" w:eastAsia="zh-CN"/>
              </w:rPr>
              <w:t>7</w:t>
            </w:r>
            <w:r>
              <w:rPr>
                <w:color w:val="000000"/>
                <w:szCs w:val="21"/>
              </w:rPr>
              <w:t>0</w:t>
            </w:r>
          </w:p>
        </w:tc>
        <w:tc>
          <w:tcPr>
            <w:tcW w:w="1834" w:type="dxa"/>
            <w:noWrap w:val="0"/>
            <w:tcMar>
              <w:left w:w="51" w:type="dxa"/>
              <w:right w:w="51" w:type="dxa"/>
            </w:tcMar>
            <w:vAlign w:val="center"/>
          </w:tcPr>
          <w:p w14:paraId="2733DE2A">
            <w:pPr>
              <w:widowControl/>
              <w:jc w:val="left"/>
              <w:rPr>
                <w:color w:val="000000"/>
                <w:kern w:val="0"/>
                <w:szCs w:val="21"/>
              </w:rPr>
            </w:pPr>
            <w:r>
              <w:rPr>
                <w:rFonts w:hAnsi="宋体"/>
                <w:color w:val="000000"/>
                <w:kern w:val="0"/>
                <w:szCs w:val="21"/>
              </w:rPr>
              <w:t>对招标代理机构的监督检查</w:t>
            </w:r>
          </w:p>
        </w:tc>
        <w:tc>
          <w:tcPr>
            <w:tcW w:w="706" w:type="dxa"/>
            <w:noWrap w:val="0"/>
            <w:tcMar>
              <w:left w:w="51" w:type="dxa"/>
              <w:right w:w="51" w:type="dxa"/>
            </w:tcMar>
            <w:vAlign w:val="center"/>
          </w:tcPr>
          <w:p w14:paraId="7FBBDF10">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2B19C24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EFB14B8">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231E3D6C">
            <w:pPr>
              <w:widowControl/>
              <w:jc w:val="left"/>
              <w:rPr>
                <w:b/>
                <w:bCs/>
                <w:color w:val="000000"/>
                <w:kern w:val="0"/>
                <w:szCs w:val="21"/>
              </w:rPr>
            </w:pPr>
            <w:r>
              <w:rPr>
                <w:rFonts w:hAnsi="宋体"/>
                <w:b/>
                <w:bCs/>
                <w:color w:val="000000"/>
                <w:kern w:val="0"/>
                <w:szCs w:val="21"/>
              </w:rPr>
              <w:t>《湖南省实施</w:t>
            </w:r>
            <w:r>
              <w:rPr>
                <w:b/>
                <w:bCs/>
                <w:color w:val="000000"/>
                <w:kern w:val="0"/>
                <w:szCs w:val="21"/>
              </w:rPr>
              <w:t>&lt;</w:t>
            </w:r>
            <w:r>
              <w:rPr>
                <w:rFonts w:hAnsi="宋体"/>
                <w:b/>
                <w:bCs/>
                <w:color w:val="000000"/>
                <w:kern w:val="0"/>
                <w:szCs w:val="21"/>
              </w:rPr>
              <w:t>中华人民共和国招标投标法</w:t>
            </w:r>
            <w:r>
              <w:rPr>
                <w:b/>
                <w:bCs/>
                <w:color w:val="000000"/>
                <w:kern w:val="0"/>
                <w:szCs w:val="21"/>
              </w:rPr>
              <w:t>&gt;</w:t>
            </w:r>
            <w:r>
              <w:rPr>
                <w:rFonts w:hAnsi="宋体"/>
                <w:b/>
                <w:bCs/>
                <w:color w:val="000000"/>
                <w:kern w:val="0"/>
                <w:szCs w:val="21"/>
              </w:rPr>
              <w:t>办法》第十四条第五款</w:t>
            </w:r>
            <w:r>
              <w:rPr>
                <w:color w:val="000000"/>
                <w:kern w:val="0"/>
                <w:szCs w:val="21"/>
              </w:rPr>
              <w:t xml:space="preserve">  </w:t>
            </w:r>
            <w:r>
              <w:rPr>
                <w:rFonts w:hAnsi="宋体"/>
                <w:color w:val="000000"/>
                <w:kern w:val="0"/>
                <w:szCs w:val="21"/>
              </w:rPr>
              <w:t>招标代理机构应当接受发展计划部门和有关行政监督部门的监督检查。</w:t>
            </w:r>
          </w:p>
        </w:tc>
        <w:tc>
          <w:tcPr>
            <w:tcW w:w="411" w:type="dxa"/>
            <w:noWrap/>
            <w:tcMar>
              <w:left w:w="51" w:type="dxa"/>
              <w:right w:w="51" w:type="dxa"/>
            </w:tcMar>
            <w:vAlign w:val="center"/>
          </w:tcPr>
          <w:p w14:paraId="37FFA8C4">
            <w:pPr>
              <w:widowControl/>
              <w:jc w:val="left"/>
              <w:rPr>
                <w:color w:val="000000"/>
                <w:kern w:val="0"/>
                <w:szCs w:val="21"/>
              </w:rPr>
            </w:pPr>
            <w:r>
              <w:rPr>
                <w:rFonts w:hAnsi="宋体"/>
                <w:color w:val="000000"/>
                <w:kern w:val="0"/>
                <w:szCs w:val="21"/>
              </w:rPr>
              <w:t>　</w:t>
            </w:r>
          </w:p>
        </w:tc>
      </w:tr>
      <w:tr w14:paraId="1FA8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417" w:type="dxa"/>
            <w:noWrap w:val="0"/>
            <w:tcMar>
              <w:left w:w="51" w:type="dxa"/>
              <w:right w:w="51" w:type="dxa"/>
            </w:tcMar>
            <w:vAlign w:val="center"/>
          </w:tcPr>
          <w:p w14:paraId="7A614533">
            <w:pPr>
              <w:widowControl/>
              <w:jc w:val="center"/>
              <w:rPr>
                <w:color w:val="000000"/>
                <w:kern w:val="0"/>
                <w:szCs w:val="21"/>
              </w:rPr>
            </w:pPr>
            <w:r>
              <w:rPr>
                <w:rFonts w:hint="eastAsia"/>
                <w:color w:val="000000"/>
                <w:szCs w:val="21"/>
                <w:lang w:val="en-US" w:eastAsia="zh-CN"/>
              </w:rPr>
              <w:t>7</w:t>
            </w:r>
            <w:r>
              <w:rPr>
                <w:color w:val="000000"/>
                <w:szCs w:val="21"/>
              </w:rPr>
              <w:t>1</w:t>
            </w:r>
          </w:p>
        </w:tc>
        <w:tc>
          <w:tcPr>
            <w:tcW w:w="1834" w:type="dxa"/>
            <w:noWrap w:val="0"/>
            <w:tcMar>
              <w:left w:w="51" w:type="dxa"/>
              <w:right w:w="51" w:type="dxa"/>
            </w:tcMar>
            <w:vAlign w:val="center"/>
          </w:tcPr>
          <w:p w14:paraId="603921FF">
            <w:pPr>
              <w:widowControl/>
              <w:jc w:val="left"/>
              <w:rPr>
                <w:color w:val="000000"/>
                <w:kern w:val="0"/>
                <w:szCs w:val="21"/>
              </w:rPr>
            </w:pPr>
            <w:r>
              <w:rPr>
                <w:rFonts w:hAnsi="宋体"/>
                <w:color w:val="000000"/>
                <w:kern w:val="0"/>
                <w:szCs w:val="21"/>
              </w:rPr>
              <w:t>油气长输管道保护检查</w:t>
            </w:r>
          </w:p>
        </w:tc>
        <w:tc>
          <w:tcPr>
            <w:tcW w:w="706" w:type="dxa"/>
            <w:noWrap w:val="0"/>
            <w:tcMar>
              <w:left w:w="51" w:type="dxa"/>
              <w:right w:w="51" w:type="dxa"/>
            </w:tcMar>
            <w:vAlign w:val="center"/>
          </w:tcPr>
          <w:p w14:paraId="5775224D">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2B661931">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B846007">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722F7422">
            <w:pPr>
              <w:widowControl/>
              <w:jc w:val="left"/>
              <w:rPr>
                <w:b/>
                <w:bCs/>
                <w:color w:val="000000"/>
                <w:kern w:val="0"/>
                <w:szCs w:val="21"/>
              </w:rPr>
            </w:pPr>
            <w:r>
              <w:rPr>
                <w:rFonts w:hAnsi="宋体"/>
                <w:b/>
                <w:bCs/>
                <w:color w:val="000000"/>
                <w:kern w:val="0"/>
                <w:szCs w:val="21"/>
              </w:rPr>
              <w:t>《中华人民共和国石油天然气管道保护法》第四条</w:t>
            </w:r>
            <w:r>
              <w:rPr>
                <w:color w:val="000000"/>
                <w:kern w:val="0"/>
                <w:szCs w:val="21"/>
              </w:rPr>
              <w:t xml:space="preserve">  </w:t>
            </w:r>
            <w:r>
              <w:rPr>
                <w:rFonts w:hAnsi="宋体"/>
                <w:color w:val="000000"/>
                <w:kern w:val="0"/>
                <w:szCs w:val="21"/>
              </w:rPr>
              <w:t>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w:t>
            </w:r>
            <w:r>
              <w:rPr>
                <w:rFonts w:hAnsi="宋体"/>
                <w:b/>
                <w:bCs/>
                <w:color w:val="000000"/>
                <w:kern w:val="0"/>
                <w:szCs w:val="21"/>
              </w:rPr>
              <w:t>第五条</w:t>
            </w:r>
            <w:r>
              <w:rPr>
                <w:color w:val="000000"/>
                <w:kern w:val="0"/>
                <w:szCs w:val="21"/>
              </w:rPr>
              <w:t xml:space="preserve">  </w:t>
            </w:r>
            <w:r>
              <w:rPr>
                <w:rFonts w:hAnsi="宋体"/>
                <w:color w:val="000000"/>
                <w:kern w:val="0"/>
                <w:szCs w:val="21"/>
              </w:rPr>
              <w:t>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省、自治区、直辖市人民政府能源主管部门和设区的市级、县级人民政府指定的部门，统称县级以上地方人民政府主管管道保护工作的部门。第六条</w:t>
            </w:r>
            <w:r>
              <w:rPr>
                <w:color w:val="000000"/>
                <w:kern w:val="0"/>
                <w:szCs w:val="21"/>
              </w:rPr>
              <w:t xml:space="preserve"> </w:t>
            </w:r>
            <w:r>
              <w:rPr>
                <w:rFonts w:hAnsi="宋体"/>
                <w:color w:val="000000"/>
                <w:kern w:val="0"/>
                <w:szCs w:val="21"/>
              </w:rPr>
              <w:t>县级以上地方人民政府应当加强对本行政区域管道保护工作的领导，督促、检查有关部门依法履行管道保护职责，组织排除管道的重大外部安全隐患。</w:t>
            </w:r>
          </w:p>
        </w:tc>
        <w:tc>
          <w:tcPr>
            <w:tcW w:w="411" w:type="dxa"/>
            <w:noWrap/>
            <w:tcMar>
              <w:left w:w="51" w:type="dxa"/>
              <w:right w:w="51" w:type="dxa"/>
            </w:tcMar>
            <w:vAlign w:val="center"/>
          </w:tcPr>
          <w:p w14:paraId="7E509389">
            <w:pPr>
              <w:widowControl/>
              <w:jc w:val="left"/>
              <w:rPr>
                <w:color w:val="000000"/>
                <w:kern w:val="0"/>
                <w:szCs w:val="21"/>
              </w:rPr>
            </w:pPr>
            <w:r>
              <w:rPr>
                <w:rFonts w:hAnsi="宋体"/>
                <w:color w:val="000000"/>
                <w:kern w:val="0"/>
                <w:szCs w:val="21"/>
              </w:rPr>
              <w:t>　</w:t>
            </w:r>
          </w:p>
        </w:tc>
      </w:tr>
      <w:tr w14:paraId="0C5E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417" w:type="dxa"/>
            <w:noWrap w:val="0"/>
            <w:tcMar>
              <w:left w:w="51" w:type="dxa"/>
              <w:right w:w="51" w:type="dxa"/>
            </w:tcMar>
            <w:vAlign w:val="center"/>
          </w:tcPr>
          <w:p w14:paraId="143AE3AF">
            <w:pPr>
              <w:widowControl/>
              <w:jc w:val="center"/>
              <w:rPr>
                <w:color w:val="000000"/>
                <w:kern w:val="0"/>
                <w:szCs w:val="21"/>
              </w:rPr>
            </w:pPr>
            <w:r>
              <w:rPr>
                <w:rFonts w:hint="eastAsia"/>
                <w:color w:val="000000"/>
                <w:kern w:val="0"/>
                <w:szCs w:val="21"/>
                <w:lang w:val="en-US" w:eastAsia="zh-CN"/>
              </w:rPr>
              <w:t>7</w:t>
            </w:r>
            <w:r>
              <w:rPr>
                <w:color w:val="000000"/>
                <w:kern w:val="0"/>
                <w:szCs w:val="21"/>
              </w:rPr>
              <w:t>2</w:t>
            </w:r>
          </w:p>
        </w:tc>
        <w:tc>
          <w:tcPr>
            <w:tcW w:w="1834" w:type="dxa"/>
            <w:noWrap w:val="0"/>
            <w:tcMar>
              <w:left w:w="51" w:type="dxa"/>
              <w:right w:w="51" w:type="dxa"/>
            </w:tcMar>
            <w:vAlign w:val="center"/>
          </w:tcPr>
          <w:p w14:paraId="22CBB0AC">
            <w:pPr>
              <w:widowControl/>
              <w:jc w:val="left"/>
              <w:rPr>
                <w:color w:val="000000"/>
                <w:kern w:val="0"/>
                <w:szCs w:val="21"/>
              </w:rPr>
            </w:pPr>
            <w:r>
              <w:rPr>
                <w:rFonts w:hAnsi="宋体"/>
                <w:color w:val="000000"/>
                <w:kern w:val="0"/>
                <w:szCs w:val="21"/>
              </w:rPr>
              <w:t>对企业投资项目的监督检查</w:t>
            </w:r>
          </w:p>
        </w:tc>
        <w:tc>
          <w:tcPr>
            <w:tcW w:w="706" w:type="dxa"/>
            <w:noWrap w:val="0"/>
            <w:tcMar>
              <w:left w:w="51" w:type="dxa"/>
              <w:right w:w="51" w:type="dxa"/>
            </w:tcMar>
            <w:vAlign w:val="center"/>
          </w:tcPr>
          <w:p w14:paraId="7331AAC8">
            <w:pPr>
              <w:widowControl/>
              <w:jc w:val="center"/>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440EB901">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1E791F3">
            <w:pPr>
              <w:widowControl/>
              <w:jc w:val="center"/>
              <w:rPr>
                <w:color w:val="000000"/>
                <w:kern w:val="0"/>
                <w:szCs w:val="21"/>
                <w:highlight w:val="none"/>
              </w:rPr>
            </w:pPr>
            <w:r>
              <w:rPr>
                <w:rFonts w:hint="eastAsia" w:hAnsi="宋体"/>
                <w:color w:val="000000"/>
                <w:kern w:val="0"/>
                <w:szCs w:val="21"/>
                <w:highlight w:val="none"/>
                <w:lang w:val="en-US" w:eastAsia="zh-CN"/>
              </w:rPr>
              <w:t>投资股</w:t>
            </w:r>
          </w:p>
        </w:tc>
        <w:tc>
          <w:tcPr>
            <w:tcW w:w="9611" w:type="dxa"/>
            <w:noWrap w:val="0"/>
            <w:tcMar>
              <w:left w:w="51" w:type="dxa"/>
              <w:right w:w="51" w:type="dxa"/>
            </w:tcMar>
            <w:vAlign w:val="center"/>
          </w:tcPr>
          <w:p w14:paraId="51177F20">
            <w:pPr>
              <w:widowControl/>
              <w:jc w:val="left"/>
              <w:rPr>
                <w:b/>
                <w:bCs/>
                <w:color w:val="000000"/>
                <w:kern w:val="0"/>
                <w:szCs w:val="21"/>
              </w:rPr>
            </w:pPr>
            <w:r>
              <w:rPr>
                <w:rFonts w:hAnsi="宋体"/>
                <w:b/>
                <w:bCs/>
                <w:color w:val="000000"/>
                <w:kern w:val="0"/>
                <w:szCs w:val="21"/>
              </w:rPr>
              <w:t>《企业投资项目核准和备案管理条例》（中华人民共和国国务院令〔</w:t>
            </w:r>
            <w:r>
              <w:rPr>
                <w:b/>
                <w:bCs/>
                <w:color w:val="000000"/>
                <w:kern w:val="0"/>
                <w:szCs w:val="21"/>
              </w:rPr>
              <w:t>2016</w:t>
            </w:r>
            <w:r>
              <w:rPr>
                <w:rFonts w:hAnsi="宋体"/>
                <w:b/>
                <w:bCs/>
                <w:color w:val="000000"/>
                <w:kern w:val="0"/>
                <w:szCs w:val="21"/>
              </w:rPr>
              <w:t>〕第</w:t>
            </w:r>
            <w:r>
              <w:rPr>
                <w:b/>
                <w:bCs/>
                <w:color w:val="000000"/>
                <w:kern w:val="0"/>
                <w:szCs w:val="21"/>
              </w:rPr>
              <w:t>673</w:t>
            </w:r>
            <w:r>
              <w:rPr>
                <w:rFonts w:hAnsi="宋体"/>
                <w:b/>
                <w:bCs/>
                <w:color w:val="000000"/>
                <w:kern w:val="0"/>
                <w:szCs w:val="21"/>
              </w:rPr>
              <w:t>号）第十六条</w:t>
            </w:r>
            <w:r>
              <w:rPr>
                <w:b/>
                <w:bCs/>
                <w:color w:val="000000"/>
                <w:kern w:val="0"/>
                <w:szCs w:val="21"/>
              </w:rPr>
              <w:t xml:space="preserve">  </w:t>
            </w:r>
            <w:r>
              <w:rPr>
                <w:rFonts w:hAnsi="宋体"/>
                <w:color w:val="000000"/>
                <w:kern w:val="0"/>
                <w:szCs w:val="21"/>
              </w:rPr>
              <w:t>核准机关、备案机关以及依法对项目负有监督管理职责的其他有关部门应当加强事中事后监管，按照谁审批谁监管、谁主管谁监管的原则，落实监管责任，采取在线监测、现场核查等方式，加强对项目实施的监督检查。企业应当通过在线平台如实报送项目开工建设、建设进度、竣工的基本信息。</w:t>
            </w:r>
          </w:p>
        </w:tc>
        <w:tc>
          <w:tcPr>
            <w:tcW w:w="411" w:type="dxa"/>
            <w:noWrap/>
            <w:tcMar>
              <w:left w:w="51" w:type="dxa"/>
              <w:right w:w="51" w:type="dxa"/>
            </w:tcMar>
            <w:vAlign w:val="center"/>
          </w:tcPr>
          <w:p w14:paraId="6D829E32">
            <w:pPr>
              <w:widowControl/>
              <w:jc w:val="left"/>
              <w:rPr>
                <w:color w:val="000000"/>
                <w:kern w:val="0"/>
                <w:szCs w:val="21"/>
              </w:rPr>
            </w:pPr>
            <w:r>
              <w:rPr>
                <w:rFonts w:hAnsi="宋体"/>
                <w:color w:val="000000"/>
                <w:kern w:val="0"/>
                <w:szCs w:val="21"/>
              </w:rPr>
              <w:t>　</w:t>
            </w:r>
          </w:p>
        </w:tc>
      </w:tr>
      <w:tr w14:paraId="2FC6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417" w:type="dxa"/>
            <w:noWrap w:val="0"/>
            <w:tcMar>
              <w:left w:w="51" w:type="dxa"/>
              <w:right w:w="51" w:type="dxa"/>
            </w:tcMar>
            <w:vAlign w:val="center"/>
          </w:tcPr>
          <w:p w14:paraId="59724493">
            <w:pPr>
              <w:widowControl/>
              <w:jc w:val="center"/>
              <w:rPr>
                <w:color w:val="000000"/>
                <w:kern w:val="0"/>
                <w:szCs w:val="21"/>
              </w:rPr>
            </w:pPr>
            <w:r>
              <w:rPr>
                <w:rFonts w:hint="eastAsia"/>
                <w:color w:val="000000"/>
                <w:szCs w:val="21"/>
                <w:lang w:val="en-US" w:eastAsia="zh-CN"/>
              </w:rPr>
              <w:t>7</w:t>
            </w:r>
            <w:r>
              <w:rPr>
                <w:color w:val="000000"/>
                <w:szCs w:val="21"/>
              </w:rPr>
              <w:t>3</w:t>
            </w:r>
          </w:p>
        </w:tc>
        <w:tc>
          <w:tcPr>
            <w:tcW w:w="1834" w:type="dxa"/>
            <w:noWrap w:val="0"/>
            <w:tcMar>
              <w:left w:w="51" w:type="dxa"/>
              <w:right w:w="51" w:type="dxa"/>
            </w:tcMar>
            <w:vAlign w:val="center"/>
          </w:tcPr>
          <w:p w14:paraId="54957278">
            <w:pPr>
              <w:widowControl/>
              <w:jc w:val="left"/>
              <w:rPr>
                <w:color w:val="000000"/>
                <w:kern w:val="0"/>
                <w:szCs w:val="21"/>
              </w:rPr>
            </w:pPr>
            <w:r>
              <w:rPr>
                <w:rFonts w:hAnsi="宋体"/>
                <w:color w:val="000000"/>
                <w:kern w:val="0"/>
                <w:szCs w:val="21"/>
              </w:rPr>
              <w:t>对粮食经营者从事粮食收购、储存、运输活动和政策性粮食的购销活动，以及执行国家粮食流通统计制度情况的监督检查</w:t>
            </w:r>
          </w:p>
        </w:tc>
        <w:tc>
          <w:tcPr>
            <w:tcW w:w="706" w:type="dxa"/>
            <w:noWrap w:val="0"/>
            <w:tcMar>
              <w:left w:w="51" w:type="dxa"/>
              <w:right w:w="51" w:type="dxa"/>
            </w:tcMar>
            <w:vAlign w:val="center"/>
          </w:tcPr>
          <w:p w14:paraId="278B2903">
            <w:pPr>
              <w:widowControl/>
              <w:jc w:val="left"/>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6108689F">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10578E4">
            <w:pPr>
              <w:widowControl/>
              <w:jc w:val="center"/>
              <w:rPr>
                <w:rFonts w:hint="default" w:eastAsia="宋体"/>
                <w:color w:val="000000"/>
                <w:kern w:val="0"/>
                <w:szCs w:val="21"/>
                <w:highlight w:val="none"/>
                <w:lang w:val="en-US" w:eastAsia="zh-CN"/>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32E44D3">
            <w:pPr>
              <w:widowControl/>
              <w:jc w:val="left"/>
              <w:rPr>
                <w:color w:val="000000"/>
                <w:kern w:val="0"/>
                <w:szCs w:val="21"/>
              </w:rPr>
            </w:pPr>
            <w:r>
              <w:rPr>
                <w:rFonts w:hAnsi="宋体"/>
                <w:b/>
                <w:bCs/>
                <w:color w:val="000000"/>
                <w:kern w:val="0"/>
                <w:szCs w:val="21"/>
              </w:rPr>
              <w:t>《粮食流通管理条例》第三十八条</w:t>
            </w:r>
            <w:r>
              <w:rPr>
                <w:b/>
                <w:bCs/>
                <w:color w:val="000000"/>
                <w:kern w:val="0"/>
                <w:szCs w:val="21"/>
              </w:rPr>
              <w:t xml:space="preserve"> </w:t>
            </w:r>
            <w:r>
              <w:rPr>
                <w:rFonts w:hAnsi="宋体"/>
                <w:color w:val="000000"/>
                <w:kern w:val="0"/>
                <w:szCs w:val="21"/>
              </w:rPr>
              <w:t>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411" w:type="dxa"/>
            <w:noWrap/>
            <w:tcMar>
              <w:left w:w="51" w:type="dxa"/>
              <w:right w:w="51" w:type="dxa"/>
            </w:tcMar>
            <w:vAlign w:val="center"/>
          </w:tcPr>
          <w:p w14:paraId="31291881">
            <w:pPr>
              <w:widowControl/>
              <w:jc w:val="left"/>
              <w:rPr>
                <w:color w:val="000000"/>
                <w:kern w:val="0"/>
                <w:szCs w:val="21"/>
              </w:rPr>
            </w:pPr>
          </w:p>
        </w:tc>
      </w:tr>
      <w:tr w14:paraId="0715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417" w:type="dxa"/>
            <w:noWrap w:val="0"/>
            <w:tcMar>
              <w:left w:w="51" w:type="dxa"/>
              <w:right w:w="51" w:type="dxa"/>
            </w:tcMar>
            <w:vAlign w:val="center"/>
          </w:tcPr>
          <w:p w14:paraId="48C0BEE4">
            <w:pPr>
              <w:widowControl/>
              <w:jc w:val="center"/>
              <w:rPr>
                <w:color w:val="000000"/>
                <w:szCs w:val="21"/>
              </w:rPr>
            </w:pPr>
            <w:r>
              <w:rPr>
                <w:rFonts w:hint="eastAsia"/>
                <w:color w:val="000000"/>
                <w:szCs w:val="21"/>
                <w:lang w:val="en-US" w:eastAsia="zh-CN"/>
              </w:rPr>
              <w:t>7</w:t>
            </w:r>
            <w:r>
              <w:rPr>
                <w:color w:val="000000"/>
                <w:szCs w:val="21"/>
              </w:rPr>
              <w:t>4</w:t>
            </w:r>
          </w:p>
        </w:tc>
        <w:tc>
          <w:tcPr>
            <w:tcW w:w="1834" w:type="dxa"/>
            <w:noWrap w:val="0"/>
            <w:tcMar>
              <w:left w:w="51" w:type="dxa"/>
              <w:right w:w="51" w:type="dxa"/>
            </w:tcMar>
            <w:vAlign w:val="center"/>
          </w:tcPr>
          <w:p w14:paraId="3497FC2E">
            <w:pPr>
              <w:widowControl/>
              <w:jc w:val="left"/>
              <w:rPr>
                <w:color w:val="000000"/>
                <w:kern w:val="0"/>
                <w:szCs w:val="21"/>
              </w:rPr>
            </w:pPr>
            <w:r>
              <w:rPr>
                <w:rFonts w:hAnsi="宋体"/>
                <w:color w:val="000000"/>
                <w:kern w:val="0"/>
                <w:szCs w:val="21"/>
              </w:rPr>
              <w:t>对粮食收购、储存、运输活动和政策性粮食购销活动中的质量安全状况的监督检查</w:t>
            </w:r>
          </w:p>
        </w:tc>
        <w:tc>
          <w:tcPr>
            <w:tcW w:w="706" w:type="dxa"/>
            <w:noWrap w:val="0"/>
            <w:tcMar>
              <w:left w:w="51" w:type="dxa"/>
              <w:right w:w="51" w:type="dxa"/>
            </w:tcMar>
            <w:vAlign w:val="center"/>
          </w:tcPr>
          <w:p w14:paraId="7D7E936B">
            <w:pPr>
              <w:widowControl/>
              <w:jc w:val="left"/>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33814622">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102BFE8">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2F9739C1">
            <w:pPr>
              <w:widowControl/>
              <w:jc w:val="left"/>
              <w:rPr>
                <w:color w:val="000000"/>
                <w:kern w:val="0"/>
                <w:szCs w:val="21"/>
              </w:rPr>
            </w:pPr>
            <w:r>
              <w:rPr>
                <w:rFonts w:hAnsi="宋体"/>
                <w:b/>
                <w:bCs/>
                <w:color w:val="000000"/>
                <w:kern w:val="0"/>
                <w:szCs w:val="21"/>
              </w:rPr>
              <w:t>《粮食质量安全监管办法》第三十七条</w:t>
            </w:r>
            <w:r>
              <w:rPr>
                <w:color w:val="000000"/>
                <w:kern w:val="0"/>
                <w:szCs w:val="21"/>
              </w:rPr>
              <w:t xml:space="preserve"> </w:t>
            </w:r>
            <w:r>
              <w:rPr>
                <w:rFonts w:hAnsi="宋体"/>
                <w:color w:val="000000"/>
                <w:kern w:val="0"/>
                <w:szCs w:val="21"/>
              </w:rPr>
              <w:t>县级以上粮食和储备行政管理部门依法依规依职责对粮食经营者进行质量安全监督管理，制定粮食质量安全监督抽查计划，采用普查、随机抽查、巡查、重点检查、交叉检查、提级查办等方式，对本行政区域内收购、储存、运输活动和政策性粮食购销活动中的质量安全状况实施监督抽查。</w:t>
            </w:r>
          </w:p>
        </w:tc>
        <w:tc>
          <w:tcPr>
            <w:tcW w:w="411" w:type="dxa"/>
            <w:noWrap/>
            <w:tcMar>
              <w:left w:w="51" w:type="dxa"/>
              <w:right w:w="51" w:type="dxa"/>
            </w:tcMar>
            <w:vAlign w:val="center"/>
          </w:tcPr>
          <w:p w14:paraId="10D0D6CF">
            <w:pPr>
              <w:widowControl/>
              <w:jc w:val="left"/>
              <w:rPr>
                <w:color w:val="000000"/>
                <w:kern w:val="0"/>
                <w:szCs w:val="21"/>
              </w:rPr>
            </w:pPr>
          </w:p>
        </w:tc>
      </w:tr>
      <w:tr w14:paraId="2799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17" w:type="dxa"/>
            <w:noWrap w:val="0"/>
            <w:tcMar>
              <w:left w:w="51" w:type="dxa"/>
              <w:right w:w="51" w:type="dxa"/>
            </w:tcMar>
            <w:vAlign w:val="center"/>
          </w:tcPr>
          <w:p w14:paraId="184F78A5">
            <w:pPr>
              <w:widowControl/>
              <w:jc w:val="center"/>
              <w:rPr>
                <w:color w:val="000000"/>
                <w:szCs w:val="21"/>
              </w:rPr>
            </w:pPr>
            <w:r>
              <w:rPr>
                <w:rFonts w:hint="eastAsia"/>
                <w:color w:val="000000"/>
                <w:szCs w:val="21"/>
                <w:lang w:val="en-US" w:eastAsia="zh-CN"/>
              </w:rPr>
              <w:t>7</w:t>
            </w:r>
            <w:r>
              <w:rPr>
                <w:color w:val="000000"/>
                <w:szCs w:val="21"/>
              </w:rPr>
              <w:t>5</w:t>
            </w:r>
          </w:p>
        </w:tc>
        <w:tc>
          <w:tcPr>
            <w:tcW w:w="1834" w:type="dxa"/>
            <w:noWrap w:val="0"/>
            <w:tcMar>
              <w:left w:w="51" w:type="dxa"/>
              <w:right w:w="51" w:type="dxa"/>
            </w:tcMar>
            <w:vAlign w:val="center"/>
          </w:tcPr>
          <w:p w14:paraId="2F316AF1">
            <w:pPr>
              <w:widowControl/>
              <w:jc w:val="left"/>
              <w:rPr>
                <w:color w:val="000000"/>
                <w:kern w:val="0"/>
                <w:szCs w:val="21"/>
              </w:rPr>
            </w:pPr>
            <w:r>
              <w:rPr>
                <w:rFonts w:hAnsi="宋体"/>
                <w:color w:val="000000"/>
                <w:kern w:val="0"/>
                <w:szCs w:val="21"/>
              </w:rPr>
              <w:t>对地方储备粮管理情况的监督检查</w:t>
            </w:r>
          </w:p>
        </w:tc>
        <w:tc>
          <w:tcPr>
            <w:tcW w:w="706" w:type="dxa"/>
            <w:noWrap w:val="0"/>
            <w:tcMar>
              <w:left w:w="51" w:type="dxa"/>
              <w:right w:w="51" w:type="dxa"/>
            </w:tcMar>
            <w:vAlign w:val="center"/>
          </w:tcPr>
          <w:p w14:paraId="4E199F38">
            <w:pPr>
              <w:widowControl/>
              <w:jc w:val="left"/>
              <w:rPr>
                <w:color w:val="000000"/>
                <w:kern w:val="0"/>
                <w:szCs w:val="21"/>
              </w:rPr>
            </w:pPr>
            <w:r>
              <w:rPr>
                <w:rFonts w:hAnsi="宋体"/>
                <w:color w:val="000000"/>
                <w:kern w:val="0"/>
                <w:szCs w:val="21"/>
              </w:rPr>
              <w:t>行政检查</w:t>
            </w:r>
          </w:p>
        </w:tc>
        <w:tc>
          <w:tcPr>
            <w:tcW w:w="1174" w:type="dxa"/>
            <w:noWrap w:val="0"/>
            <w:tcMar>
              <w:left w:w="51" w:type="dxa"/>
              <w:right w:w="51" w:type="dxa"/>
            </w:tcMar>
            <w:vAlign w:val="center"/>
          </w:tcPr>
          <w:p w14:paraId="79D7569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4F0CE1F">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92D945D">
            <w:pPr>
              <w:widowControl/>
              <w:jc w:val="left"/>
              <w:rPr>
                <w:color w:val="000000"/>
                <w:kern w:val="0"/>
                <w:szCs w:val="21"/>
              </w:rPr>
            </w:pPr>
            <w:r>
              <w:rPr>
                <w:rFonts w:hAnsi="宋体"/>
                <w:b/>
                <w:bCs/>
                <w:color w:val="000000"/>
                <w:kern w:val="0"/>
                <w:szCs w:val="21"/>
              </w:rPr>
              <w:t>《湖南省地方储备粮管理办法》第三十八条</w:t>
            </w:r>
            <w:r>
              <w:rPr>
                <w:color w:val="000000"/>
                <w:kern w:val="0"/>
                <w:szCs w:val="21"/>
              </w:rPr>
              <w:t xml:space="preserve"> </w:t>
            </w:r>
            <w:r>
              <w:rPr>
                <w:rFonts w:hAnsi="宋体"/>
                <w:color w:val="000000"/>
                <w:kern w:val="0"/>
                <w:szCs w:val="21"/>
              </w:rPr>
              <w:t>县级以上人民政府粮食和储备行政管理部门应当对地方储备粮管理情况进行定期或者不定期监督检查和年度考核。</w:t>
            </w:r>
          </w:p>
        </w:tc>
        <w:tc>
          <w:tcPr>
            <w:tcW w:w="411" w:type="dxa"/>
            <w:noWrap/>
            <w:tcMar>
              <w:left w:w="51" w:type="dxa"/>
              <w:right w:w="51" w:type="dxa"/>
            </w:tcMar>
            <w:vAlign w:val="center"/>
          </w:tcPr>
          <w:p w14:paraId="56B8FF17">
            <w:pPr>
              <w:widowControl/>
              <w:jc w:val="left"/>
              <w:rPr>
                <w:color w:val="000000"/>
                <w:kern w:val="0"/>
                <w:szCs w:val="21"/>
              </w:rPr>
            </w:pPr>
          </w:p>
        </w:tc>
      </w:tr>
      <w:tr w14:paraId="25C3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417" w:type="dxa"/>
            <w:noWrap w:val="0"/>
            <w:tcMar>
              <w:left w:w="51" w:type="dxa"/>
              <w:right w:w="51" w:type="dxa"/>
            </w:tcMar>
            <w:vAlign w:val="center"/>
          </w:tcPr>
          <w:p w14:paraId="5E7AF294">
            <w:pPr>
              <w:widowControl/>
              <w:jc w:val="center"/>
              <w:rPr>
                <w:color w:val="000000"/>
                <w:szCs w:val="21"/>
              </w:rPr>
            </w:pPr>
            <w:r>
              <w:rPr>
                <w:rFonts w:hint="eastAsia"/>
                <w:color w:val="000000"/>
                <w:szCs w:val="21"/>
                <w:lang w:val="en-US" w:eastAsia="zh-CN"/>
              </w:rPr>
              <w:t>7</w:t>
            </w:r>
            <w:r>
              <w:rPr>
                <w:color w:val="000000"/>
                <w:szCs w:val="21"/>
              </w:rPr>
              <w:t>6</w:t>
            </w:r>
          </w:p>
        </w:tc>
        <w:tc>
          <w:tcPr>
            <w:tcW w:w="1834" w:type="dxa"/>
            <w:noWrap w:val="0"/>
            <w:tcMar>
              <w:left w:w="51" w:type="dxa"/>
              <w:right w:w="51" w:type="dxa"/>
            </w:tcMar>
            <w:vAlign w:val="center"/>
          </w:tcPr>
          <w:p w14:paraId="5635E2D3">
            <w:pPr>
              <w:widowControl/>
              <w:jc w:val="left"/>
              <w:rPr>
                <w:color w:val="000000"/>
                <w:kern w:val="0"/>
                <w:szCs w:val="21"/>
              </w:rPr>
            </w:pPr>
            <w:r>
              <w:rPr>
                <w:rFonts w:hAnsi="宋体"/>
                <w:color w:val="000000"/>
                <w:kern w:val="0"/>
                <w:szCs w:val="21"/>
              </w:rPr>
              <w:t>对非法收购或者不符合国家粮食质量安全标准的粮食，用于违法经营或者被污染的工具、设备以及有关账簿资料；违法从事粮食经营活动的场所的行政强制</w:t>
            </w:r>
          </w:p>
        </w:tc>
        <w:tc>
          <w:tcPr>
            <w:tcW w:w="706" w:type="dxa"/>
            <w:noWrap w:val="0"/>
            <w:tcMar>
              <w:left w:w="51" w:type="dxa"/>
              <w:right w:w="51" w:type="dxa"/>
            </w:tcMar>
            <w:vAlign w:val="center"/>
          </w:tcPr>
          <w:p w14:paraId="19282AAF">
            <w:pPr>
              <w:widowControl/>
              <w:jc w:val="left"/>
              <w:rPr>
                <w:color w:val="000000"/>
                <w:kern w:val="0"/>
                <w:szCs w:val="21"/>
              </w:rPr>
            </w:pPr>
            <w:r>
              <w:rPr>
                <w:rFonts w:hAnsi="宋体"/>
                <w:color w:val="000000"/>
                <w:kern w:val="0"/>
                <w:szCs w:val="21"/>
              </w:rPr>
              <w:t>行政强制</w:t>
            </w:r>
          </w:p>
        </w:tc>
        <w:tc>
          <w:tcPr>
            <w:tcW w:w="1174" w:type="dxa"/>
            <w:noWrap w:val="0"/>
            <w:tcMar>
              <w:left w:w="51" w:type="dxa"/>
              <w:right w:w="51" w:type="dxa"/>
            </w:tcMar>
            <w:vAlign w:val="center"/>
          </w:tcPr>
          <w:p w14:paraId="6AB9D72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4EC976E">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18AF0843">
            <w:pPr>
              <w:widowControl/>
              <w:jc w:val="left"/>
              <w:rPr>
                <w:color w:val="000000"/>
                <w:kern w:val="0"/>
                <w:szCs w:val="21"/>
              </w:rPr>
            </w:pPr>
            <w:r>
              <w:rPr>
                <w:rFonts w:hAnsi="宋体"/>
                <w:b/>
                <w:bCs/>
                <w:color w:val="000000"/>
                <w:kern w:val="0"/>
                <w:szCs w:val="21"/>
              </w:rPr>
              <w:t>《粮食流通管理条例》第三十八条</w:t>
            </w:r>
            <w:r>
              <w:rPr>
                <w:color w:val="000000"/>
                <w:kern w:val="0"/>
                <w:szCs w:val="21"/>
              </w:rPr>
              <w:t xml:space="preserve"> </w:t>
            </w:r>
            <w:r>
              <w:rPr>
                <w:rFonts w:hAnsi="宋体"/>
                <w:color w:val="000000"/>
                <w:kern w:val="0"/>
                <w:szCs w:val="21"/>
              </w:rPr>
              <w:t>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411" w:type="dxa"/>
            <w:noWrap/>
            <w:tcMar>
              <w:left w:w="51" w:type="dxa"/>
              <w:right w:w="51" w:type="dxa"/>
            </w:tcMar>
            <w:vAlign w:val="center"/>
          </w:tcPr>
          <w:p w14:paraId="2C0BD5F7">
            <w:pPr>
              <w:widowControl/>
              <w:jc w:val="left"/>
              <w:rPr>
                <w:color w:val="000000"/>
                <w:kern w:val="0"/>
                <w:szCs w:val="21"/>
              </w:rPr>
            </w:pPr>
          </w:p>
        </w:tc>
      </w:tr>
      <w:tr w14:paraId="0630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417" w:type="dxa"/>
            <w:noWrap w:val="0"/>
            <w:tcMar>
              <w:left w:w="51" w:type="dxa"/>
              <w:right w:w="51" w:type="dxa"/>
            </w:tcMar>
            <w:vAlign w:val="center"/>
          </w:tcPr>
          <w:p w14:paraId="050FF09E">
            <w:pPr>
              <w:widowControl/>
              <w:jc w:val="center"/>
              <w:rPr>
                <w:color w:val="000000"/>
                <w:szCs w:val="21"/>
              </w:rPr>
            </w:pPr>
            <w:r>
              <w:rPr>
                <w:rFonts w:hint="eastAsia"/>
                <w:color w:val="000000"/>
                <w:kern w:val="0"/>
                <w:szCs w:val="21"/>
                <w:lang w:val="en-US" w:eastAsia="zh-CN"/>
              </w:rPr>
              <w:t>7</w:t>
            </w:r>
            <w:r>
              <w:rPr>
                <w:color w:val="000000"/>
                <w:kern w:val="0"/>
                <w:szCs w:val="21"/>
              </w:rPr>
              <w:t>7</w:t>
            </w:r>
          </w:p>
        </w:tc>
        <w:tc>
          <w:tcPr>
            <w:tcW w:w="1834" w:type="dxa"/>
            <w:noWrap w:val="0"/>
            <w:tcMar>
              <w:left w:w="51" w:type="dxa"/>
              <w:right w:w="51" w:type="dxa"/>
            </w:tcMar>
            <w:vAlign w:val="center"/>
          </w:tcPr>
          <w:p w14:paraId="11554581">
            <w:pPr>
              <w:widowControl/>
              <w:jc w:val="left"/>
              <w:rPr>
                <w:color w:val="000000"/>
                <w:kern w:val="0"/>
                <w:szCs w:val="21"/>
              </w:rPr>
            </w:pPr>
            <w:r>
              <w:rPr>
                <w:rFonts w:hAnsi="宋体"/>
                <w:color w:val="000000"/>
                <w:kern w:val="0"/>
                <w:szCs w:val="21"/>
              </w:rPr>
              <w:t>对粮食收购企业未按照规定备案或者提供虚假备案信息的行政处罚</w:t>
            </w:r>
          </w:p>
        </w:tc>
        <w:tc>
          <w:tcPr>
            <w:tcW w:w="706" w:type="dxa"/>
            <w:noWrap w:val="0"/>
            <w:tcMar>
              <w:left w:w="51" w:type="dxa"/>
              <w:right w:w="51" w:type="dxa"/>
            </w:tcMar>
            <w:vAlign w:val="center"/>
          </w:tcPr>
          <w:p w14:paraId="68E1828E">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F1D5987">
            <w:pPr>
              <w:widowControl/>
              <w:jc w:val="center"/>
              <w:rPr>
                <w:color w:val="000000"/>
                <w:kern w:val="0"/>
                <w:szCs w:val="21"/>
                <w:highlight w:val="none"/>
                <w:lang w:val="en"/>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0D0FE54">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0D526DA">
            <w:pPr>
              <w:widowControl/>
              <w:jc w:val="left"/>
              <w:rPr>
                <w:color w:val="000000"/>
                <w:kern w:val="0"/>
                <w:szCs w:val="21"/>
              </w:rPr>
            </w:pPr>
            <w:r>
              <w:rPr>
                <w:rFonts w:hAnsi="宋体"/>
                <w:b/>
                <w:bCs/>
                <w:color w:val="000000"/>
                <w:kern w:val="0"/>
                <w:szCs w:val="21"/>
              </w:rPr>
              <w:t>《粮食流通管理条例》第四十三条</w:t>
            </w:r>
            <w:r>
              <w:rPr>
                <w:color w:val="000000"/>
                <w:kern w:val="0"/>
                <w:szCs w:val="21"/>
              </w:rPr>
              <w:t xml:space="preserve"> </w:t>
            </w:r>
            <w:r>
              <w:rPr>
                <w:rFonts w:hAnsi="宋体"/>
                <w:color w:val="000000"/>
                <w:kern w:val="0"/>
                <w:szCs w:val="21"/>
              </w:rPr>
              <w:t>粮食收购企业未按照规定备案或者提供虚假备案信息的，由粮食和储备行政管理部门责令改正，给予警告；拒不改正的，处</w:t>
            </w:r>
            <w:r>
              <w:rPr>
                <w:color w:val="000000"/>
                <w:kern w:val="0"/>
                <w:szCs w:val="21"/>
              </w:rPr>
              <w:t>2</w:t>
            </w:r>
            <w:r>
              <w:rPr>
                <w:rFonts w:hAnsi="宋体"/>
                <w:color w:val="000000"/>
                <w:kern w:val="0"/>
                <w:szCs w:val="21"/>
              </w:rPr>
              <w:t>万元以上</w:t>
            </w:r>
            <w:r>
              <w:rPr>
                <w:color w:val="000000"/>
                <w:kern w:val="0"/>
                <w:szCs w:val="21"/>
              </w:rPr>
              <w:t>5</w:t>
            </w:r>
            <w:r>
              <w:rPr>
                <w:rFonts w:hAnsi="宋体"/>
                <w:color w:val="000000"/>
                <w:kern w:val="0"/>
                <w:szCs w:val="21"/>
              </w:rPr>
              <w:t>万元以下罚款。</w:t>
            </w:r>
          </w:p>
        </w:tc>
        <w:tc>
          <w:tcPr>
            <w:tcW w:w="411" w:type="dxa"/>
            <w:noWrap/>
            <w:tcMar>
              <w:left w:w="51" w:type="dxa"/>
              <w:right w:w="51" w:type="dxa"/>
            </w:tcMar>
            <w:vAlign w:val="center"/>
          </w:tcPr>
          <w:p w14:paraId="75C4C94E">
            <w:pPr>
              <w:widowControl/>
              <w:jc w:val="left"/>
              <w:rPr>
                <w:color w:val="000000"/>
                <w:kern w:val="0"/>
                <w:szCs w:val="21"/>
              </w:rPr>
            </w:pPr>
          </w:p>
        </w:tc>
      </w:tr>
      <w:tr w14:paraId="04D3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17" w:type="dxa"/>
            <w:noWrap w:val="0"/>
            <w:tcMar>
              <w:left w:w="51" w:type="dxa"/>
              <w:right w:w="51" w:type="dxa"/>
            </w:tcMar>
            <w:vAlign w:val="center"/>
          </w:tcPr>
          <w:p w14:paraId="4EB53AE0">
            <w:pPr>
              <w:widowControl/>
              <w:jc w:val="center"/>
              <w:rPr>
                <w:color w:val="000000"/>
                <w:kern w:val="0"/>
                <w:szCs w:val="21"/>
              </w:rPr>
            </w:pPr>
            <w:r>
              <w:rPr>
                <w:rFonts w:hint="eastAsia"/>
                <w:color w:val="000000"/>
                <w:kern w:val="0"/>
                <w:szCs w:val="21"/>
                <w:lang w:val="en-US" w:eastAsia="zh-CN"/>
              </w:rPr>
              <w:t>7</w:t>
            </w:r>
            <w:r>
              <w:rPr>
                <w:color w:val="000000"/>
                <w:kern w:val="0"/>
                <w:szCs w:val="21"/>
              </w:rPr>
              <w:t>8</w:t>
            </w:r>
          </w:p>
        </w:tc>
        <w:tc>
          <w:tcPr>
            <w:tcW w:w="1834" w:type="dxa"/>
            <w:noWrap w:val="0"/>
            <w:tcMar>
              <w:left w:w="51" w:type="dxa"/>
              <w:right w:w="51" w:type="dxa"/>
            </w:tcMar>
            <w:vAlign w:val="center"/>
          </w:tcPr>
          <w:p w14:paraId="3E974A7B">
            <w:pPr>
              <w:widowControl/>
              <w:jc w:val="left"/>
              <w:rPr>
                <w:color w:val="000000"/>
                <w:kern w:val="0"/>
                <w:szCs w:val="21"/>
              </w:rPr>
            </w:pPr>
            <w:r>
              <w:rPr>
                <w:rFonts w:hAnsi="宋体"/>
                <w:color w:val="000000"/>
                <w:kern w:val="0"/>
                <w:szCs w:val="21"/>
              </w:rPr>
              <w:t>对粮食收购者未执行国家粮食质量标准的行政处罚</w:t>
            </w:r>
          </w:p>
        </w:tc>
        <w:tc>
          <w:tcPr>
            <w:tcW w:w="706" w:type="dxa"/>
            <w:noWrap w:val="0"/>
            <w:tcMar>
              <w:left w:w="51" w:type="dxa"/>
              <w:right w:w="51" w:type="dxa"/>
            </w:tcMar>
            <w:vAlign w:val="center"/>
          </w:tcPr>
          <w:p w14:paraId="3B9ED510">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31F7C86">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1BAE2FF">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72F38E24">
            <w:pPr>
              <w:widowControl/>
              <w:jc w:val="left"/>
              <w:rPr>
                <w:color w:val="000000"/>
                <w:kern w:val="0"/>
                <w:szCs w:val="21"/>
              </w:rPr>
            </w:pPr>
            <w:r>
              <w:rPr>
                <w:rFonts w:hAnsi="宋体"/>
                <w:b/>
                <w:bCs/>
                <w:color w:val="000000"/>
                <w:kern w:val="0"/>
                <w:szCs w:val="21"/>
              </w:rPr>
              <w:t>《粮食流通管理条例》第四十五条</w:t>
            </w:r>
            <w:r>
              <w:rPr>
                <w:color w:val="000000"/>
                <w:kern w:val="0"/>
                <w:szCs w:val="21"/>
              </w:rPr>
              <w:t xml:space="preserve"> </w:t>
            </w:r>
            <w:r>
              <w:rPr>
                <w:rFonts w:hAnsi="宋体"/>
                <w:color w:val="000000"/>
                <w:kern w:val="0"/>
                <w:szCs w:val="21"/>
              </w:rPr>
              <w:t>有下列情形之一的，由粮食和储备行政管理部门责令改正，给予警告，可以并处</w:t>
            </w:r>
            <w:r>
              <w:rPr>
                <w:color w:val="000000"/>
                <w:kern w:val="0"/>
                <w:szCs w:val="21"/>
              </w:rPr>
              <w:t>20</w:t>
            </w:r>
            <w:r>
              <w:rPr>
                <w:rFonts w:hAnsi="宋体"/>
                <w:color w:val="000000"/>
                <w:kern w:val="0"/>
                <w:szCs w:val="21"/>
              </w:rPr>
              <w:t>万元以下罚款；情节严重的，并处</w:t>
            </w:r>
            <w:r>
              <w:rPr>
                <w:color w:val="000000"/>
                <w:kern w:val="0"/>
                <w:szCs w:val="21"/>
              </w:rPr>
              <w:t>20</w:t>
            </w:r>
            <w:r>
              <w:rPr>
                <w:rFonts w:hAnsi="宋体"/>
                <w:color w:val="000000"/>
                <w:kern w:val="0"/>
                <w:szCs w:val="21"/>
              </w:rPr>
              <w:t>万元以上</w:t>
            </w:r>
            <w:r>
              <w:rPr>
                <w:color w:val="000000"/>
                <w:kern w:val="0"/>
                <w:szCs w:val="21"/>
              </w:rPr>
              <w:t>50</w:t>
            </w:r>
            <w:r>
              <w:rPr>
                <w:rFonts w:hAnsi="宋体"/>
                <w:color w:val="000000"/>
                <w:kern w:val="0"/>
                <w:szCs w:val="21"/>
              </w:rPr>
              <w:t>万元以下罚款：</w:t>
            </w:r>
          </w:p>
          <w:p w14:paraId="22710D11">
            <w:pPr>
              <w:widowControl/>
              <w:jc w:val="left"/>
              <w:rPr>
                <w:color w:val="000000"/>
                <w:kern w:val="0"/>
                <w:szCs w:val="21"/>
              </w:rPr>
            </w:pPr>
            <w:r>
              <w:rPr>
                <w:rFonts w:hAnsi="宋体"/>
                <w:color w:val="000000"/>
                <w:kern w:val="0"/>
                <w:szCs w:val="21"/>
              </w:rPr>
              <w:t>（一）粮食收购者未执行国家粮食质量标准。</w:t>
            </w:r>
          </w:p>
        </w:tc>
        <w:tc>
          <w:tcPr>
            <w:tcW w:w="411" w:type="dxa"/>
            <w:noWrap/>
            <w:tcMar>
              <w:left w:w="51" w:type="dxa"/>
              <w:right w:w="51" w:type="dxa"/>
            </w:tcMar>
            <w:vAlign w:val="center"/>
          </w:tcPr>
          <w:p w14:paraId="77DC9524">
            <w:pPr>
              <w:widowControl/>
              <w:jc w:val="left"/>
              <w:rPr>
                <w:color w:val="000000"/>
                <w:kern w:val="0"/>
                <w:szCs w:val="21"/>
              </w:rPr>
            </w:pPr>
          </w:p>
        </w:tc>
      </w:tr>
      <w:tr w14:paraId="1CC4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17" w:type="dxa"/>
            <w:noWrap w:val="0"/>
            <w:tcMar>
              <w:left w:w="51" w:type="dxa"/>
              <w:right w:w="51" w:type="dxa"/>
            </w:tcMar>
            <w:vAlign w:val="center"/>
          </w:tcPr>
          <w:p w14:paraId="4414F557">
            <w:pPr>
              <w:widowControl/>
              <w:jc w:val="center"/>
              <w:rPr>
                <w:color w:val="000000"/>
                <w:kern w:val="0"/>
                <w:szCs w:val="21"/>
              </w:rPr>
            </w:pPr>
            <w:r>
              <w:rPr>
                <w:rFonts w:hint="eastAsia"/>
                <w:color w:val="000000"/>
                <w:kern w:val="0"/>
                <w:szCs w:val="21"/>
                <w:lang w:val="en-US" w:eastAsia="zh-CN"/>
              </w:rPr>
              <w:t>7</w:t>
            </w:r>
            <w:r>
              <w:rPr>
                <w:color w:val="000000"/>
                <w:kern w:val="0"/>
                <w:szCs w:val="21"/>
              </w:rPr>
              <w:t>9</w:t>
            </w:r>
          </w:p>
        </w:tc>
        <w:tc>
          <w:tcPr>
            <w:tcW w:w="1834" w:type="dxa"/>
            <w:noWrap w:val="0"/>
            <w:tcMar>
              <w:left w:w="51" w:type="dxa"/>
              <w:right w:w="51" w:type="dxa"/>
            </w:tcMar>
            <w:vAlign w:val="center"/>
          </w:tcPr>
          <w:p w14:paraId="1D983D0D">
            <w:pPr>
              <w:widowControl/>
              <w:jc w:val="left"/>
              <w:rPr>
                <w:color w:val="000000"/>
                <w:kern w:val="0"/>
                <w:szCs w:val="21"/>
              </w:rPr>
            </w:pPr>
            <w:r>
              <w:rPr>
                <w:rFonts w:hAnsi="宋体"/>
                <w:color w:val="000000"/>
                <w:kern w:val="0"/>
                <w:szCs w:val="21"/>
              </w:rPr>
              <w:t>对粮食收购者未及时支付售粮款的行政处罚</w:t>
            </w:r>
          </w:p>
        </w:tc>
        <w:tc>
          <w:tcPr>
            <w:tcW w:w="706" w:type="dxa"/>
            <w:noWrap w:val="0"/>
            <w:tcMar>
              <w:left w:w="51" w:type="dxa"/>
              <w:right w:w="51" w:type="dxa"/>
            </w:tcMar>
            <w:vAlign w:val="center"/>
          </w:tcPr>
          <w:p w14:paraId="0BD1B135">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30AF9B4E">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DC50396">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538D81F7">
            <w:pPr>
              <w:widowControl/>
              <w:jc w:val="left"/>
              <w:rPr>
                <w:color w:val="000000"/>
                <w:kern w:val="0"/>
                <w:szCs w:val="21"/>
              </w:rPr>
            </w:pPr>
            <w:r>
              <w:rPr>
                <w:rFonts w:hAnsi="宋体"/>
                <w:b/>
                <w:bCs/>
                <w:color w:val="000000"/>
                <w:kern w:val="0"/>
                <w:szCs w:val="21"/>
              </w:rPr>
              <w:t>《粮食流通管理条例》第四十五条</w:t>
            </w:r>
            <w:r>
              <w:rPr>
                <w:color w:val="000000"/>
                <w:kern w:val="0"/>
                <w:szCs w:val="21"/>
              </w:rPr>
              <w:t xml:space="preserve"> </w:t>
            </w:r>
            <w:r>
              <w:rPr>
                <w:rFonts w:hAnsi="宋体"/>
                <w:color w:val="000000"/>
                <w:kern w:val="0"/>
                <w:szCs w:val="21"/>
              </w:rPr>
              <w:t>有下列情形之一的，由粮食和储备行政管理部门责令改正，给予警告，可以并处</w:t>
            </w:r>
            <w:r>
              <w:rPr>
                <w:color w:val="000000"/>
                <w:kern w:val="0"/>
                <w:szCs w:val="21"/>
              </w:rPr>
              <w:t>20</w:t>
            </w:r>
            <w:r>
              <w:rPr>
                <w:rFonts w:hAnsi="宋体"/>
                <w:color w:val="000000"/>
                <w:kern w:val="0"/>
                <w:szCs w:val="21"/>
              </w:rPr>
              <w:t>万元以下罚款；情节严重的，并处</w:t>
            </w:r>
            <w:r>
              <w:rPr>
                <w:color w:val="000000"/>
                <w:kern w:val="0"/>
                <w:szCs w:val="21"/>
              </w:rPr>
              <w:t>20</w:t>
            </w:r>
            <w:r>
              <w:rPr>
                <w:rFonts w:hAnsi="宋体"/>
                <w:color w:val="000000"/>
                <w:kern w:val="0"/>
                <w:szCs w:val="21"/>
              </w:rPr>
              <w:t>万元以上</w:t>
            </w:r>
            <w:r>
              <w:rPr>
                <w:color w:val="000000"/>
                <w:kern w:val="0"/>
                <w:szCs w:val="21"/>
              </w:rPr>
              <w:t>50</w:t>
            </w:r>
            <w:r>
              <w:rPr>
                <w:rFonts w:hAnsi="宋体"/>
                <w:color w:val="000000"/>
                <w:kern w:val="0"/>
                <w:szCs w:val="21"/>
              </w:rPr>
              <w:t>万元以下罚款：</w:t>
            </w:r>
          </w:p>
          <w:p w14:paraId="6338E8F6">
            <w:pPr>
              <w:widowControl/>
              <w:jc w:val="left"/>
              <w:rPr>
                <w:color w:val="000000"/>
                <w:kern w:val="0"/>
                <w:szCs w:val="21"/>
              </w:rPr>
            </w:pPr>
            <w:r>
              <w:rPr>
                <w:rFonts w:hAnsi="宋体"/>
                <w:color w:val="000000"/>
                <w:kern w:val="0"/>
                <w:szCs w:val="21"/>
              </w:rPr>
              <w:t>（二）粮食收购者未及时支付售粮款的。</w:t>
            </w:r>
          </w:p>
        </w:tc>
        <w:tc>
          <w:tcPr>
            <w:tcW w:w="411" w:type="dxa"/>
            <w:noWrap/>
            <w:tcMar>
              <w:left w:w="51" w:type="dxa"/>
              <w:right w:w="51" w:type="dxa"/>
            </w:tcMar>
            <w:vAlign w:val="center"/>
          </w:tcPr>
          <w:p w14:paraId="42CA6BD1">
            <w:pPr>
              <w:widowControl/>
              <w:jc w:val="left"/>
              <w:rPr>
                <w:color w:val="000000"/>
                <w:kern w:val="0"/>
                <w:szCs w:val="21"/>
              </w:rPr>
            </w:pPr>
          </w:p>
        </w:tc>
      </w:tr>
      <w:tr w14:paraId="2128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417" w:type="dxa"/>
            <w:noWrap w:val="0"/>
            <w:tcMar>
              <w:left w:w="51" w:type="dxa"/>
              <w:right w:w="51" w:type="dxa"/>
            </w:tcMar>
            <w:vAlign w:val="center"/>
          </w:tcPr>
          <w:p w14:paraId="23E69779">
            <w:pPr>
              <w:widowControl/>
              <w:jc w:val="center"/>
              <w:rPr>
                <w:color w:val="000000"/>
                <w:kern w:val="0"/>
                <w:szCs w:val="21"/>
              </w:rPr>
            </w:pPr>
            <w:r>
              <w:rPr>
                <w:rFonts w:hint="eastAsia"/>
                <w:color w:val="000000"/>
                <w:kern w:val="0"/>
                <w:szCs w:val="21"/>
                <w:lang w:val="en-US" w:eastAsia="zh-CN"/>
              </w:rPr>
              <w:t>8</w:t>
            </w:r>
            <w:r>
              <w:rPr>
                <w:color w:val="000000"/>
                <w:kern w:val="0"/>
                <w:szCs w:val="21"/>
              </w:rPr>
              <w:t>0</w:t>
            </w:r>
          </w:p>
        </w:tc>
        <w:tc>
          <w:tcPr>
            <w:tcW w:w="1834" w:type="dxa"/>
            <w:noWrap w:val="0"/>
            <w:tcMar>
              <w:left w:w="51" w:type="dxa"/>
              <w:right w:w="51" w:type="dxa"/>
            </w:tcMar>
            <w:vAlign w:val="center"/>
          </w:tcPr>
          <w:p w14:paraId="261AC603">
            <w:pPr>
              <w:widowControl/>
              <w:jc w:val="left"/>
              <w:rPr>
                <w:color w:val="000000"/>
                <w:kern w:val="0"/>
                <w:szCs w:val="21"/>
              </w:rPr>
            </w:pPr>
            <w:r>
              <w:rPr>
                <w:rFonts w:hAnsi="宋体"/>
                <w:color w:val="000000"/>
                <w:kern w:val="0"/>
                <w:szCs w:val="21"/>
              </w:rPr>
              <w:t>对粮食收购者违反《粮食流通管理条例》规定代扣、代缴税、费和其他款项的行政处罚</w:t>
            </w:r>
          </w:p>
        </w:tc>
        <w:tc>
          <w:tcPr>
            <w:tcW w:w="706" w:type="dxa"/>
            <w:noWrap w:val="0"/>
            <w:tcMar>
              <w:left w:w="51" w:type="dxa"/>
              <w:right w:w="51" w:type="dxa"/>
            </w:tcMar>
            <w:vAlign w:val="center"/>
          </w:tcPr>
          <w:p w14:paraId="5F00B6E3">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3FABA9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AB98DA4">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03778971">
            <w:pPr>
              <w:widowControl/>
              <w:jc w:val="left"/>
              <w:rPr>
                <w:color w:val="000000"/>
                <w:kern w:val="0"/>
                <w:szCs w:val="21"/>
              </w:rPr>
            </w:pPr>
            <w:r>
              <w:rPr>
                <w:rFonts w:hAnsi="宋体"/>
                <w:b/>
                <w:bCs/>
                <w:color w:val="000000"/>
                <w:kern w:val="0"/>
                <w:szCs w:val="21"/>
              </w:rPr>
              <w:t>《粮食流通管理条例》第四十五条</w:t>
            </w:r>
            <w:r>
              <w:rPr>
                <w:color w:val="000000"/>
                <w:kern w:val="0"/>
                <w:szCs w:val="21"/>
              </w:rPr>
              <w:t xml:space="preserve"> </w:t>
            </w:r>
            <w:r>
              <w:rPr>
                <w:rFonts w:hAnsi="宋体"/>
                <w:color w:val="000000"/>
                <w:kern w:val="0"/>
                <w:szCs w:val="21"/>
              </w:rPr>
              <w:t>有下列情形之一的，由粮食和储备行政管理部门责令改正，给予警告，可以并处</w:t>
            </w:r>
            <w:r>
              <w:rPr>
                <w:color w:val="000000"/>
                <w:kern w:val="0"/>
                <w:szCs w:val="21"/>
              </w:rPr>
              <w:t>20</w:t>
            </w:r>
            <w:r>
              <w:rPr>
                <w:rFonts w:hAnsi="宋体"/>
                <w:color w:val="000000"/>
                <w:kern w:val="0"/>
                <w:szCs w:val="21"/>
              </w:rPr>
              <w:t>万元以下罚款；情节严重的，并处</w:t>
            </w:r>
            <w:r>
              <w:rPr>
                <w:color w:val="000000"/>
                <w:kern w:val="0"/>
                <w:szCs w:val="21"/>
              </w:rPr>
              <w:t>20</w:t>
            </w:r>
            <w:r>
              <w:rPr>
                <w:rFonts w:hAnsi="宋体"/>
                <w:color w:val="000000"/>
                <w:kern w:val="0"/>
                <w:szCs w:val="21"/>
              </w:rPr>
              <w:t>万元以上</w:t>
            </w:r>
            <w:r>
              <w:rPr>
                <w:color w:val="000000"/>
                <w:kern w:val="0"/>
                <w:szCs w:val="21"/>
              </w:rPr>
              <w:t>50</w:t>
            </w:r>
            <w:r>
              <w:rPr>
                <w:rFonts w:hAnsi="宋体"/>
                <w:color w:val="000000"/>
                <w:kern w:val="0"/>
                <w:szCs w:val="21"/>
              </w:rPr>
              <w:t>万元以下罚款：</w:t>
            </w:r>
          </w:p>
          <w:p w14:paraId="3C2AF78C">
            <w:pPr>
              <w:widowControl/>
              <w:jc w:val="left"/>
              <w:rPr>
                <w:color w:val="000000"/>
                <w:kern w:val="0"/>
                <w:szCs w:val="21"/>
              </w:rPr>
            </w:pPr>
            <w:r>
              <w:rPr>
                <w:rFonts w:hAnsi="宋体"/>
                <w:color w:val="000000"/>
                <w:kern w:val="0"/>
                <w:szCs w:val="21"/>
              </w:rPr>
              <w:t>（三）粮食收购者违反本条例规定代扣、代缴税、费和其他款项的。</w:t>
            </w:r>
          </w:p>
        </w:tc>
        <w:tc>
          <w:tcPr>
            <w:tcW w:w="411" w:type="dxa"/>
            <w:noWrap/>
            <w:tcMar>
              <w:left w:w="51" w:type="dxa"/>
              <w:right w:w="51" w:type="dxa"/>
            </w:tcMar>
            <w:vAlign w:val="center"/>
          </w:tcPr>
          <w:p w14:paraId="72BC0E91">
            <w:pPr>
              <w:widowControl/>
              <w:jc w:val="left"/>
              <w:rPr>
                <w:color w:val="000000"/>
                <w:kern w:val="0"/>
                <w:szCs w:val="21"/>
              </w:rPr>
            </w:pPr>
          </w:p>
        </w:tc>
      </w:tr>
      <w:tr w14:paraId="6E83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417" w:type="dxa"/>
            <w:noWrap w:val="0"/>
            <w:tcMar>
              <w:left w:w="51" w:type="dxa"/>
              <w:right w:w="51" w:type="dxa"/>
            </w:tcMar>
            <w:vAlign w:val="center"/>
          </w:tcPr>
          <w:p w14:paraId="3041BA70">
            <w:pPr>
              <w:widowControl/>
              <w:jc w:val="center"/>
              <w:rPr>
                <w:color w:val="000000"/>
                <w:kern w:val="0"/>
                <w:szCs w:val="21"/>
              </w:rPr>
            </w:pPr>
            <w:r>
              <w:rPr>
                <w:rFonts w:hint="eastAsia"/>
                <w:color w:val="000000"/>
                <w:kern w:val="0"/>
                <w:szCs w:val="21"/>
                <w:lang w:val="en-US" w:eastAsia="zh-CN"/>
              </w:rPr>
              <w:t>8</w:t>
            </w:r>
            <w:r>
              <w:rPr>
                <w:color w:val="000000"/>
                <w:kern w:val="0"/>
                <w:szCs w:val="21"/>
              </w:rPr>
              <w:t>1</w:t>
            </w:r>
          </w:p>
        </w:tc>
        <w:tc>
          <w:tcPr>
            <w:tcW w:w="1834" w:type="dxa"/>
            <w:noWrap w:val="0"/>
            <w:tcMar>
              <w:left w:w="51" w:type="dxa"/>
              <w:right w:w="51" w:type="dxa"/>
            </w:tcMar>
            <w:vAlign w:val="center"/>
          </w:tcPr>
          <w:p w14:paraId="6955C3C8">
            <w:pPr>
              <w:widowControl/>
              <w:jc w:val="left"/>
              <w:rPr>
                <w:color w:val="000000"/>
                <w:kern w:val="0"/>
                <w:szCs w:val="21"/>
              </w:rPr>
            </w:pPr>
            <w:r>
              <w:rPr>
                <w:rFonts w:hAnsi="宋体"/>
                <w:color w:val="000000"/>
                <w:kern w:val="0"/>
                <w:szCs w:val="21"/>
              </w:rPr>
              <w:t>对粮食收购者未按照国家有关规定进行质量安全检验，或者对不符合食品安全标准的粮食未作为非食用用途单独储存的行政处罚</w:t>
            </w:r>
          </w:p>
        </w:tc>
        <w:tc>
          <w:tcPr>
            <w:tcW w:w="706" w:type="dxa"/>
            <w:noWrap w:val="0"/>
            <w:tcMar>
              <w:left w:w="51" w:type="dxa"/>
              <w:right w:w="51" w:type="dxa"/>
            </w:tcMar>
            <w:vAlign w:val="center"/>
          </w:tcPr>
          <w:p w14:paraId="7618321B">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73AE3AA4">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F81E101">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EA487E8">
            <w:pPr>
              <w:widowControl/>
              <w:jc w:val="left"/>
              <w:rPr>
                <w:color w:val="000000"/>
                <w:kern w:val="0"/>
                <w:szCs w:val="21"/>
              </w:rPr>
            </w:pPr>
            <w:r>
              <w:rPr>
                <w:rFonts w:hAnsi="宋体"/>
                <w:b/>
                <w:bCs/>
                <w:color w:val="000000"/>
                <w:kern w:val="0"/>
                <w:szCs w:val="21"/>
              </w:rPr>
              <w:t>《粮食流通管理条例》第四十五条</w:t>
            </w:r>
            <w:r>
              <w:rPr>
                <w:color w:val="000000"/>
                <w:kern w:val="0"/>
                <w:szCs w:val="21"/>
              </w:rPr>
              <w:t xml:space="preserve"> </w:t>
            </w:r>
            <w:r>
              <w:rPr>
                <w:rFonts w:hAnsi="宋体"/>
                <w:color w:val="000000"/>
                <w:kern w:val="0"/>
                <w:szCs w:val="21"/>
              </w:rPr>
              <w:t>有下列情形之一的，由粮食和储备行政管理部门责令改正，给予警告，可以并处</w:t>
            </w:r>
            <w:r>
              <w:rPr>
                <w:color w:val="000000"/>
                <w:kern w:val="0"/>
                <w:szCs w:val="21"/>
              </w:rPr>
              <w:t>20</w:t>
            </w:r>
            <w:r>
              <w:rPr>
                <w:rFonts w:hAnsi="宋体"/>
                <w:color w:val="000000"/>
                <w:kern w:val="0"/>
                <w:szCs w:val="21"/>
              </w:rPr>
              <w:t>万元以下罚款；情节严重的，并处</w:t>
            </w:r>
            <w:r>
              <w:rPr>
                <w:color w:val="000000"/>
                <w:kern w:val="0"/>
                <w:szCs w:val="21"/>
              </w:rPr>
              <w:t>20</w:t>
            </w:r>
            <w:r>
              <w:rPr>
                <w:rFonts w:hAnsi="宋体"/>
                <w:color w:val="000000"/>
                <w:kern w:val="0"/>
                <w:szCs w:val="21"/>
              </w:rPr>
              <w:t>万元以上</w:t>
            </w:r>
            <w:r>
              <w:rPr>
                <w:color w:val="000000"/>
                <w:kern w:val="0"/>
                <w:szCs w:val="21"/>
              </w:rPr>
              <w:t>50</w:t>
            </w:r>
            <w:r>
              <w:rPr>
                <w:rFonts w:hAnsi="宋体"/>
                <w:color w:val="000000"/>
                <w:kern w:val="0"/>
                <w:szCs w:val="21"/>
              </w:rPr>
              <w:t>万元以下罚款：</w:t>
            </w:r>
          </w:p>
          <w:p w14:paraId="5F1FFD64">
            <w:pPr>
              <w:widowControl/>
              <w:jc w:val="left"/>
              <w:rPr>
                <w:color w:val="000000"/>
                <w:kern w:val="0"/>
                <w:szCs w:val="21"/>
              </w:rPr>
            </w:pPr>
            <w:r>
              <w:rPr>
                <w:rFonts w:hAnsi="宋体"/>
                <w:color w:val="000000"/>
                <w:kern w:val="0"/>
                <w:szCs w:val="21"/>
              </w:rPr>
              <w:t>（四）粮食收购者收购粮食，未按照国家有关规定进行质量安全检验，或者对不符合食品安全标准的粮食未作为非食用用途单独储存。</w:t>
            </w:r>
          </w:p>
        </w:tc>
        <w:tc>
          <w:tcPr>
            <w:tcW w:w="411" w:type="dxa"/>
            <w:noWrap/>
            <w:tcMar>
              <w:left w:w="51" w:type="dxa"/>
              <w:right w:w="51" w:type="dxa"/>
            </w:tcMar>
            <w:vAlign w:val="center"/>
          </w:tcPr>
          <w:p w14:paraId="538EFED1">
            <w:pPr>
              <w:widowControl/>
              <w:jc w:val="left"/>
              <w:rPr>
                <w:color w:val="000000"/>
                <w:kern w:val="0"/>
                <w:szCs w:val="21"/>
              </w:rPr>
            </w:pPr>
          </w:p>
        </w:tc>
      </w:tr>
      <w:tr w14:paraId="4DC9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417" w:type="dxa"/>
            <w:noWrap w:val="0"/>
            <w:tcMar>
              <w:left w:w="51" w:type="dxa"/>
              <w:right w:w="51" w:type="dxa"/>
            </w:tcMar>
            <w:vAlign w:val="center"/>
          </w:tcPr>
          <w:p w14:paraId="5608750E">
            <w:pPr>
              <w:widowControl/>
              <w:jc w:val="center"/>
              <w:rPr>
                <w:color w:val="000000"/>
                <w:kern w:val="0"/>
                <w:szCs w:val="21"/>
              </w:rPr>
            </w:pPr>
            <w:r>
              <w:rPr>
                <w:rFonts w:hint="eastAsia"/>
                <w:color w:val="000000"/>
                <w:kern w:val="0"/>
                <w:szCs w:val="21"/>
                <w:lang w:val="en-US" w:eastAsia="zh-CN"/>
              </w:rPr>
              <w:t>8</w:t>
            </w:r>
            <w:r>
              <w:rPr>
                <w:color w:val="000000"/>
                <w:kern w:val="0"/>
                <w:szCs w:val="21"/>
              </w:rPr>
              <w:t>2</w:t>
            </w:r>
          </w:p>
        </w:tc>
        <w:tc>
          <w:tcPr>
            <w:tcW w:w="1834" w:type="dxa"/>
            <w:noWrap w:val="0"/>
            <w:tcMar>
              <w:left w:w="51" w:type="dxa"/>
              <w:right w:w="51" w:type="dxa"/>
            </w:tcMar>
            <w:vAlign w:val="center"/>
          </w:tcPr>
          <w:p w14:paraId="6E777ECC">
            <w:pPr>
              <w:widowControl/>
              <w:jc w:val="left"/>
              <w:rPr>
                <w:color w:val="000000"/>
                <w:kern w:val="0"/>
                <w:szCs w:val="21"/>
              </w:rPr>
            </w:pPr>
            <w:r>
              <w:rPr>
                <w:rFonts w:hAnsi="宋体"/>
                <w:color w:val="000000"/>
                <w:kern w:val="0"/>
                <w:szCs w:val="21"/>
              </w:rPr>
              <w:t>对从事粮食收购、销售、储存、加工的粮食经营者以及饲料、工业用粮企业未建立粮食经营台账，或者未按照规定报送粮食基本数据和有关情况的行政处罚</w:t>
            </w:r>
          </w:p>
        </w:tc>
        <w:tc>
          <w:tcPr>
            <w:tcW w:w="706" w:type="dxa"/>
            <w:noWrap w:val="0"/>
            <w:tcMar>
              <w:left w:w="51" w:type="dxa"/>
              <w:right w:w="51" w:type="dxa"/>
            </w:tcMar>
            <w:vAlign w:val="center"/>
          </w:tcPr>
          <w:p w14:paraId="5ECA4E0D">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7B0D9B6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C5D71E0">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5BD130A6">
            <w:pPr>
              <w:widowControl/>
              <w:jc w:val="left"/>
              <w:rPr>
                <w:color w:val="000000"/>
                <w:kern w:val="0"/>
                <w:szCs w:val="21"/>
              </w:rPr>
            </w:pPr>
            <w:r>
              <w:rPr>
                <w:rFonts w:hAnsi="宋体"/>
                <w:b/>
                <w:bCs/>
                <w:color w:val="000000"/>
                <w:kern w:val="0"/>
                <w:szCs w:val="21"/>
              </w:rPr>
              <w:t>《粮食流通管理条例》第四十五条</w:t>
            </w:r>
            <w:r>
              <w:rPr>
                <w:color w:val="000000"/>
                <w:kern w:val="0"/>
                <w:szCs w:val="21"/>
              </w:rPr>
              <w:t xml:space="preserve"> </w:t>
            </w:r>
            <w:r>
              <w:rPr>
                <w:rFonts w:hAnsi="宋体"/>
                <w:color w:val="000000"/>
                <w:kern w:val="0"/>
                <w:szCs w:val="21"/>
              </w:rPr>
              <w:t>有下列情形之一的，由粮食和储备行政管理部门责令改正，给予警告，可以并处</w:t>
            </w:r>
            <w:r>
              <w:rPr>
                <w:color w:val="000000"/>
                <w:kern w:val="0"/>
                <w:szCs w:val="21"/>
              </w:rPr>
              <w:t>20</w:t>
            </w:r>
            <w:r>
              <w:rPr>
                <w:rFonts w:hAnsi="宋体"/>
                <w:color w:val="000000"/>
                <w:kern w:val="0"/>
                <w:szCs w:val="21"/>
              </w:rPr>
              <w:t>万元以下罚款；情节严重的，并处</w:t>
            </w:r>
            <w:r>
              <w:rPr>
                <w:color w:val="000000"/>
                <w:kern w:val="0"/>
                <w:szCs w:val="21"/>
              </w:rPr>
              <w:t>20</w:t>
            </w:r>
            <w:r>
              <w:rPr>
                <w:rFonts w:hAnsi="宋体"/>
                <w:color w:val="000000"/>
                <w:kern w:val="0"/>
                <w:szCs w:val="21"/>
              </w:rPr>
              <w:t>万元以上</w:t>
            </w:r>
            <w:r>
              <w:rPr>
                <w:color w:val="000000"/>
                <w:kern w:val="0"/>
                <w:szCs w:val="21"/>
              </w:rPr>
              <w:t>50</w:t>
            </w:r>
            <w:r>
              <w:rPr>
                <w:rFonts w:hAnsi="宋体"/>
                <w:color w:val="000000"/>
                <w:kern w:val="0"/>
                <w:szCs w:val="21"/>
              </w:rPr>
              <w:t>万元以下罚款：</w:t>
            </w:r>
          </w:p>
          <w:p w14:paraId="387A9B61">
            <w:pPr>
              <w:widowControl/>
              <w:jc w:val="left"/>
              <w:rPr>
                <w:color w:val="000000"/>
                <w:kern w:val="0"/>
                <w:szCs w:val="21"/>
              </w:rPr>
            </w:pPr>
            <w:r>
              <w:rPr>
                <w:rFonts w:hAnsi="宋体"/>
                <w:color w:val="000000"/>
                <w:kern w:val="0"/>
                <w:szCs w:val="21"/>
              </w:rPr>
              <w:t>（五）从事粮食收购、销售、储存、加工的粮食经营者以及饲料、工业用粮企业未建立粮食经营台账，或者未按照规定报送粮食基本数据和有关情况。</w:t>
            </w:r>
          </w:p>
        </w:tc>
        <w:tc>
          <w:tcPr>
            <w:tcW w:w="411" w:type="dxa"/>
            <w:noWrap/>
            <w:tcMar>
              <w:left w:w="51" w:type="dxa"/>
              <w:right w:w="51" w:type="dxa"/>
            </w:tcMar>
            <w:vAlign w:val="center"/>
          </w:tcPr>
          <w:p w14:paraId="3024A9F7">
            <w:pPr>
              <w:widowControl/>
              <w:jc w:val="left"/>
              <w:rPr>
                <w:color w:val="000000"/>
                <w:kern w:val="0"/>
                <w:szCs w:val="21"/>
              </w:rPr>
            </w:pPr>
          </w:p>
        </w:tc>
      </w:tr>
      <w:tr w14:paraId="338D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7" w:type="dxa"/>
            <w:noWrap w:val="0"/>
            <w:tcMar>
              <w:left w:w="51" w:type="dxa"/>
              <w:right w:w="51" w:type="dxa"/>
            </w:tcMar>
            <w:vAlign w:val="center"/>
          </w:tcPr>
          <w:p w14:paraId="1EC6E965">
            <w:pPr>
              <w:widowControl/>
              <w:jc w:val="center"/>
              <w:rPr>
                <w:color w:val="000000"/>
                <w:kern w:val="0"/>
                <w:szCs w:val="21"/>
              </w:rPr>
            </w:pPr>
            <w:r>
              <w:rPr>
                <w:rFonts w:hint="eastAsia"/>
                <w:color w:val="000000"/>
                <w:kern w:val="0"/>
                <w:szCs w:val="21"/>
                <w:lang w:val="en-US" w:eastAsia="zh-CN"/>
              </w:rPr>
              <w:t>8</w:t>
            </w:r>
            <w:r>
              <w:rPr>
                <w:color w:val="000000"/>
                <w:kern w:val="0"/>
                <w:szCs w:val="21"/>
              </w:rPr>
              <w:t>3</w:t>
            </w:r>
          </w:p>
        </w:tc>
        <w:tc>
          <w:tcPr>
            <w:tcW w:w="1834" w:type="dxa"/>
            <w:noWrap w:val="0"/>
            <w:tcMar>
              <w:left w:w="51" w:type="dxa"/>
              <w:right w:w="51" w:type="dxa"/>
            </w:tcMar>
            <w:vAlign w:val="center"/>
          </w:tcPr>
          <w:p w14:paraId="2C4AB396">
            <w:pPr>
              <w:widowControl/>
              <w:jc w:val="left"/>
              <w:rPr>
                <w:color w:val="000000"/>
                <w:kern w:val="0"/>
                <w:szCs w:val="21"/>
              </w:rPr>
            </w:pPr>
            <w:r>
              <w:rPr>
                <w:rFonts w:hAnsi="宋体"/>
                <w:color w:val="000000"/>
                <w:kern w:val="0"/>
                <w:szCs w:val="21"/>
              </w:rPr>
              <w:t>对粮食储存企业未按照规定进行粮食销售出库质量安全检验的行政处罚</w:t>
            </w:r>
          </w:p>
        </w:tc>
        <w:tc>
          <w:tcPr>
            <w:tcW w:w="706" w:type="dxa"/>
            <w:noWrap w:val="0"/>
            <w:tcMar>
              <w:left w:w="51" w:type="dxa"/>
              <w:right w:w="51" w:type="dxa"/>
            </w:tcMar>
            <w:vAlign w:val="center"/>
          </w:tcPr>
          <w:p w14:paraId="02544962">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E48B6CE">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C0C6488">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20AF689">
            <w:pPr>
              <w:widowControl/>
              <w:jc w:val="left"/>
              <w:rPr>
                <w:color w:val="000000"/>
                <w:kern w:val="0"/>
                <w:szCs w:val="21"/>
              </w:rPr>
            </w:pPr>
            <w:r>
              <w:rPr>
                <w:rFonts w:hAnsi="宋体"/>
                <w:b/>
                <w:bCs/>
                <w:color w:val="000000"/>
                <w:kern w:val="0"/>
                <w:szCs w:val="21"/>
              </w:rPr>
              <w:t>《粮食流通管理条例》第四十五条</w:t>
            </w:r>
            <w:r>
              <w:rPr>
                <w:color w:val="000000"/>
                <w:kern w:val="0"/>
                <w:szCs w:val="21"/>
              </w:rPr>
              <w:t xml:space="preserve"> </w:t>
            </w:r>
            <w:r>
              <w:rPr>
                <w:rFonts w:hAnsi="宋体"/>
                <w:color w:val="000000"/>
                <w:kern w:val="0"/>
                <w:szCs w:val="21"/>
              </w:rPr>
              <w:t>有下列情形之一的，由粮食和储备行政管理部门责令改正，给予警告，可以并处</w:t>
            </w:r>
            <w:r>
              <w:rPr>
                <w:color w:val="000000"/>
                <w:kern w:val="0"/>
                <w:szCs w:val="21"/>
              </w:rPr>
              <w:t>20</w:t>
            </w:r>
            <w:r>
              <w:rPr>
                <w:rFonts w:hAnsi="宋体"/>
                <w:color w:val="000000"/>
                <w:kern w:val="0"/>
                <w:szCs w:val="21"/>
              </w:rPr>
              <w:t>万元以下罚款；情节严重的，并处</w:t>
            </w:r>
            <w:r>
              <w:rPr>
                <w:color w:val="000000"/>
                <w:kern w:val="0"/>
                <w:szCs w:val="21"/>
              </w:rPr>
              <w:t>20</w:t>
            </w:r>
            <w:r>
              <w:rPr>
                <w:rFonts w:hAnsi="宋体"/>
                <w:color w:val="000000"/>
                <w:kern w:val="0"/>
                <w:szCs w:val="21"/>
              </w:rPr>
              <w:t>万元以上</w:t>
            </w:r>
            <w:r>
              <w:rPr>
                <w:color w:val="000000"/>
                <w:kern w:val="0"/>
                <w:szCs w:val="21"/>
              </w:rPr>
              <w:t>50</w:t>
            </w:r>
            <w:r>
              <w:rPr>
                <w:rFonts w:hAnsi="宋体"/>
                <w:color w:val="000000"/>
                <w:kern w:val="0"/>
                <w:szCs w:val="21"/>
              </w:rPr>
              <w:t>万元以下罚款：</w:t>
            </w:r>
            <w:r>
              <w:rPr>
                <w:color w:val="000000"/>
                <w:kern w:val="0"/>
                <w:szCs w:val="21"/>
              </w:rPr>
              <w:t xml:space="preserve"> </w:t>
            </w:r>
          </w:p>
          <w:p w14:paraId="19D4048A">
            <w:pPr>
              <w:widowControl/>
              <w:jc w:val="left"/>
              <w:rPr>
                <w:color w:val="000000"/>
                <w:kern w:val="0"/>
                <w:szCs w:val="21"/>
              </w:rPr>
            </w:pPr>
            <w:r>
              <w:rPr>
                <w:rFonts w:hAnsi="宋体"/>
                <w:color w:val="000000"/>
                <w:kern w:val="0"/>
                <w:szCs w:val="21"/>
              </w:rPr>
              <w:t>（六）粮食储存企业未按照规定进行粮食销售出库质量安全检验。</w:t>
            </w:r>
          </w:p>
        </w:tc>
        <w:tc>
          <w:tcPr>
            <w:tcW w:w="411" w:type="dxa"/>
            <w:noWrap/>
            <w:tcMar>
              <w:left w:w="51" w:type="dxa"/>
              <w:right w:w="51" w:type="dxa"/>
            </w:tcMar>
            <w:vAlign w:val="center"/>
          </w:tcPr>
          <w:p w14:paraId="5694E44B">
            <w:pPr>
              <w:widowControl/>
              <w:jc w:val="left"/>
              <w:rPr>
                <w:color w:val="000000"/>
                <w:kern w:val="0"/>
                <w:szCs w:val="21"/>
              </w:rPr>
            </w:pPr>
          </w:p>
        </w:tc>
      </w:tr>
      <w:tr w14:paraId="698B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417" w:type="dxa"/>
            <w:noWrap w:val="0"/>
            <w:tcMar>
              <w:left w:w="51" w:type="dxa"/>
              <w:right w:w="51" w:type="dxa"/>
            </w:tcMar>
            <w:vAlign w:val="center"/>
          </w:tcPr>
          <w:p w14:paraId="314B99F7">
            <w:pPr>
              <w:widowControl/>
              <w:jc w:val="center"/>
              <w:rPr>
                <w:color w:val="000000"/>
                <w:kern w:val="0"/>
                <w:szCs w:val="21"/>
              </w:rPr>
            </w:pPr>
            <w:r>
              <w:rPr>
                <w:rFonts w:hint="eastAsia"/>
                <w:color w:val="000000"/>
                <w:kern w:val="0"/>
                <w:szCs w:val="21"/>
                <w:lang w:val="en-US" w:eastAsia="zh-CN"/>
              </w:rPr>
              <w:t>8</w:t>
            </w:r>
            <w:r>
              <w:rPr>
                <w:color w:val="000000"/>
                <w:kern w:val="0"/>
                <w:szCs w:val="21"/>
              </w:rPr>
              <w:t>4</w:t>
            </w:r>
          </w:p>
        </w:tc>
        <w:tc>
          <w:tcPr>
            <w:tcW w:w="1834" w:type="dxa"/>
            <w:noWrap w:val="0"/>
            <w:tcMar>
              <w:left w:w="51" w:type="dxa"/>
              <w:right w:w="51" w:type="dxa"/>
            </w:tcMar>
            <w:vAlign w:val="center"/>
          </w:tcPr>
          <w:p w14:paraId="13D3DB92">
            <w:pPr>
              <w:widowControl/>
              <w:jc w:val="left"/>
              <w:rPr>
                <w:color w:val="000000"/>
                <w:kern w:val="0"/>
                <w:szCs w:val="21"/>
              </w:rPr>
            </w:pPr>
            <w:r>
              <w:rPr>
                <w:rFonts w:hAnsi="宋体"/>
                <w:color w:val="000000"/>
                <w:kern w:val="0"/>
                <w:szCs w:val="21"/>
              </w:rPr>
              <w:t>对粮食收购者、粮食储存企业未按照《粮食流通管理条例》规定使用仓储设施、运输工具的行政处罚</w:t>
            </w:r>
          </w:p>
        </w:tc>
        <w:tc>
          <w:tcPr>
            <w:tcW w:w="706" w:type="dxa"/>
            <w:noWrap w:val="0"/>
            <w:tcMar>
              <w:left w:w="51" w:type="dxa"/>
              <w:right w:w="51" w:type="dxa"/>
            </w:tcMar>
            <w:vAlign w:val="center"/>
          </w:tcPr>
          <w:p w14:paraId="7ED9196F">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D48581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32171F1">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72F73E69">
            <w:pPr>
              <w:widowControl/>
              <w:jc w:val="left"/>
              <w:rPr>
                <w:color w:val="000000"/>
                <w:kern w:val="0"/>
                <w:szCs w:val="21"/>
              </w:rPr>
            </w:pPr>
            <w:r>
              <w:rPr>
                <w:rFonts w:hAnsi="宋体"/>
                <w:b/>
                <w:bCs/>
                <w:color w:val="000000"/>
                <w:kern w:val="0"/>
                <w:szCs w:val="21"/>
              </w:rPr>
              <w:t>《粮食流通管理条例》第四十六条</w:t>
            </w:r>
            <w:r>
              <w:rPr>
                <w:color w:val="000000"/>
                <w:kern w:val="0"/>
                <w:szCs w:val="21"/>
              </w:rPr>
              <w:t xml:space="preserve"> </w:t>
            </w:r>
            <w:r>
              <w:rPr>
                <w:rFonts w:hAnsi="宋体"/>
                <w:color w:val="000000"/>
                <w:kern w:val="0"/>
                <w:szCs w:val="21"/>
              </w:rPr>
              <w:t>粮食收购者、粮食储存企业未按照本条例规定使用粮食仓储设施、运输工具的，由粮食和储备行政管理等部门按照职责责令改正、给予警告；被污染的粮食不得非法销售、加工。</w:t>
            </w:r>
          </w:p>
        </w:tc>
        <w:tc>
          <w:tcPr>
            <w:tcW w:w="411" w:type="dxa"/>
            <w:noWrap/>
            <w:tcMar>
              <w:left w:w="51" w:type="dxa"/>
              <w:right w:w="51" w:type="dxa"/>
            </w:tcMar>
            <w:vAlign w:val="center"/>
          </w:tcPr>
          <w:p w14:paraId="52CC0D18">
            <w:pPr>
              <w:widowControl/>
              <w:jc w:val="left"/>
              <w:rPr>
                <w:color w:val="000000"/>
                <w:kern w:val="0"/>
                <w:szCs w:val="21"/>
              </w:rPr>
            </w:pPr>
          </w:p>
        </w:tc>
      </w:tr>
      <w:tr w14:paraId="178C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417" w:type="dxa"/>
            <w:noWrap w:val="0"/>
            <w:tcMar>
              <w:left w:w="51" w:type="dxa"/>
              <w:right w:w="51" w:type="dxa"/>
            </w:tcMar>
            <w:vAlign w:val="center"/>
          </w:tcPr>
          <w:p w14:paraId="546312D8">
            <w:pPr>
              <w:widowControl/>
              <w:jc w:val="center"/>
              <w:rPr>
                <w:color w:val="000000"/>
                <w:kern w:val="0"/>
                <w:szCs w:val="21"/>
              </w:rPr>
            </w:pPr>
            <w:r>
              <w:rPr>
                <w:rFonts w:hint="eastAsia"/>
                <w:color w:val="000000"/>
                <w:kern w:val="0"/>
                <w:szCs w:val="21"/>
                <w:lang w:val="en-US" w:eastAsia="zh-CN"/>
              </w:rPr>
              <w:t>8</w:t>
            </w:r>
            <w:r>
              <w:rPr>
                <w:color w:val="000000"/>
                <w:kern w:val="0"/>
                <w:szCs w:val="21"/>
              </w:rPr>
              <w:t>5</w:t>
            </w:r>
          </w:p>
        </w:tc>
        <w:tc>
          <w:tcPr>
            <w:tcW w:w="1834" w:type="dxa"/>
            <w:noWrap w:val="0"/>
            <w:tcMar>
              <w:left w:w="51" w:type="dxa"/>
              <w:right w:w="51" w:type="dxa"/>
            </w:tcMar>
            <w:vAlign w:val="center"/>
          </w:tcPr>
          <w:p w14:paraId="4AF998B5">
            <w:pPr>
              <w:widowControl/>
              <w:jc w:val="left"/>
              <w:rPr>
                <w:color w:val="000000"/>
                <w:kern w:val="0"/>
                <w:szCs w:val="21"/>
              </w:rPr>
            </w:pPr>
            <w:r>
              <w:rPr>
                <w:rFonts w:hAnsi="宋体"/>
                <w:color w:val="000000"/>
                <w:kern w:val="0"/>
                <w:szCs w:val="21"/>
              </w:rPr>
              <w:t>对粮食收购者、粮食储存企业将真菌毒素、农药残留、重金属等污染物质以及其他危害人体健康的物质含量超过食品安全标准限量的粮食作为食用用途销售出库的行政处罚</w:t>
            </w:r>
          </w:p>
        </w:tc>
        <w:tc>
          <w:tcPr>
            <w:tcW w:w="706" w:type="dxa"/>
            <w:noWrap w:val="0"/>
            <w:tcMar>
              <w:left w:w="51" w:type="dxa"/>
              <w:right w:w="51" w:type="dxa"/>
            </w:tcMar>
            <w:vAlign w:val="center"/>
          </w:tcPr>
          <w:p w14:paraId="40884963">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1919E296">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39FF488">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2DC401D5">
            <w:pPr>
              <w:widowControl/>
              <w:jc w:val="left"/>
              <w:rPr>
                <w:color w:val="000000"/>
                <w:kern w:val="0"/>
                <w:szCs w:val="21"/>
              </w:rPr>
            </w:pPr>
            <w:r>
              <w:rPr>
                <w:rFonts w:hAnsi="宋体"/>
                <w:b/>
                <w:bCs/>
                <w:color w:val="000000"/>
                <w:kern w:val="0"/>
                <w:szCs w:val="21"/>
              </w:rPr>
              <w:t>《粮食流通管理条例》第四十七条</w:t>
            </w:r>
            <w:r>
              <w:rPr>
                <w:color w:val="000000"/>
                <w:kern w:val="0"/>
                <w:szCs w:val="21"/>
              </w:rPr>
              <w:t xml:space="preserve"> </w:t>
            </w:r>
            <w:r>
              <w:rPr>
                <w:rFonts w:hAnsi="宋体"/>
                <w:color w:val="000000"/>
                <w:kern w:val="0"/>
                <w:szCs w:val="21"/>
              </w:rPr>
              <w:t>粮食收购者、粮食储存企业将下列粮食作为食用用途销售出库的，由粮食和储备行政管理部门没收违法所得；违法销售出库的粮食货值金额不足</w:t>
            </w:r>
            <w:r>
              <w:rPr>
                <w:color w:val="000000"/>
                <w:kern w:val="0"/>
                <w:szCs w:val="21"/>
              </w:rPr>
              <w:t>1</w:t>
            </w:r>
            <w:r>
              <w:rPr>
                <w:rFonts w:hAnsi="宋体"/>
                <w:color w:val="000000"/>
                <w:kern w:val="0"/>
                <w:szCs w:val="21"/>
              </w:rPr>
              <w:t>万元的，并处</w:t>
            </w:r>
            <w:r>
              <w:rPr>
                <w:color w:val="000000"/>
                <w:kern w:val="0"/>
                <w:szCs w:val="21"/>
              </w:rPr>
              <w:t>1</w:t>
            </w:r>
            <w:r>
              <w:rPr>
                <w:rFonts w:hAnsi="宋体"/>
                <w:color w:val="000000"/>
                <w:kern w:val="0"/>
                <w:szCs w:val="21"/>
              </w:rPr>
              <w:t>万元以上</w:t>
            </w:r>
            <w:r>
              <w:rPr>
                <w:color w:val="000000"/>
                <w:kern w:val="0"/>
                <w:szCs w:val="21"/>
              </w:rPr>
              <w:t>5</w:t>
            </w:r>
            <w:r>
              <w:rPr>
                <w:rFonts w:hAnsi="宋体"/>
                <w:color w:val="000000"/>
                <w:kern w:val="0"/>
                <w:szCs w:val="21"/>
              </w:rPr>
              <w:t>万元以下罚款，货值金额</w:t>
            </w:r>
            <w:r>
              <w:rPr>
                <w:color w:val="000000"/>
                <w:kern w:val="0"/>
                <w:szCs w:val="21"/>
              </w:rPr>
              <w:t>1</w:t>
            </w:r>
            <w:r>
              <w:rPr>
                <w:rFonts w:hAnsi="宋体"/>
                <w:color w:val="000000"/>
                <w:kern w:val="0"/>
                <w:szCs w:val="21"/>
              </w:rPr>
              <w:t>万元以上的，并处货值金额</w:t>
            </w:r>
            <w:r>
              <w:rPr>
                <w:color w:val="000000"/>
                <w:kern w:val="0"/>
                <w:szCs w:val="21"/>
              </w:rPr>
              <w:t>1</w:t>
            </w:r>
            <w:r>
              <w:rPr>
                <w:rFonts w:hAnsi="宋体"/>
                <w:color w:val="000000"/>
                <w:kern w:val="0"/>
                <w:szCs w:val="21"/>
              </w:rPr>
              <w:t>倍以上</w:t>
            </w:r>
            <w:r>
              <w:rPr>
                <w:color w:val="000000"/>
                <w:kern w:val="0"/>
                <w:szCs w:val="21"/>
              </w:rPr>
              <w:t>5</w:t>
            </w:r>
            <w:r>
              <w:rPr>
                <w:rFonts w:hAnsi="宋体"/>
                <w:color w:val="000000"/>
                <w:kern w:val="0"/>
                <w:szCs w:val="21"/>
              </w:rPr>
              <w:t>倍以下罚款：</w:t>
            </w:r>
          </w:p>
          <w:p w14:paraId="09EF3D3E">
            <w:pPr>
              <w:widowControl/>
              <w:jc w:val="left"/>
              <w:rPr>
                <w:color w:val="000000"/>
                <w:kern w:val="0"/>
                <w:szCs w:val="21"/>
              </w:rPr>
            </w:pPr>
            <w:r>
              <w:rPr>
                <w:rFonts w:hAnsi="宋体"/>
                <w:color w:val="000000"/>
                <w:kern w:val="0"/>
                <w:szCs w:val="21"/>
              </w:rPr>
              <w:t>（一）真菌毒素、农药残留、重金属等污染物质以及其他危害人体健康的物质含量超过食品安全标准限量的。</w:t>
            </w:r>
          </w:p>
        </w:tc>
        <w:tc>
          <w:tcPr>
            <w:tcW w:w="411" w:type="dxa"/>
            <w:noWrap/>
            <w:tcMar>
              <w:left w:w="51" w:type="dxa"/>
              <w:right w:w="51" w:type="dxa"/>
            </w:tcMar>
            <w:vAlign w:val="center"/>
          </w:tcPr>
          <w:p w14:paraId="39A0758E">
            <w:pPr>
              <w:widowControl/>
              <w:jc w:val="left"/>
              <w:rPr>
                <w:color w:val="000000"/>
                <w:kern w:val="0"/>
                <w:szCs w:val="21"/>
              </w:rPr>
            </w:pPr>
          </w:p>
        </w:tc>
      </w:tr>
      <w:tr w14:paraId="1821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417" w:type="dxa"/>
            <w:noWrap w:val="0"/>
            <w:tcMar>
              <w:left w:w="51" w:type="dxa"/>
              <w:right w:w="51" w:type="dxa"/>
            </w:tcMar>
            <w:vAlign w:val="center"/>
          </w:tcPr>
          <w:p w14:paraId="3B12C20F">
            <w:pPr>
              <w:widowControl/>
              <w:jc w:val="center"/>
              <w:rPr>
                <w:color w:val="000000"/>
                <w:kern w:val="0"/>
                <w:szCs w:val="21"/>
              </w:rPr>
            </w:pPr>
            <w:r>
              <w:rPr>
                <w:rFonts w:hint="eastAsia"/>
                <w:color w:val="000000"/>
                <w:kern w:val="0"/>
                <w:szCs w:val="21"/>
                <w:lang w:val="en-US" w:eastAsia="zh-CN"/>
              </w:rPr>
              <w:t>8</w:t>
            </w:r>
            <w:r>
              <w:rPr>
                <w:color w:val="000000"/>
                <w:kern w:val="0"/>
                <w:szCs w:val="21"/>
              </w:rPr>
              <w:t>6</w:t>
            </w:r>
          </w:p>
        </w:tc>
        <w:tc>
          <w:tcPr>
            <w:tcW w:w="1834" w:type="dxa"/>
            <w:noWrap w:val="0"/>
            <w:tcMar>
              <w:left w:w="51" w:type="dxa"/>
              <w:right w:w="51" w:type="dxa"/>
            </w:tcMar>
            <w:vAlign w:val="center"/>
          </w:tcPr>
          <w:p w14:paraId="673F838D">
            <w:pPr>
              <w:widowControl/>
              <w:jc w:val="left"/>
              <w:rPr>
                <w:color w:val="000000"/>
                <w:kern w:val="0"/>
                <w:szCs w:val="21"/>
              </w:rPr>
            </w:pPr>
            <w:r>
              <w:rPr>
                <w:rFonts w:hAnsi="宋体"/>
                <w:color w:val="000000"/>
                <w:kern w:val="0"/>
                <w:szCs w:val="21"/>
              </w:rPr>
              <w:t>对粮食收购者、粮食储存企业将霉变或者色泽、气味异常的粮食作为食用用途销售出库的行政处罚</w:t>
            </w:r>
          </w:p>
        </w:tc>
        <w:tc>
          <w:tcPr>
            <w:tcW w:w="706" w:type="dxa"/>
            <w:noWrap w:val="0"/>
            <w:tcMar>
              <w:left w:w="51" w:type="dxa"/>
              <w:right w:w="51" w:type="dxa"/>
            </w:tcMar>
            <w:vAlign w:val="center"/>
          </w:tcPr>
          <w:p w14:paraId="5074032B">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F29F98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29D1474">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6CB63362">
            <w:pPr>
              <w:widowControl/>
              <w:jc w:val="left"/>
              <w:rPr>
                <w:color w:val="000000"/>
                <w:kern w:val="0"/>
                <w:szCs w:val="21"/>
              </w:rPr>
            </w:pPr>
            <w:r>
              <w:rPr>
                <w:rFonts w:hAnsi="宋体"/>
                <w:b/>
                <w:bCs/>
                <w:color w:val="000000"/>
                <w:kern w:val="0"/>
                <w:szCs w:val="21"/>
              </w:rPr>
              <w:t>《粮食流通管理条例》第四十七条</w:t>
            </w:r>
            <w:r>
              <w:rPr>
                <w:color w:val="000000"/>
                <w:kern w:val="0"/>
                <w:szCs w:val="21"/>
              </w:rPr>
              <w:t xml:space="preserve"> </w:t>
            </w:r>
            <w:r>
              <w:rPr>
                <w:rFonts w:hAnsi="宋体"/>
                <w:color w:val="000000"/>
                <w:kern w:val="0"/>
                <w:szCs w:val="21"/>
              </w:rPr>
              <w:t>粮食收购者、粮食储存企业将下列粮食作为食用用途销售出库的，由粮食和储备行政管理部门没收违法所得；违法销售出库的粮食货值金额不足</w:t>
            </w:r>
            <w:r>
              <w:rPr>
                <w:color w:val="000000"/>
                <w:kern w:val="0"/>
                <w:szCs w:val="21"/>
              </w:rPr>
              <w:t>1</w:t>
            </w:r>
            <w:r>
              <w:rPr>
                <w:rFonts w:hAnsi="宋体"/>
                <w:color w:val="000000"/>
                <w:kern w:val="0"/>
                <w:szCs w:val="21"/>
              </w:rPr>
              <w:t>万元的，并处</w:t>
            </w:r>
            <w:r>
              <w:rPr>
                <w:color w:val="000000"/>
                <w:kern w:val="0"/>
                <w:szCs w:val="21"/>
              </w:rPr>
              <w:t>1</w:t>
            </w:r>
            <w:r>
              <w:rPr>
                <w:rFonts w:hAnsi="宋体"/>
                <w:color w:val="000000"/>
                <w:kern w:val="0"/>
                <w:szCs w:val="21"/>
              </w:rPr>
              <w:t>万元以上</w:t>
            </w:r>
            <w:r>
              <w:rPr>
                <w:color w:val="000000"/>
                <w:kern w:val="0"/>
                <w:szCs w:val="21"/>
              </w:rPr>
              <w:t>5</w:t>
            </w:r>
            <w:r>
              <w:rPr>
                <w:rFonts w:hAnsi="宋体"/>
                <w:color w:val="000000"/>
                <w:kern w:val="0"/>
                <w:szCs w:val="21"/>
              </w:rPr>
              <w:t>万元以下罚款，货值金额</w:t>
            </w:r>
            <w:r>
              <w:rPr>
                <w:color w:val="000000"/>
                <w:kern w:val="0"/>
                <w:szCs w:val="21"/>
              </w:rPr>
              <w:t>1</w:t>
            </w:r>
            <w:r>
              <w:rPr>
                <w:rFonts w:hAnsi="宋体"/>
                <w:color w:val="000000"/>
                <w:kern w:val="0"/>
                <w:szCs w:val="21"/>
              </w:rPr>
              <w:t>万元以上的，并处货值金额</w:t>
            </w:r>
            <w:r>
              <w:rPr>
                <w:color w:val="000000"/>
                <w:kern w:val="0"/>
                <w:szCs w:val="21"/>
              </w:rPr>
              <w:t>1</w:t>
            </w:r>
            <w:r>
              <w:rPr>
                <w:rFonts w:hAnsi="宋体"/>
                <w:color w:val="000000"/>
                <w:kern w:val="0"/>
                <w:szCs w:val="21"/>
              </w:rPr>
              <w:t>倍以上</w:t>
            </w:r>
            <w:r>
              <w:rPr>
                <w:color w:val="000000"/>
                <w:kern w:val="0"/>
                <w:szCs w:val="21"/>
              </w:rPr>
              <w:t>5</w:t>
            </w:r>
            <w:r>
              <w:rPr>
                <w:rFonts w:hAnsi="宋体"/>
                <w:color w:val="000000"/>
                <w:kern w:val="0"/>
                <w:szCs w:val="21"/>
              </w:rPr>
              <w:t>倍以下罚款：</w:t>
            </w:r>
          </w:p>
          <w:p w14:paraId="52070CDA">
            <w:pPr>
              <w:widowControl/>
              <w:jc w:val="left"/>
              <w:rPr>
                <w:color w:val="000000"/>
                <w:kern w:val="0"/>
                <w:szCs w:val="21"/>
              </w:rPr>
            </w:pPr>
            <w:r>
              <w:rPr>
                <w:rFonts w:hAnsi="宋体"/>
                <w:color w:val="000000"/>
                <w:kern w:val="0"/>
                <w:szCs w:val="21"/>
              </w:rPr>
              <w:t>（二）霉变或者色泽、气味异常的。</w:t>
            </w:r>
          </w:p>
        </w:tc>
        <w:tc>
          <w:tcPr>
            <w:tcW w:w="411" w:type="dxa"/>
            <w:noWrap/>
            <w:tcMar>
              <w:left w:w="51" w:type="dxa"/>
              <w:right w:w="51" w:type="dxa"/>
            </w:tcMar>
            <w:vAlign w:val="center"/>
          </w:tcPr>
          <w:p w14:paraId="5B8B7341">
            <w:pPr>
              <w:widowControl/>
              <w:jc w:val="left"/>
              <w:rPr>
                <w:color w:val="000000"/>
                <w:kern w:val="0"/>
                <w:szCs w:val="21"/>
              </w:rPr>
            </w:pPr>
          </w:p>
        </w:tc>
      </w:tr>
      <w:tr w14:paraId="55AE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417" w:type="dxa"/>
            <w:noWrap w:val="0"/>
            <w:tcMar>
              <w:left w:w="51" w:type="dxa"/>
              <w:right w:w="51" w:type="dxa"/>
            </w:tcMar>
            <w:vAlign w:val="center"/>
          </w:tcPr>
          <w:p w14:paraId="49DB7F91">
            <w:pPr>
              <w:widowControl/>
              <w:jc w:val="center"/>
              <w:rPr>
                <w:color w:val="000000"/>
                <w:kern w:val="0"/>
                <w:szCs w:val="21"/>
              </w:rPr>
            </w:pPr>
            <w:r>
              <w:rPr>
                <w:rFonts w:hint="eastAsia"/>
                <w:color w:val="000000"/>
                <w:kern w:val="0"/>
                <w:szCs w:val="21"/>
                <w:lang w:val="en-US" w:eastAsia="zh-CN"/>
              </w:rPr>
              <w:t>8</w:t>
            </w:r>
            <w:r>
              <w:rPr>
                <w:color w:val="000000"/>
                <w:kern w:val="0"/>
                <w:szCs w:val="21"/>
              </w:rPr>
              <w:t>7</w:t>
            </w:r>
          </w:p>
        </w:tc>
        <w:tc>
          <w:tcPr>
            <w:tcW w:w="1834" w:type="dxa"/>
            <w:noWrap w:val="0"/>
            <w:tcMar>
              <w:left w:w="51" w:type="dxa"/>
              <w:right w:w="51" w:type="dxa"/>
            </w:tcMar>
            <w:vAlign w:val="center"/>
          </w:tcPr>
          <w:p w14:paraId="49C04148">
            <w:pPr>
              <w:widowControl/>
              <w:jc w:val="left"/>
              <w:rPr>
                <w:color w:val="000000"/>
                <w:kern w:val="0"/>
                <w:szCs w:val="21"/>
              </w:rPr>
            </w:pPr>
            <w:r>
              <w:rPr>
                <w:rFonts w:hAnsi="宋体"/>
                <w:color w:val="000000"/>
                <w:kern w:val="0"/>
                <w:szCs w:val="21"/>
              </w:rPr>
              <w:t>对粮食收购者、粮食储存企业将储存期间使用储粮药剂未满安全间隔期的粮食作为食用用途销售出库的行政处罚</w:t>
            </w:r>
          </w:p>
        </w:tc>
        <w:tc>
          <w:tcPr>
            <w:tcW w:w="706" w:type="dxa"/>
            <w:noWrap w:val="0"/>
            <w:tcMar>
              <w:left w:w="51" w:type="dxa"/>
              <w:right w:w="51" w:type="dxa"/>
            </w:tcMar>
            <w:vAlign w:val="center"/>
          </w:tcPr>
          <w:p w14:paraId="263458F9">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60A0CEF">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99730EF">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79AC9093">
            <w:pPr>
              <w:widowControl/>
              <w:jc w:val="left"/>
              <w:rPr>
                <w:color w:val="000000"/>
                <w:kern w:val="0"/>
                <w:szCs w:val="21"/>
              </w:rPr>
            </w:pPr>
            <w:r>
              <w:rPr>
                <w:rFonts w:hAnsi="宋体"/>
                <w:b/>
                <w:bCs/>
                <w:color w:val="000000"/>
                <w:kern w:val="0"/>
                <w:szCs w:val="21"/>
              </w:rPr>
              <w:t>《粮食流通管理条例》第四十七条</w:t>
            </w:r>
            <w:r>
              <w:rPr>
                <w:color w:val="000000"/>
                <w:kern w:val="0"/>
                <w:szCs w:val="21"/>
              </w:rPr>
              <w:t xml:space="preserve"> </w:t>
            </w:r>
            <w:r>
              <w:rPr>
                <w:rFonts w:hAnsi="宋体"/>
                <w:color w:val="000000"/>
                <w:kern w:val="0"/>
                <w:szCs w:val="21"/>
              </w:rPr>
              <w:t>粮食收购者、粮食储存企业将下列粮食作为食用用途销售出库的，由粮食和储备行政管理部门没收违法所得；违法销售出库的粮食货值金额不足</w:t>
            </w:r>
            <w:r>
              <w:rPr>
                <w:color w:val="000000"/>
                <w:kern w:val="0"/>
                <w:szCs w:val="21"/>
              </w:rPr>
              <w:t>1</w:t>
            </w:r>
            <w:r>
              <w:rPr>
                <w:rFonts w:hAnsi="宋体"/>
                <w:color w:val="000000"/>
                <w:kern w:val="0"/>
                <w:szCs w:val="21"/>
              </w:rPr>
              <w:t>万元的，并处</w:t>
            </w:r>
            <w:r>
              <w:rPr>
                <w:color w:val="000000"/>
                <w:kern w:val="0"/>
                <w:szCs w:val="21"/>
              </w:rPr>
              <w:t>1</w:t>
            </w:r>
            <w:r>
              <w:rPr>
                <w:rFonts w:hAnsi="宋体"/>
                <w:color w:val="000000"/>
                <w:kern w:val="0"/>
                <w:szCs w:val="21"/>
              </w:rPr>
              <w:t>万元以上</w:t>
            </w:r>
            <w:r>
              <w:rPr>
                <w:color w:val="000000"/>
                <w:kern w:val="0"/>
                <w:szCs w:val="21"/>
              </w:rPr>
              <w:t>5</w:t>
            </w:r>
            <w:r>
              <w:rPr>
                <w:rFonts w:hAnsi="宋体"/>
                <w:color w:val="000000"/>
                <w:kern w:val="0"/>
                <w:szCs w:val="21"/>
              </w:rPr>
              <w:t>万元以下罚款，货值金额</w:t>
            </w:r>
            <w:r>
              <w:rPr>
                <w:color w:val="000000"/>
                <w:kern w:val="0"/>
                <w:szCs w:val="21"/>
              </w:rPr>
              <w:t>1</w:t>
            </w:r>
            <w:r>
              <w:rPr>
                <w:rFonts w:hAnsi="宋体"/>
                <w:color w:val="000000"/>
                <w:kern w:val="0"/>
                <w:szCs w:val="21"/>
              </w:rPr>
              <w:t>万元以上的，并处货值金额</w:t>
            </w:r>
            <w:r>
              <w:rPr>
                <w:color w:val="000000"/>
                <w:kern w:val="0"/>
                <w:szCs w:val="21"/>
              </w:rPr>
              <w:t>1</w:t>
            </w:r>
            <w:r>
              <w:rPr>
                <w:rFonts w:hAnsi="宋体"/>
                <w:color w:val="000000"/>
                <w:kern w:val="0"/>
                <w:szCs w:val="21"/>
              </w:rPr>
              <w:t>倍以上</w:t>
            </w:r>
            <w:r>
              <w:rPr>
                <w:color w:val="000000"/>
                <w:kern w:val="0"/>
                <w:szCs w:val="21"/>
              </w:rPr>
              <w:t>5</w:t>
            </w:r>
            <w:r>
              <w:rPr>
                <w:rFonts w:hAnsi="宋体"/>
                <w:color w:val="000000"/>
                <w:kern w:val="0"/>
                <w:szCs w:val="21"/>
              </w:rPr>
              <w:t>倍以下罚款：</w:t>
            </w:r>
          </w:p>
          <w:p w14:paraId="31DFCFB0">
            <w:pPr>
              <w:widowControl/>
              <w:jc w:val="left"/>
              <w:rPr>
                <w:color w:val="000000"/>
                <w:kern w:val="0"/>
                <w:szCs w:val="21"/>
              </w:rPr>
            </w:pPr>
            <w:r>
              <w:rPr>
                <w:rFonts w:hAnsi="宋体"/>
                <w:color w:val="000000"/>
                <w:kern w:val="0"/>
                <w:szCs w:val="21"/>
              </w:rPr>
              <w:t>（三）储存期间使用储粮药剂未满安全间隔期的。</w:t>
            </w:r>
          </w:p>
        </w:tc>
        <w:tc>
          <w:tcPr>
            <w:tcW w:w="411" w:type="dxa"/>
            <w:noWrap/>
            <w:tcMar>
              <w:left w:w="51" w:type="dxa"/>
              <w:right w:w="51" w:type="dxa"/>
            </w:tcMar>
            <w:vAlign w:val="center"/>
          </w:tcPr>
          <w:p w14:paraId="594886CC">
            <w:pPr>
              <w:widowControl/>
              <w:jc w:val="left"/>
              <w:rPr>
                <w:color w:val="000000"/>
                <w:kern w:val="0"/>
                <w:szCs w:val="21"/>
              </w:rPr>
            </w:pPr>
          </w:p>
        </w:tc>
      </w:tr>
      <w:tr w14:paraId="4683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17" w:type="dxa"/>
            <w:noWrap w:val="0"/>
            <w:tcMar>
              <w:left w:w="51" w:type="dxa"/>
              <w:right w:w="51" w:type="dxa"/>
            </w:tcMar>
            <w:vAlign w:val="center"/>
          </w:tcPr>
          <w:p w14:paraId="6A2DC3B3">
            <w:pPr>
              <w:widowControl/>
              <w:jc w:val="center"/>
              <w:rPr>
                <w:color w:val="000000"/>
                <w:kern w:val="0"/>
                <w:szCs w:val="21"/>
              </w:rPr>
            </w:pPr>
            <w:r>
              <w:rPr>
                <w:rFonts w:hint="eastAsia"/>
                <w:color w:val="000000"/>
                <w:kern w:val="0"/>
                <w:szCs w:val="21"/>
                <w:lang w:val="en-US" w:eastAsia="zh-CN"/>
              </w:rPr>
              <w:t>8</w:t>
            </w:r>
            <w:r>
              <w:rPr>
                <w:color w:val="000000"/>
                <w:kern w:val="0"/>
                <w:szCs w:val="21"/>
              </w:rPr>
              <w:t>8</w:t>
            </w:r>
          </w:p>
        </w:tc>
        <w:tc>
          <w:tcPr>
            <w:tcW w:w="1834" w:type="dxa"/>
            <w:noWrap w:val="0"/>
            <w:tcMar>
              <w:left w:w="51" w:type="dxa"/>
              <w:right w:w="51" w:type="dxa"/>
            </w:tcMar>
            <w:vAlign w:val="center"/>
          </w:tcPr>
          <w:p w14:paraId="03019013">
            <w:pPr>
              <w:widowControl/>
              <w:jc w:val="left"/>
              <w:rPr>
                <w:color w:val="000000"/>
                <w:kern w:val="0"/>
                <w:szCs w:val="21"/>
              </w:rPr>
            </w:pPr>
            <w:r>
              <w:rPr>
                <w:rFonts w:hAnsi="宋体"/>
                <w:color w:val="000000"/>
                <w:kern w:val="0"/>
                <w:szCs w:val="21"/>
              </w:rPr>
              <w:t>对粮食收购者、粮食储存企业将被包装材料、容器、运输工具等污染的粮食作为食用用途销售出库的行政处罚</w:t>
            </w:r>
          </w:p>
        </w:tc>
        <w:tc>
          <w:tcPr>
            <w:tcW w:w="706" w:type="dxa"/>
            <w:noWrap w:val="0"/>
            <w:tcMar>
              <w:left w:w="51" w:type="dxa"/>
              <w:right w:w="51" w:type="dxa"/>
            </w:tcMar>
            <w:vAlign w:val="center"/>
          </w:tcPr>
          <w:p w14:paraId="5B93533C">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FC3EB3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C6E5615">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640D522A">
            <w:pPr>
              <w:widowControl/>
              <w:jc w:val="left"/>
              <w:rPr>
                <w:color w:val="000000"/>
                <w:kern w:val="0"/>
                <w:szCs w:val="21"/>
              </w:rPr>
            </w:pPr>
            <w:r>
              <w:rPr>
                <w:rFonts w:hAnsi="宋体"/>
                <w:b/>
                <w:bCs/>
                <w:color w:val="000000"/>
                <w:kern w:val="0"/>
                <w:szCs w:val="21"/>
              </w:rPr>
              <w:t>《粮食流通管理条例》第四十七条</w:t>
            </w:r>
            <w:r>
              <w:rPr>
                <w:color w:val="000000"/>
                <w:kern w:val="0"/>
                <w:szCs w:val="21"/>
              </w:rPr>
              <w:t xml:space="preserve"> </w:t>
            </w:r>
            <w:r>
              <w:rPr>
                <w:rFonts w:hAnsi="宋体"/>
                <w:color w:val="000000"/>
                <w:kern w:val="0"/>
                <w:szCs w:val="21"/>
              </w:rPr>
              <w:t>粮食收购者、粮食储存企业将下列粮食作为食用用途销售出库的，由粮食和储备行政管理部门没收违法所得；违法销售出库的粮食货值金额不足</w:t>
            </w:r>
            <w:r>
              <w:rPr>
                <w:color w:val="000000"/>
                <w:kern w:val="0"/>
                <w:szCs w:val="21"/>
              </w:rPr>
              <w:t>1</w:t>
            </w:r>
            <w:r>
              <w:rPr>
                <w:rFonts w:hAnsi="宋体"/>
                <w:color w:val="000000"/>
                <w:kern w:val="0"/>
                <w:szCs w:val="21"/>
              </w:rPr>
              <w:t>万元的，并处</w:t>
            </w:r>
            <w:r>
              <w:rPr>
                <w:color w:val="000000"/>
                <w:kern w:val="0"/>
                <w:szCs w:val="21"/>
              </w:rPr>
              <w:t>1</w:t>
            </w:r>
            <w:r>
              <w:rPr>
                <w:rFonts w:hAnsi="宋体"/>
                <w:color w:val="000000"/>
                <w:kern w:val="0"/>
                <w:szCs w:val="21"/>
              </w:rPr>
              <w:t>万元以上</w:t>
            </w:r>
            <w:r>
              <w:rPr>
                <w:color w:val="000000"/>
                <w:kern w:val="0"/>
                <w:szCs w:val="21"/>
              </w:rPr>
              <w:t>5</w:t>
            </w:r>
            <w:r>
              <w:rPr>
                <w:rFonts w:hAnsi="宋体"/>
                <w:color w:val="000000"/>
                <w:kern w:val="0"/>
                <w:szCs w:val="21"/>
              </w:rPr>
              <w:t>万元以下罚款，货值金额</w:t>
            </w:r>
            <w:r>
              <w:rPr>
                <w:color w:val="000000"/>
                <w:kern w:val="0"/>
                <w:szCs w:val="21"/>
              </w:rPr>
              <w:t>1</w:t>
            </w:r>
            <w:r>
              <w:rPr>
                <w:rFonts w:hAnsi="宋体"/>
                <w:color w:val="000000"/>
                <w:kern w:val="0"/>
                <w:szCs w:val="21"/>
              </w:rPr>
              <w:t>万元以上的，并处货值金额</w:t>
            </w:r>
            <w:r>
              <w:rPr>
                <w:color w:val="000000"/>
                <w:kern w:val="0"/>
                <w:szCs w:val="21"/>
              </w:rPr>
              <w:t>1</w:t>
            </w:r>
            <w:r>
              <w:rPr>
                <w:rFonts w:hAnsi="宋体"/>
                <w:color w:val="000000"/>
                <w:kern w:val="0"/>
                <w:szCs w:val="21"/>
              </w:rPr>
              <w:t>倍以上</w:t>
            </w:r>
            <w:r>
              <w:rPr>
                <w:color w:val="000000"/>
                <w:kern w:val="0"/>
                <w:szCs w:val="21"/>
              </w:rPr>
              <w:t>5</w:t>
            </w:r>
            <w:r>
              <w:rPr>
                <w:rFonts w:hAnsi="宋体"/>
                <w:color w:val="000000"/>
                <w:kern w:val="0"/>
                <w:szCs w:val="21"/>
              </w:rPr>
              <w:t>倍以下罚款：</w:t>
            </w:r>
          </w:p>
          <w:p w14:paraId="6AF3A987">
            <w:pPr>
              <w:widowControl/>
              <w:jc w:val="left"/>
              <w:rPr>
                <w:color w:val="000000"/>
                <w:kern w:val="0"/>
                <w:szCs w:val="21"/>
              </w:rPr>
            </w:pPr>
            <w:r>
              <w:rPr>
                <w:rFonts w:hAnsi="宋体"/>
                <w:color w:val="000000"/>
                <w:kern w:val="0"/>
                <w:szCs w:val="21"/>
              </w:rPr>
              <w:t>（四）被包装材料、容器、运输工具等污染的。</w:t>
            </w:r>
          </w:p>
        </w:tc>
        <w:tc>
          <w:tcPr>
            <w:tcW w:w="411" w:type="dxa"/>
            <w:noWrap/>
            <w:tcMar>
              <w:left w:w="51" w:type="dxa"/>
              <w:right w:w="51" w:type="dxa"/>
            </w:tcMar>
            <w:vAlign w:val="center"/>
          </w:tcPr>
          <w:p w14:paraId="6C0DB784">
            <w:pPr>
              <w:widowControl/>
              <w:jc w:val="left"/>
              <w:rPr>
                <w:color w:val="000000"/>
                <w:kern w:val="0"/>
                <w:szCs w:val="21"/>
              </w:rPr>
            </w:pPr>
          </w:p>
        </w:tc>
      </w:tr>
      <w:tr w14:paraId="095D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417" w:type="dxa"/>
            <w:noWrap w:val="0"/>
            <w:tcMar>
              <w:left w:w="51" w:type="dxa"/>
              <w:right w:w="51" w:type="dxa"/>
            </w:tcMar>
            <w:vAlign w:val="center"/>
          </w:tcPr>
          <w:p w14:paraId="18CD8E0D">
            <w:pPr>
              <w:widowControl/>
              <w:jc w:val="center"/>
              <w:rPr>
                <w:color w:val="000000"/>
                <w:kern w:val="0"/>
                <w:szCs w:val="21"/>
              </w:rPr>
            </w:pPr>
            <w:r>
              <w:rPr>
                <w:rFonts w:hint="eastAsia"/>
                <w:color w:val="000000"/>
                <w:kern w:val="0"/>
                <w:szCs w:val="21"/>
                <w:lang w:val="en-US" w:eastAsia="zh-CN"/>
              </w:rPr>
              <w:t>8</w:t>
            </w:r>
            <w:r>
              <w:rPr>
                <w:color w:val="000000"/>
                <w:kern w:val="0"/>
                <w:szCs w:val="21"/>
              </w:rPr>
              <w:t>9</w:t>
            </w:r>
          </w:p>
        </w:tc>
        <w:tc>
          <w:tcPr>
            <w:tcW w:w="1834" w:type="dxa"/>
            <w:noWrap w:val="0"/>
            <w:tcMar>
              <w:left w:w="51" w:type="dxa"/>
              <w:right w:w="51" w:type="dxa"/>
            </w:tcMar>
            <w:vAlign w:val="center"/>
          </w:tcPr>
          <w:p w14:paraId="70431536">
            <w:pPr>
              <w:widowControl/>
              <w:jc w:val="left"/>
              <w:rPr>
                <w:color w:val="000000"/>
                <w:kern w:val="0"/>
                <w:szCs w:val="21"/>
              </w:rPr>
            </w:pPr>
            <w:r>
              <w:rPr>
                <w:rFonts w:hAnsi="宋体"/>
                <w:color w:val="000000"/>
                <w:kern w:val="0"/>
                <w:szCs w:val="21"/>
              </w:rPr>
              <w:t>对粮食收购者、粮食储存企业将其他法律、法规或者国家有关规定明确不得作为食用用途的粮食销售出库的行政处罚</w:t>
            </w:r>
          </w:p>
        </w:tc>
        <w:tc>
          <w:tcPr>
            <w:tcW w:w="706" w:type="dxa"/>
            <w:noWrap w:val="0"/>
            <w:tcMar>
              <w:left w:w="51" w:type="dxa"/>
              <w:right w:w="51" w:type="dxa"/>
            </w:tcMar>
            <w:vAlign w:val="center"/>
          </w:tcPr>
          <w:p w14:paraId="05B87419">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76E1A98">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5AD7724">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205C9FF4">
            <w:pPr>
              <w:widowControl/>
              <w:jc w:val="left"/>
              <w:rPr>
                <w:color w:val="000000"/>
                <w:kern w:val="0"/>
                <w:szCs w:val="21"/>
              </w:rPr>
            </w:pPr>
            <w:r>
              <w:rPr>
                <w:rFonts w:hAnsi="宋体"/>
                <w:b/>
                <w:bCs/>
                <w:color w:val="000000"/>
                <w:kern w:val="0"/>
                <w:szCs w:val="21"/>
              </w:rPr>
              <w:t>《粮食流通管理条例》第四十七条</w:t>
            </w:r>
            <w:r>
              <w:rPr>
                <w:color w:val="000000"/>
                <w:kern w:val="0"/>
                <w:szCs w:val="21"/>
              </w:rPr>
              <w:t xml:space="preserve"> </w:t>
            </w:r>
            <w:r>
              <w:rPr>
                <w:rFonts w:hAnsi="宋体"/>
                <w:color w:val="000000"/>
                <w:kern w:val="0"/>
                <w:szCs w:val="21"/>
              </w:rPr>
              <w:t>粮食收购者、粮食储存企业将下列粮食作为食用用途销售出库的，由粮食和储备行政管理部门没收违法所得；违法销售出库的粮食货值金额不足</w:t>
            </w:r>
            <w:r>
              <w:rPr>
                <w:color w:val="000000"/>
                <w:kern w:val="0"/>
                <w:szCs w:val="21"/>
              </w:rPr>
              <w:t>1</w:t>
            </w:r>
            <w:r>
              <w:rPr>
                <w:rFonts w:hAnsi="宋体"/>
                <w:color w:val="000000"/>
                <w:kern w:val="0"/>
                <w:szCs w:val="21"/>
              </w:rPr>
              <w:t>万元的，并处</w:t>
            </w:r>
            <w:r>
              <w:rPr>
                <w:color w:val="000000"/>
                <w:kern w:val="0"/>
                <w:szCs w:val="21"/>
              </w:rPr>
              <w:t>1</w:t>
            </w:r>
            <w:r>
              <w:rPr>
                <w:rFonts w:hAnsi="宋体"/>
                <w:color w:val="000000"/>
                <w:kern w:val="0"/>
                <w:szCs w:val="21"/>
              </w:rPr>
              <w:t>万元以上</w:t>
            </w:r>
            <w:r>
              <w:rPr>
                <w:color w:val="000000"/>
                <w:kern w:val="0"/>
                <w:szCs w:val="21"/>
              </w:rPr>
              <w:t>5</w:t>
            </w:r>
            <w:r>
              <w:rPr>
                <w:rFonts w:hAnsi="宋体"/>
                <w:color w:val="000000"/>
                <w:kern w:val="0"/>
                <w:szCs w:val="21"/>
              </w:rPr>
              <w:t>万元以下罚款，货值金额</w:t>
            </w:r>
            <w:r>
              <w:rPr>
                <w:color w:val="000000"/>
                <w:kern w:val="0"/>
                <w:szCs w:val="21"/>
              </w:rPr>
              <w:t>1</w:t>
            </w:r>
            <w:r>
              <w:rPr>
                <w:rFonts w:hAnsi="宋体"/>
                <w:color w:val="000000"/>
                <w:kern w:val="0"/>
                <w:szCs w:val="21"/>
              </w:rPr>
              <w:t>万元以上的，并处货值金额</w:t>
            </w:r>
            <w:r>
              <w:rPr>
                <w:color w:val="000000"/>
                <w:kern w:val="0"/>
                <w:szCs w:val="21"/>
              </w:rPr>
              <w:t>1</w:t>
            </w:r>
            <w:r>
              <w:rPr>
                <w:rFonts w:hAnsi="宋体"/>
                <w:color w:val="000000"/>
                <w:kern w:val="0"/>
                <w:szCs w:val="21"/>
              </w:rPr>
              <w:t>倍以上</w:t>
            </w:r>
            <w:r>
              <w:rPr>
                <w:color w:val="000000"/>
                <w:kern w:val="0"/>
                <w:szCs w:val="21"/>
              </w:rPr>
              <w:t>5</w:t>
            </w:r>
            <w:r>
              <w:rPr>
                <w:rFonts w:hAnsi="宋体"/>
                <w:color w:val="000000"/>
                <w:kern w:val="0"/>
                <w:szCs w:val="21"/>
              </w:rPr>
              <w:t>倍以下罚款：</w:t>
            </w:r>
          </w:p>
          <w:p w14:paraId="04105490">
            <w:pPr>
              <w:widowControl/>
              <w:jc w:val="left"/>
              <w:rPr>
                <w:color w:val="000000"/>
                <w:kern w:val="0"/>
                <w:szCs w:val="21"/>
              </w:rPr>
            </w:pPr>
            <w:r>
              <w:rPr>
                <w:rFonts w:hAnsi="宋体"/>
                <w:color w:val="000000"/>
                <w:kern w:val="0"/>
                <w:szCs w:val="21"/>
              </w:rPr>
              <w:t>（五）其他法律、法规或者国家有关规定明确不得作为食用用途销售的。</w:t>
            </w:r>
          </w:p>
        </w:tc>
        <w:tc>
          <w:tcPr>
            <w:tcW w:w="411" w:type="dxa"/>
            <w:noWrap/>
            <w:tcMar>
              <w:left w:w="51" w:type="dxa"/>
              <w:right w:w="51" w:type="dxa"/>
            </w:tcMar>
            <w:vAlign w:val="center"/>
          </w:tcPr>
          <w:p w14:paraId="0F27A892">
            <w:pPr>
              <w:widowControl/>
              <w:jc w:val="left"/>
              <w:rPr>
                <w:color w:val="000000"/>
                <w:kern w:val="0"/>
                <w:szCs w:val="21"/>
              </w:rPr>
            </w:pPr>
          </w:p>
        </w:tc>
      </w:tr>
      <w:tr w14:paraId="71CA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417" w:type="dxa"/>
            <w:noWrap w:val="0"/>
            <w:tcMar>
              <w:left w:w="51" w:type="dxa"/>
              <w:right w:w="51" w:type="dxa"/>
            </w:tcMar>
            <w:vAlign w:val="center"/>
          </w:tcPr>
          <w:p w14:paraId="31863380">
            <w:pPr>
              <w:widowControl/>
              <w:jc w:val="center"/>
              <w:rPr>
                <w:rFonts w:hint="default" w:eastAsia="宋体"/>
                <w:color w:val="000000"/>
                <w:kern w:val="0"/>
                <w:szCs w:val="21"/>
                <w:lang w:val="en-US" w:eastAsia="zh-CN"/>
              </w:rPr>
            </w:pPr>
            <w:r>
              <w:rPr>
                <w:rFonts w:hint="eastAsia"/>
                <w:color w:val="000000"/>
                <w:kern w:val="0"/>
                <w:szCs w:val="21"/>
                <w:lang w:val="en-US" w:eastAsia="zh-CN"/>
              </w:rPr>
              <w:t>90</w:t>
            </w:r>
          </w:p>
        </w:tc>
        <w:tc>
          <w:tcPr>
            <w:tcW w:w="1834" w:type="dxa"/>
            <w:noWrap w:val="0"/>
            <w:tcMar>
              <w:left w:w="51" w:type="dxa"/>
              <w:right w:w="51" w:type="dxa"/>
            </w:tcMar>
            <w:vAlign w:val="center"/>
          </w:tcPr>
          <w:p w14:paraId="177788C3">
            <w:pPr>
              <w:widowControl/>
              <w:jc w:val="left"/>
              <w:rPr>
                <w:color w:val="000000"/>
                <w:kern w:val="0"/>
                <w:szCs w:val="21"/>
              </w:rPr>
            </w:pPr>
            <w:r>
              <w:rPr>
                <w:rFonts w:hAnsi="宋体"/>
                <w:color w:val="000000"/>
                <w:kern w:val="0"/>
                <w:szCs w:val="21"/>
              </w:rPr>
              <w:t>对虚报政策性粮食收储数量的行政处罚</w:t>
            </w:r>
          </w:p>
        </w:tc>
        <w:tc>
          <w:tcPr>
            <w:tcW w:w="706" w:type="dxa"/>
            <w:noWrap w:val="0"/>
            <w:tcMar>
              <w:left w:w="51" w:type="dxa"/>
              <w:right w:w="51" w:type="dxa"/>
            </w:tcMar>
            <w:vAlign w:val="center"/>
          </w:tcPr>
          <w:p w14:paraId="1598F584">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86F1D61">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1A30AFB">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088EA950">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734561F0">
            <w:pPr>
              <w:widowControl/>
              <w:jc w:val="left"/>
              <w:rPr>
                <w:color w:val="000000"/>
                <w:kern w:val="0"/>
                <w:szCs w:val="21"/>
              </w:rPr>
            </w:pPr>
            <w:r>
              <w:rPr>
                <w:rFonts w:hAnsi="宋体"/>
                <w:color w:val="000000"/>
                <w:kern w:val="0"/>
                <w:szCs w:val="21"/>
              </w:rPr>
              <w:t>（一）虚报粮食收储数量。</w:t>
            </w:r>
          </w:p>
        </w:tc>
        <w:tc>
          <w:tcPr>
            <w:tcW w:w="411" w:type="dxa"/>
            <w:noWrap/>
            <w:tcMar>
              <w:left w:w="51" w:type="dxa"/>
              <w:right w:w="51" w:type="dxa"/>
            </w:tcMar>
            <w:vAlign w:val="center"/>
          </w:tcPr>
          <w:p w14:paraId="58827CE5">
            <w:pPr>
              <w:widowControl/>
              <w:jc w:val="left"/>
              <w:rPr>
                <w:color w:val="000000"/>
                <w:kern w:val="0"/>
                <w:szCs w:val="21"/>
              </w:rPr>
            </w:pPr>
          </w:p>
        </w:tc>
      </w:tr>
      <w:tr w14:paraId="6F04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417" w:type="dxa"/>
            <w:noWrap w:val="0"/>
            <w:tcMar>
              <w:left w:w="51" w:type="dxa"/>
              <w:right w:w="51" w:type="dxa"/>
            </w:tcMar>
            <w:vAlign w:val="center"/>
          </w:tcPr>
          <w:p w14:paraId="7DBF1E6A">
            <w:pPr>
              <w:widowControl/>
              <w:jc w:val="center"/>
              <w:rPr>
                <w:color w:val="000000"/>
                <w:kern w:val="0"/>
                <w:szCs w:val="21"/>
              </w:rPr>
            </w:pPr>
            <w:r>
              <w:rPr>
                <w:rFonts w:hint="eastAsia"/>
                <w:color w:val="000000"/>
                <w:kern w:val="0"/>
                <w:szCs w:val="21"/>
                <w:lang w:val="en-US" w:eastAsia="zh-CN"/>
              </w:rPr>
              <w:t>9</w:t>
            </w:r>
            <w:r>
              <w:rPr>
                <w:color w:val="000000"/>
                <w:kern w:val="0"/>
                <w:szCs w:val="21"/>
              </w:rPr>
              <w:t>1</w:t>
            </w:r>
          </w:p>
        </w:tc>
        <w:tc>
          <w:tcPr>
            <w:tcW w:w="1834" w:type="dxa"/>
            <w:noWrap w:val="0"/>
            <w:tcMar>
              <w:left w:w="51" w:type="dxa"/>
              <w:right w:w="51" w:type="dxa"/>
            </w:tcMar>
            <w:vAlign w:val="center"/>
          </w:tcPr>
          <w:p w14:paraId="1EC628F8">
            <w:pPr>
              <w:widowControl/>
              <w:jc w:val="left"/>
              <w:rPr>
                <w:color w:val="000000"/>
                <w:kern w:val="0"/>
                <w:szCs w:val="21"/>
              </w:rPr>
            </w:pPr>
            <w:r>
              <w:rPr>
                <w:rFonts w:hAnsi="宋体"/>
                <w:color w:val="000000"/>
                <w:kern w:val="0"/>
                <w:szCs w:val="21"/>
              </w:rPr>
              <w:t>对通过以陈顶新、以次充好、低收高转、虚假购销、虚假轮换、违规倒卖等方式，套取粮食价差和财政补贴，骗取信贷资金的行政处罚</w:t>
            </w:r>
          </w:p>
        </w:tc>
        <w:tc>
          <w:tcPr>
            <w:tcW w:w="706" w:type="dxa"/>
            <w:noWrap w:val="0"/>
            <w:tcMar>
              <w:left w:w="51" w:type="dxa"/>
              <w:right w:w="51" w:type="dxa"/>
            </w:tcMar>
            <w:vAlign w:val="center"/>
          </w:tcPr>
          <w:p w14:paraId="4704511C">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ACDE700">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0AAA9F8">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F3CB4EF">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01E534CF">
            <w:pPr>
              <w:widowControl/>
              <w:jc w:val="left"/>
              <w:rPr>
                <w:color w:val="000000"/>
                <w:kern w:val="0"/>
                <w:szCs w:val="21"/>
              </w:rPr>
            </w:pPr>
            <w:r>
              <w:rPr>
                <w:rFonts w:hAnsi="宋体"/>
                <w:color w:val="000000"/>
                <w:kern w:val="0"/>
                <w:szCs w:val="21"/>
              </w:rPr>
              <w:t>（二）通过以陈顶新、以次充好、低收高转、虚假购销、虚假轮换、违规倒卖等方式，套取粮食价差和财政补贴，骗取信贷资金。</w:t>
            </w:r>
          </w:p>
        </w:tc>
        <w:tc>
          <w:tcPr>
            <w:tcW w:w="411" w:type="dxa"/>
            <w:noWrap/>
            <w:tcMar>
              <w:left w:w="51" w:type="dxa"/>
              <w:right w:w="51" w:type="dxa"/>
            </w:tcMar>
            <w:vAlign w:val="center"/>
          </w:tcPr>
          <w:p w14:paraId="5CEB5133">
            <w:pPr>
              <w:widowControl/>
              <w:jc w:val="left"/>
              <w:rPr>
                <w:color w:val="000000"/>
                <w:kern w:val="0"/>
                <w:szCs w:val="21"/>
              </w:rPr>
            </w:pPr>
          </w:p>
        </w:tc>
      </w:tr>
      <w:tr w14:paraId="3E22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7" w:type="dxa"/>
            <w:noWrap w:val="0"/>
            <w:tcMar>
              <w:left w:w="51" w:type="dxa"/>
              <w:right w:w="51" w:type="dxa"/>
            </w:tcMar>
            <w:vAlign w:val="center"/>
          </w:tcPr>
          <w:p w14:paraId="103BB9E4">
            <w:pPr>
              <w:widowControl/>
              <w:jc w:val="center"/>
              <w:rPr>
                <w:color w:val="000000"/>
                <w:kern w:val="0"/>
                <w:szCs w:val="21"/>
              </w:rPr>
            </w:pPr>
            <w:r>
              <w:rPr>
                <w:rFonts w:hint="eastAsia"/>
                <w:color w:val="000000"/>
                <w:kern w:val="0"/>
                <w:szCs w:val="21"/>
                <w:lang w:val="en-US" w:eastAsia="zh-CN"/>
              </w:rPr>
              <w:t>9</w:t>
            </w:r>
            <w:r>
              <w:rPr>
                <w:color w:val="000000"/>
                <w:kern w:val="0"/>
                <w:szCs w:val="21"/>
              </w:rPr>
              <w:t>2</w:t>
            </w:r>
          </w:p>
        </w:tc>
        <w:tc>
          <w:tcPr>
            <w:tcW w:w="1834" w:type="dxa"/>
            <w:noWrap w:val="0"/>
            <w:tcMar>
              <w:left w:w="51" w:type="dxa"/>
              <w:right w:w="51" w:type="dxa"/>
            </w:tcMar>
            <w:vAlign w:val="center"/>
          </w:tcPr>
          <w:p w14:paraId="08F96EB3">
            <w:pPr>
              <w:widowControl/>
              <w:jc w:val="left"/>
              <w:rPr>
                <w:color w:val="000000"/>
                <w:kern w:val="0"/>
                <w:szCs w:val="21"/>
              </w:rPr>
            </w:pPr>
            <w:r>
              <w:rPr>
                <w:rFonts w:hAnsi="宋体"/>
                <w:color w:val="000000"/>
                <w:kern w:val="0"/>
                <w:szCs w:val="21"/>
              </w:rPr>
              <w:t>对挤占、挪用、克扣财政补贴、信贷资金的行政处罚</w:t>
            </w:r>
          </w:p>
        </w:tc>
        <w:tc>
          <w:tcPr>
            <w:tcW w:w="706" w:type="dxa"/>
            <w:noWrap w:val="0"/>
            <w:tcMar>
              <w:left w:w="51" w:type="dxa"/>
              <w:right w:w="51" w:type="dxa"/>
            </w:tcMar>
            <w:vAlign w:val="center"/>
          </w:tcPr>
          <w:p w14:paraId="2BA020FD">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007C416">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6FA6D17">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A1D31A4">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7B234210">
            <w:pPr>
              <w:widowControl/>
              <w:jc w:val="left"/>
              <w:rPr>
                <w:color w:val="000000"/>
                <w:kern w:val="0"/>
                <w:szCs w:val="21"/>
              </w:rPr>
            </w:pPr>
            <w:r>
              <w:rPr>
                <w:rFonts w:hAnsi="宋体"/>
                <w:color w:val="000000"/>
                <w:kern w:val="0"/>
                <w:szCs w:val="21"/>
              </w:rPr>
              <w:t>（三）挤占、挪用、克扣财政补贴、信贷资金。</w:t>
            </w:r>
          </w:p>
        </w:tc>
        <w:tc>
          <w:tcPr>
            <w:tcW w:w="411" w:type="dxa"/>
            <w:noWrap/>
            <w:tcMar>
              <w:left w:w="51" w:type="dxa"/>
              <w:right w:w="51" w:type="dxa"/>
            </w:tcMar>
            <w:vAlign w:val="center"/>
          </w:tcPr>
          <w:p w14:paraId="56D65CC4">
            <w:pPr>
              <w:widowControl/>
              <w:jc w:val="left"/>
              <w:rPr>
                <w:color w:val="000000"/>
                <w:kern w:val="0"/>
                <w:szCs w:val="21"/>
              </w:rPr>
            </w:pPr>
          </w:p>
        </w:tc>
      </w:tr>
      <w:tr w14:paraId="75E7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417" w:type="dxa"/>
            <w:noWrap w:val="0"/>
            <w:tcMar>
              <w:left w:w="51" w:type="dxa"/>
              <w:right w:w="51" w:type="dxa"/>
            </w:tcMar>
            <w:vAlign w:val="center"/>
          </w:tcPr>
          <w:p w14:paraId="0E7A2BB6">
            <w:pPr>
              <w:widowControl/>
              <w:jc w:val="center"/>
              <w:rPr>
                <w:color w:val="000000"/>
                <w:kern w:val="0"/>
                <w:szCs w:val="21"/>
              </w:rPr>
            </w:pPr>
            <w:r>
              <w:rPr>
                <w:rFonts w:hint="eastAsia"/>
                <w:color w:val="000000"/>
                <w:kern w:val="0"/>
                <w:szCs w:val="21"/>
                <w:lang w:val="en-US" w:eastAsia="zh-CN"/>
              </w:rPr>
              <w:t>9</w:t>
            </w:r>
            <w:r>
              <w:rPr>
                <w:color w:val="000000"/>
                <w:kern w:val="0"/>
                <w:szCs w:val="21"/>
              </w:rPr>
              <w:t>3</w:t>
            </w:r>
          </w:p>
        </w:tc>
        <w:tc>
          <w:tcPr>
            <w:tcW w:w="1834" w:type="dxa"/>
            <w:noWrap w:val="0"/>
            <w:tcMar>
              <w:left w:w="51" w:type="dxa"/>
              <w:right w:w="51" w:type="dxa"/>
            </w:tcMar>
            <w:vAlign w:val="center"/>
          </w:tcPr>
          <w:p w14:paraId="169AF835">
            <w:pPr>
              <w:widowControl/>
              <w:jc w:val="left"/>
              <w:rPr>
                <w:color w:val="000000"/>
                <w:kern w:val="0"/>
                <w:szCs w:val="21"/>
              </w:rPr>
            </w:pPr>
            <w:r>
              <w:rPr>
                <w:rFonts w:hAnsi="宋体"/>
                <w:color w:val="000000"/>
                <w:kern w:val="0"/>
                <w:szCs w:val="21"/>
              </w:rPr>
              <w:t>对以政策性粮食为债务作担保或者清偿债务的行政处罚</w:t>
            </w:r>
          </w:p>
        </w:tc>
        <w:tc>
          <w:tcPr>
            <w:tcW w:w="706" w:type="dxa"/>
            <w:noWrap w:val="0"/>
            <w:tcMar>
              <w:left w:w="51" w:type="dxa"/>
              <w:right w:w="51" w:type="dxa"/>
            </w:tcMar>
            <w:vAlign w:val="center"/>
          </w:tcPr>
          <w:p w14:paraId="31763D9B">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76FB908C">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1DA8823">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0E6328FA">
            <w:pPr>
              <w:widowControl/>
              <w:jc w:val="left"/>
              <w:rPr>
                <w:color w:val="000000"/>
                <w:kern w:val="0"/>
                <w:szCs w:val="21"/>
              </w:rPr>
            </w:pPr>
            <w:r>
              <w:rPr>
                <w:rFonts w:hAnsi="宋体"/>
                <w:b/>
                <w:bCs/>
                <w:color w:val="000000"/>
                <w:kern w:val="0"/>
                <w:szCs w:val="21"/>
              </w:rPr>
              <w:t>《粮食流通管理条例》第四十九条</w:t>
            </w:r>
            <w:r>
              <w:rPr>
                <w:b/>
                <w:bCs/>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45ADE738">
            <w:pPr>
              <w:widowControl/>
              <w:jc w:val="left"/>
              <w:rPr>
                <w:color w:val="000000"/>
                <w:kern w:val="0"/>
                <w:szCs w:val="21"/>
              </w:rPr>
            </w:pPr>
            <w:r>
              <w:rPr>
                <w:rFonts w:hAnsi="宋体"/>
                <w:color w:val="000000"/>
                <w:kern w:val="0"/>
                <w:szCs w:val="21"/>
              </w:rPr>
              <w:t>（四）以政策性粮食为债务作担保或者清偿债务。</w:t>
            </w:r>
          </w:p>
        </w:tc>
        <w:tc>
          <w:tcPr>
            <w:tcW w:w="411" w:type="dxa"/>
            <w:noWrap/>
            <w:tcMar>
              <w:left w:w="51" w:type="dxa"/>
              <w:right w:w="51" w:type="dxa"/>
            </w:tcMar>
            <w:vAlign w:val="center"/>
          </w:tcPr>
          <w:p w14:paraId="3A219252">
            <w:pPr>
              <w:widowControl/>
              <w:jc w:val="left"/>
              <w:rPr>
                <w:color w:val="000000"/>
                <w:kern w:val="0"/>
                <w:szCs w:val="21"/>
              </w:rPr>
            </w:pPr>
          </w:p>
        </w:tc>
      </w:tr>
      <w:tr w14:paraId="3A88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17" w:type="dxa"/>
            <w:noWrap w:val="0"/>
            <w:tcMar>
              <w:left w:w="51" w:type="dxa"/>
              <w:right w:w="51" w:type="dxa"/>
            </w:tcMar>
            <w:vAlign w:val="center"/>
          </w:tcPr>
          <w:p w14:paraId="6410D320">
            <w:pPr>
              <w:widowControl/>
              <w:jc w:val="center"/>
              <w:rPr>
                <w:color w:val="000000"/>
                <w:kern w:val="0"/>
                <w:szCs w:val="21"/>
              </w:rPr>
            </w:pPr>
            <w:r>
              <w:rPr>
                <w:rFonts w:hint="eastAsia"/>
                <w:color w:val="000000"/>
                <w:kern w:val="0"/>
                <w:szCs w:val="21"/>
                <w:lang w:val="en-US" w:eastAsia="zh-CN"/>
              </w:rPr>
              <w:t>9</w:t>
            </w:r>
            <w:r>
              <w:rPr>
                <w:color w:val="000000"/>
                <w:kern w:val="0"/>
                <w:szCs w:val="21"/>
              </w:rPr>
              <w:t>4</w:t>
            </w:r>
          </w:p>
        </w:tc>
        <w:tc>
          <w:tcPr>
            <w:tcW w:w="1834" w:type="dxa"/>
            <w:noWrap w:val="0"/>
            <w:tcMar>
              <w:left w:w="51" w:type="dxa"/>
              <w:right w:w="51" w:type="dxa"/>
            </w:tcMar>
            <w:vAlign w:val="center"/>
          </w:tcPr>
          <w:p w14:paraId="1EE6B840">
            <w:pPr>
              <w:widowControl/>
              <w:jc w:val="left"/>
              <w:rPr>
                <w:color w:val="000000"/>
                <w:kern w:val="0"/>
                <w:szCs w:val="21"/>
              </w:rPr>
            </w:pPr>
            <w:r>
              <w:rPr>
                <w:rFonts w:hAnsi="宋体"/>
                <w:color w:val="000000"/>
                <w:kern w:val="0"/>
                <w:szCs w:val="21"/>
              </w:rPr>
              <w:t>对利用政策性粮食进行除政府委托的政策性任务以外的其他商业经营的行政处罚</w:t>
            </w:r>
          </w:p>
        </w:tc>
        <w:tc>
          <w:tcPr>
            <w:tcW w:w="706" w:type="dxa"/>
            <w:noWrap w:val="0"/>
            <w:tcMar>
              <w:left w:w="51" w:type="dxa"/>
              <w:right w:w="51" w:type="dxa"/>
            </w:tcMar>
            <w:vAlign w:val="center"/>
          </w:tcPr>
          <w:p w14:paraId="39346D32">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F3C640D">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A185BEA">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54822542">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5F6F9431">
            <w:pPr>
              <w:widowControl/>
              <w:jc w:val="left"/>
              <w:rPr>
                <w:color w:val="000000"/>
                <w:kern w:val="0"/>
                <w:szCs w:val="21"/>
              </w:rPr>
            </w:pPr>
            <w:r>
              <w:rPr>
                <w:rFonts w:hAnsi="宋体"/>
                <w:color w:val="000000"/>
                <w:kern w:val="0"/>
                <w:szCs w:val="21"/>
              </w:rPr>
              <w:t>（五）利用政策性粮食进行除政府委托的政策性任务以外的其他商业经营。</w:t>
            </w:r>
          </w:p>
        </w:tc>
        <w:tc>
          <w:tcPr>
            <w:tcW w:w="411" w:type="dxa"/>
            <w:noWrap/>
            <w:tcMar>
              <w:left w:w="51" w:type="dxa"/>
              <w:right w:w="51" w:type="dxa"/>
            </w:tcMar>
            <w:vAlign w:val="center"/>
          </w:tcPr>
          <w:p w14:paraId="295C7609">
            <w:pPr>
              <w:widowControl/>
              <w:jc w:val="left"/>
              <w:rPr>
                <w:color w:val="000000"/>
                <w:kern w:val="0"/>
                <w:szCs w:val="21"/>
              </w:rPr>
            </w:pPr>
          </w:p>
        </w:tc>
      </w:tr>
      <w:tr w14:paraId="531F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417" w:type="dxa"/>
            <w:noWrap w:val="0"/>
            <w:tcMar>
              <w:left w:w="51" w:type="dxa"/>
              <w:right w:w="51" w:type="dxa"/>
            </w:tcMar>
            <w:vAlign w:val="center"/>
          </w:tcPr>
          <w:p w14:paraId="01E2E78B">
            <w:pPr>
              <w:widowControl/>
              <w:jc w:val="center"/>
              <w:rPr>
                <w:color w:val="000000"/>
                <w:kern w:val="0"/>
                <w:szCs w:val="21"/>
              </w:rPr>
            </w:pPr>
            <w:r>
              <w:rPr>
                <w:rFonts w:hint="eastAsia"/>
                <w:color w:val="000000"/>
                <w:kern w:val="0"/>
                <w:szCs w:val="21"/>
                <w:lang w:val="en-US" w:eastAsia="zh-CN"/>
              </w:rPr>
              <w:t>9</w:t>
            </w:r>
            <w:r>
              <w:rPr>
                <w:color w:val="000000"/>
                <w:kern w:val="0"/>
                <w:szCs w:val="21"/>
              </w:rPr>
              <w:t>5</w:t>
            </w:r>
          </w:p>
        </w:tc>
        <w:tc>
          <w:tcPr>
            <w:tcW w:w="1834" w:type="dxa"/>
            <w:noWrap w:val="0"/>
            <w:tcMar>
              <w:left w:w="51" w:type="dxa"/>
              <w:right w:w="51" w:type="dxa"/>
            </w:tcMar>
            <w:vAlign w:val="center"/>
          </w:tcPr>
          <w:p w14:paraId="41150FF9">
            <w:pPr>
              <w:widowControl/>
              <w:jc w:val="left"/>
              <w:rPr>
                <w:color w:val="000000"/>
                <w:kern w:val="0"/>
                <w:szCs w:val="21"/>
              </w:rPr>
            </w:pPr>
            <w:r>
              <w:rPr>
                <w:rFonts w:hAnsi="宋体"/>
                <w:color w:val="000000"/>
                <w:kern w:val="0"/>
                <w:szCs w:val="21"/>
              </w:rPr>
              <w:t>对在政策性粮食出库时掺杂使假、以次充好、调换标的物，拒不执行出库指令或者阻挠出库的行政处罚</w:t>
            </w:r>
          </w:p>
        </w:tc>
        <w:tc>
          <w:tcPr>
            <w:tcW w:w="706" w:type="dxa"/>
            <w:noWrap w:val="0"/>
            <w:tcMar>
              <w:left w:w="51" w:type="dxa"/>
              <w:right w:w="51" w:type="dxa"/>
            </w:tcMar>
            <w:vAlign w:val="center"/>
          </w:tcPr>
          <w:p w14:paraId="34E7B537">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0179659">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0F91842">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0F9784F8">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5CF4E747">
            <w:pPr>
              <w:widowControl/>
              <w:jc w:val="left"/>
              <w:rPr>
                <w:color w:val="000000"/>
                <w:kern w:val="0"/>
                <w:szCs w:val="21"/>
              </w:rPr>
            </w:pPr>
            <w:r>
              <w:rPr>
                <w:rFonts w:hAnsi="宋体"/>
                <w:color w:val="000000"/>
                <w:kern w:val="0"/>
                <w:szCs w:val="21"/>
              </w:rPr>
              <w:t>（六）在政策性粮食出库时掺杂使假、以次充好、调换标的物，拒不执行出库指令或者阻挠出库。</w:t>
            </w:r>
          </w:p>
        </w:tc>
        <w:tc>
          <w:tcPr>
            <w:tcW w:w="411" w:type="dxa"/>
            <w:noWrap/>
            <w:tcMar>
              <w:left w:w="51" w:type="dxa"/>
              <w:right w:w="51" w:type="dxa"/>
            </w:tcMar>
            <w:vAlign w:val="center"/>
          </w:tcPr>
          <w:p w14:paraId="5A626D28">
            <w:pPr>
              <w:widowControl/>
              <w:jc w:val="left"/>
              <w:rPr>
                <w:color w:val="000000"/>
                <w:kern w:val="0"/>
                <w:szCs w:val="21"/>
              </w:rPr>
            </w:pPr>
          </w:p>
        </w:tc>
      </w:tr>
      <w:tr w14:paraId="5CF6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417" w:type="dxa"/>
            <w:noWrap w:val="0"/>
            <w:tcMar>
              <w:left w:w="51" w:type="dxa"/>
              <w:right w:w="51" w:type="dxa"/>
            </w:tcMar>
            <w:vAlign w:val="center"/>
          </w:tcPr>
          <w:p w14:paraId="59E7A927">
            <w:pPr>
              <w:widowControl/>
              <w:jc w:val="center"/>
              <w:rPr>
                <w:color w:val="000000"/>
                <w:kern w:val="0"/>
                <w:szCs w:val="21"/>
              </w:rPr>
            </w:pPr>
            <w:r>
              <w:rPr>
                <w:rFonts w:hint="eastAsia"/>
                <w:color w:val="000000"/>
                <w:kern w:val="0"/>
                <w:szCs w:val="21"/>
                <w:lang w:val="en-US" w:eastAsia="zh-CN"/>
              </w:rPr>
              <w:t>9</w:t>
            </w:r>
            <w:r>
              <w:rPr>
                <w:color w:val="000000"/>
                <w:kern w:val="0"/>
                <w:szCs w:val="21"/>
              </w:rPr>
              <w:t>6</w:t>
            </w:r>
          </w:p>
        </w:tc>
        <w:tc>
          <w:tcPr>
            <w:tcW w:w="1834" w:type="dxa"/>
            <w:noWrap w:val="0"/>
            <w:tcMar>
              <w:left w:w="51" w:type="dxa"/>
              <w:right w:w="51" w:type="dxa"/>
            </w:tcMar>
            <w:vAlign w:val="center"/>
          </w:tcPr>
          <w:p w14:paraId="6FA5BB80">
            <w:pPr>
              <w:widowControl/>
              <w:jc w:val="left"/>
              <w:rPr>
                <w:color w:val="000000"/>
                <w:kern w:val="0"/>
                <w:szCs w:val="21"/>
              </w:rPr>
            </w:pPr>
            <w:r>
              <w:rPr>
                <w:rFonts w:hAnsi="宋体"/>
                <w:color w:val="000000"/>
                <w:kern w:val="0"/>
                <w:szCs w:val="21"/>
              </w:rPr>
              <w:t>对购买国家限定用途的政策性粮食，违规倒卖或者不按照规定用途处置的行政处罚</w:t>
            </w:r>
          </w:p>
        </w:tc>
        <w:tc>
          <w:tcPr>
            <w:tcW w:w="706" w:type="dxa"/>
            <w:noWrap w:val="0"/>
            <w:tcMar>
              <w:left w:w="51" w:type="dxa"/>
              <w:right w:w="51" w:type="dxa"/>
            </w:tcMar>
            <w:vAlign w:val="center"/>
          </w:tcPr>
          <w:p w14:paraId="7217E4D1">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B9B4583">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EE32172">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A181B50">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63D060F3">
            <w:pPr>
              <w:widowControl/>
              <w:jc w:val="left"/>
              <w:rPr>
                <w:color w:val="000000"/>
                <w:kern w:val="0"/>
                <w:szCs w:val="21"/>
              </w:rPr>
            </w:pPr>
            <w:r>
              <w:rPr>
                <w:rFonts w:hAnsi="宋体"/>
                <w:color w:val="000000"/>
                <w:kern w:val="0"/>
                <w:szCs w:val="21"/>
              </w:rPr>
              <w:t>（七）购买国家限定用途的政策性粮食，违规倒卖或者不按照规定用途处置。</w:t>
            </w:r>
          </w:p>
        </w:tc>
        <w:tc>
          <w:tcPr>
            <w:tcW w:w="411" w:type="dxa"/>
            <w:noWrap/>
            <w:tcMar>
              <w:left w:w="51" w:type="dxa"/>
              <w:right w:w="51" w:type="dxa"/>
            </w:tcMar>
            <w:vAlign w:val="center"/>
          </w:tcPr>
          <w:p w14:paraId="32204262">
            <w:pPr>
              <w:widowControl/>
              <w:jc w:val="left"/>
              <w:rPr>
                <w:color w:val="000000"/>
                <w:kern w:val="0"/>
                <w:szCs w:val="21"/>
              </w:rPr>
            </w:pPr>
          </w:p>
        </w:tc>
      </w:tr>
      <w:tr w14:paraId="308F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17" w:type="dxa"/>
            <w:noWrap w:val="0"/>
            <w:tcMar>
              <w:left w:w="51" w:type="dxa"/>
              <w:right w:w="51" w:type="dxa"/>
            </w:tcMar>
            <w:vAlign w:val="center"/>
          </w:tcPr>
          <w:p w14:paraId="03CE25FE">
            <w:pPr>
              <w:widowControl/>
              <w:jc w:val="center"/>
              <w:rPr>
                <w:color w:val="000000"/>
                <w:kern w:val="0"/>
                <w:szCs w:val="21"/>
              </w:rPr>
            </w:pPr>
            <w:r>
              <w:rPr>
                <w:rFonts w:hint="eastAsia"/>
                <w:color w:val="000000"/>
                <w:kern w:val="0"/>
                <w:szCs w:val="21"/>
                <w:lang w:val="en-US" w:eastAsia="zh-CN"/>
              </w:rPr>
              <w:t>9</w:t>
            </w:r>
            <w:r>
              <w:rPr>
                <w:color w:val="000000"/>
                <w:kern w:val="0"/>
                <w:szCs w:val="21"/>
              </w:rPr>
              <w:t>7</w:t>
            </w:r>
          </w:p>
        </w:tc>
        <w:tc>
          <w:tcPr>
            <w:tcW w:w="1834" w:type="dxa"/>
            <w:noWrap w:val="0"/>
            <w:tcMar>
              <w:left w:w="51" w:type="dxa"/>
              <w:right w:w="51" w:type="dxa"/>
            </w:tcMar>
            <w:vAlign w:val="center"/>
          </w:tcPr>
          <w:p w14:paraId="71B6B7CE">
            <w:pPr>
              <w:widowControl/>
              <w:jc w:val="left"/>
              <w:rPr>
                <w:color w:val="000000"/>
                <w:kern w:val="0"/>
                <w:szCs w:val="21"/>
              </w:rPr>
            </w:pPr>
            <w:r>
              <w:rPr>
                <w:rFonts w:hAnsi="宋体"/>
                <w:color w:val="000000"/>
                <w:kern w:val="0"/>
                <w:szCs w:val="21"/>
              </w:rPr>
              <w:t>对擅自动用政策性粮食的行政处罚</w:t>
            </w:r>
          </w:p>
        </w:tc>
        <w:tc>
          <w:tcPr>
            <w:tcW w:w="706" w:type="dxa"/>
            <w:noWrap w:val="0"/>
            <w:tcMar>
              <w:left w:w="51" w:type="dxa"/>
              <w:right w:w="51" w:type="dxa"/>
            </w:tcMar>
            <w:vAlign w:val="center"/>
          </w:tcPr>
          <w:p w14:paraId="5DBFB7E8">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74DAC5F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B873167">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74C1429B">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4CF2D1CE">
            <w:pPr>
              <w:widowControl/>
              <w:jc w:val="left"/>
              <w:rPr>
                <w:color w:val="000000"/>
                <w:kern w:val="0"/>
                <w:szCs w:val="21"/>
              </w:rPr>
            </w:pPr>
            <w:r>
              <w:rPr>
                <w:color w:val="000000"/>
                <w:kern w:val="0"/>
                <w:szCs w:val="21"/>
              </w:rPr>
              <w:t xml:space="preserve"> </w:t>
            </w:r>
            <w:r>
              <w:rPr>
                <w:rFonts w:hAnsi="宋体"/>
                <w:color w:val="000000"/>
                <w:kern w:val="0"/>
                <w:szCs w:val="21"/>
              </w:rPr>
              <w:t>（八）擅自动用政策性粮食。</w:t>
            </w:r>
          </w:p>
        </w:tc>
        <w:tc>
          <w:tcPr>
            <w:tcW w:w="411" w:type="dxa"/>
            <w:noWrap/>
            <w:tcMar>
              <w:left w:w="51" w:type="dxa"/>
              <w:right w:w="51" w:type="dxa"/>
            </w:tcMar>
            <w:vAlign w:val="center"/>
          </w:tcPr>
          <w:p w14:paraId="683E2765">
            <w:pPr>
              <w:widowControl/>
              <w:jc w:val="left"/>
              <w:rPr>
                <w:color w:val="000000"/>
                <w:kern w:val="0"/>
                <w:szCs w:val="21"/>
              </w:rPr>
            </w:pPr>
          </w:p>
        </w:tc>
      </w:tr>
      <w:tr w14:paraId="0CB8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17" w:type="dxa"/>
            <w:noWrap w:val="0"/>
            <w:tcMar>
              <w:left w:w="51" w:type="dxa"/>
              <w:right w:w="51" w:type="dxa"/>
            </w:tcMar>
            <w:vAlign w:val="center"/>
          </w:tcPr>
          <w:p w14:paraId="52FC8818">
            <w:pPr>
              <w:widowControl/>
              <w:jc w:val="center"/>
              <w:rPr>
                <w:color w:val="000000"/>
                <w:kern w:val="0"/>
                <w:szCs w:val="21"/>
              </w:rPr>
            </w:pPr>
            <w:r>
              <w:rPr>
                <w:rFonts w:hint="eastAsia"/>
                <w:color w:val="000000"/>
                <w:kern w:val="0"/>
                <w:szCs w:val="21"/>
                <w:lang w:val="en-US" w:eastAsia="zh-CN"/>
              </w:rPr>
              <w:t>9</w:t>
            </w:r>
            <w:r>
              <w:rPr>
                <w:color w:val="000000"/>
                <w:kern w:val="0"/>
                <w:szCs w:val="21"/>
              </w:rPr>
              <w:t>8</w:t>
            </w:r>
          </w:p>
        </w:tc>
        <w:tc>
          <w:tcPr>
            <w:tcW w:w="1834" w:type="dxa"/>
            <w:noWrap w:val="0"/>
            <w:tcMar>
              <w:left w:w="51" w:type="dxa"/>
              <w:right w:w="51" w:type="dxa"/>
            </w:tcMar>
            <w:vAlign w:val="center"/>
          </w:tcPr>
          <w:p w14:paraId="4C985EA3">
            <w:pPr>
              <w:widowControl/>
              <w:jc w:val="left"/>
              <w:rPr>
                <w:color w:val="000000"/>
                <w:kern w:val="0"/>
                <w:szCs w:val="21"/>
              </w:rPr>
            </w:pPr>
            <w:r>
              <w:rPr>
                <w:rFonts w:hAnsi="宋体"/>
                <w:color w:val="000000"/>
                <w:kern w:val="0"/>
                <w:szCs w:val="21"/>
              </w:rPr>
              <w:t>对其他违反国家政策性粮食经营管理规定的行为的行政处罚</w:t>
            </w:r>
          </w:p>
        </w:tc>
        <w:tc>
          <w:tcPr>
            <w:tcW w:w="706" w:type="dxa"/>
            <w:noWrap w:val="0"/>
            <w:tcMar>
              <w:left w:w="51" w:type="dxa"/>
              <w:right w:w="51" w:type="dxa"/>
            </w:tcMar>
            <w:vAlign w:val="center"/>
          </w:tcPr>
          <w:p w14:paraId="63186656">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C022736">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5EA576E">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2EBE1DCC">
            <w:pPr>
              <w:widowControl/>
              <w:jc w:val="left"/>
              <w:rPr>
                <w:color w:val="000000"/>
                <w:kern w:val="0"/>
                <w:szCs w:val="21"/>
              </w:rPr>
            </w:pPr>
            <w:r>
              <w:rPr>
                <w:rFonts w:hAnsi="宋体"/>
                <w:b/>
                <w:bCs/>
                <w:color w:val="000000"/>
                <w:kern w:val="0"/>
                <w:szCs w:val="21"/>
              </w:rPr>
              <w:t>《粮食流通管理条例》第四十九条</w:t>
            </w:r>
            <w:r>
              <w:rPr>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069258B9">
            <w:pPr>
              <w:widowControl/>
              <w:jc w:val="left"/>
              <w:rPr>
                <w:color w:val="000000"/>
                <w:kern w:val="0"/>
                <w:szCs w:val="21"/>
              </w:rPr>
            </w:pPr>
            <w:r>
              <w:rPr>
                <w:rFonts w:hAnsi="宋体"/>
                <w:color w:val="000000"/>
                <w:kern w:val="0"/>
                <w:szCs w:val="21"/>
              </w:rPr>
              <w:t>（九）其他违反国家政策性粮食经营管理规定的行为。</w:t>
            </w:r>
          </w:p>
        </w:tc>
        <w:tc>
          <w:tcPr>
            <w:tcW w:w="411" w:type="dxa"/>
            <w:noWrap/>
            <w:tcMar>
              <w:left w:w="51" w:type="dxa"/>
              <w:right w:w="51" w:type="dxa"/>
            </w:tcMar>
            <w:vAlign w:val="center"/>
          </w:tcPr>
          <w:p w14:paraId="172BF8E2">
            <w:pPr>
              <w:widowControl/>
              <w:jc w:val="left"/>
              <w:rPr>
                <w:color w:val="000000"/>
                <w:kern w:val="0"/>
                <w:szCs w:val="21"/>
              </w:rPr>
            </w:pPr>
          </w:p>
        </w:tc>
      </w:tr>
      <w:tr w14:paraId="4487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417" w:type="dxa"/>
            <w:noWrap w:val="0"/>
            <w:tcMar>
              <w:left w:w="51" w:type="dxa"/>
              <w:right w:w="51" w:type="dxa"/>
            </w:tcMar>
            <w:vAlign w:val="center"/>
          </w:tcPr>
          <w:p w14:paraId="5E9A042C">
            <w:pPr>
              <w:widowControl/>
              <w:jc w:val="center"/>
              <w:rPr>
                <w:color w:val="000000"/>
                <w:kern w:val="0"/>
                <w:szCs w:val="21"/>
              </w:rPr>
            </w:pPr>
            <w:r>
              <w:rPr>
                <w:rFonts w:hint="eastAsia"/>
                <w:color w:val="000000"/>
                <w:kern w:val="0"/>
                <w:szCs w:val="21"/>
                <w:lang w:val="en-US" w:eastAsia="zh-CN"/>
              </w:rPr>
              <w:t>9</w:t>
            </w:r>
            <w:r>
              <w:rPr>
                <w:color w:val="000000"/>
                <w:kern w:val="0"/>
                <w:szCs w:val="21"/>
              </w:rPr>
              <w:t>9</w:t>
            </w:r>
          </w:p>
        </w:tc>
        <w:tc>
          <w:tcPr>
            <w:tcW w:w="1834" w:type="dxa"/>
            <w:noWrap w:val="0"/>
            <w:tcMar>
              <w:left w:w="51" w:type="dxa"/>
              <w:right w:w="51" w:type="dxa"/>
            </w:tcMar>
            <w:vAlign w:val="center"/>
          </w:tcPr>
          <w:p w14:paraId="5A35C667">
            <w:pPr>
              <w:widowControl/>
              <w:jc w:val="left"/>
              <w:rPr>
                <w:color w:val="000000"/>
                <w:kern w:val="0"/>
                <w:szCs w:val="21"/>
              </w:rPr>
            </w:pPr>
            <w:r>
              <w:rPr>
                <w:rFonts w:hAnsi="宋体"/>
                <w:color w:val="000000"/>
                <w:kern w:val="0"/>
                <w:szCs w:val="21"/>
              </w:rPr>
              <w:t>对粮食应急预案启动后，不按照国家要求承担应急任务，不服从国家的统一安排和调度的行政处罚</w:t>
            </w:r>
          </w:p>
        </w:tc>
        <w:tc>
          <w:tcPr>
            <w:tcW w:w="706" w:type="dxa"/>
            <w:noWrap w:val="0"/>
            <w:tcMar>
              <w:left w:w="51" w:type="dxa"/>
              <w:right w:w="51" w:type="dxa"/>
            </w:tcMar>
            <w:vAlign w:val="center"/>
          </w:tcPr>
          <w:p w14:paraId="67718303">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552D051">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61CA607C">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39E21B3B">
            <w:pPr>
              <w:widowControl/>
              <w:jc w:val="left"/>
              <w:rPr>
                <w:color w:val="000000"/>
                <w:kern w:val="0"/>
                <w:szCs w:val="21"/>
              </w:rPr>
            </w:pPr>
            <w:r>
              <w:rPr>
                <w:rFonts w:hAnsi="宋体"/>
                <w:b/>
                <w:bCs/>
                <w:color w:val="000000"/>
                <w:kern w:val="0"/>
                <w:szCs w:val="21"/>
              </w:rPr>
              <w:t>《粮食流通管理条例》第四十九条</w:t>
            </w:r>
            <w:r>
              <w:rPr>
                <w:b/>
                <w:bCs/>
                <w:color w:val="000000"/>
                <w:kern w:val="0"/>
                <w:szCs w:val="21"/>
              </w:rPr>
              <w:t xml:space="preserve"> </w:t>
            </w:r>
            <w:r>
              <w:rPr>
                <w:rFonts w:hAnsi="宋体"/>
                <w:color w:val="000000"/>
                <w:kern w:val="0"/>
                <w:szCs w:val="21"/>
              </w:rPr>
              <w:t>从事政策性粮食经营活动，有下列情形之一的，由粮食和储备行政管理部门责令改正，给予警告，没收违法所得，并处</w:t>
            </w:r>
            <w:r>
              <w:rPr>
                <w:color w:val="000000"/>
                <w:kern w:val="0"/>
                <w:szCs w:val="21"/>
              </w:rPr>
              <w:t>50</w:t>
            </w:r>
            <w:r>
              <w:rPr>
                <w:rFonts w:hAnsi="宋体"/>
                <w:color w:val="000000"/>
                <w:kern w:val="0"/>
                <w:szCs w:val="21"/>
              </w:rPr>
              <w:t>万元以上</w:t>
            </w:r>
            <w:r>
              <w:rPr>
                <w:color w:val="000000"/>
                <w:kern w:val="0"/>
                <w:szCs w:val="21"/>
              </w:rPr>
              <w:t>200</w:t>
            </w:r>
            <w:r>
              <w:rPr>
                <w:rFonts w:hAnsi="宋体"/>
                <w:color w:val="000000"/>
                <w:kern w:val="0"/>
                <w:szCs w:val="21"/>
              </w:rPr>
              <w:t>万元以下罚款；情节严重的，并处</w:t>
            </w:r>
            <w:r>
              <w:rPr>
                <w:color w:val="000000"/>
                <w:kern w:val="0"/>
                <w:szCs w:val="21"/>
              </w:rPr>
              <w:t>200</w:t>
            </w:r>
            <w:r>
              <w:rPr>
                <w:rFonts w:hAnsi="宋体"/>
                <w:color w:val="000000"/>
                <w:kern w:val="0"/>
                <w:szCs w:val="21"/>
              </w:rPr>
              <w:t>万元以上</w:t>
            </w:r>
            <w:r>
              <w:rPr>
                <w:color w:val="000000"/>
                <w:kern w:val="0"/>
                <w:szCs w:val="21"/>
              </w:rPr>
              <w:t>500</w:t>
            </w:r>
            <w:r>
              <w:rPr>
                <w:rFonts w:hAnsi="宋体"/>
                <w:color w:val="000000"/>
                <w:kern w:val="0"/>
                <w:szCs w:val="21"/>
              </w:rPr>
              <w:t>万元以下罚款：</w:t>
            </w:r>
          </w:p>
          <w:p w14:paraId="477B65BB">
            <w:pPr>
              <w:widowControl/>
              <w:jc w:val="left"/>
              <w:rPr>
                <w:color w:val="000000"/>
                <w:kern w:val="0"/>
                <w:szCs w:val="21"/>
              </w:rPr>
            </w:pPr>
            <w:r>
              <w:rPr>
                <w:rFonts w:hAnsi="宋体"/>
                <w:color w:val="000000"/>
                <w:kern w:val="0"/>
                <w:szCs w:val="21"/>
              </w:rPr>
              <w:t>粮食应急预案启动后，不按照国家要求承担应急任务，不服从国家的统一安排和调度的，依照前款规定予以处罚。</w:t>
            </w:r>
          </w:p>
        </w:tc>
        <w:tc>
          <w:tcPr>
            <w:tcW w:w="411" w:type="dxa"/>
            <w:noWrap/>
            <w:tcMar>
              <w:left w:w="51" w:type="dxa"/>
              <w:right w:w="51" w:type="dxa"/>
            </w:tcMar>
            <w:vAlign w:val="center"/>
          </w:tcPr>
          <w:p w14:paraId="574B0622">
            <w:pPr>
              <w:widowControl/>
              <w:jc w:val="left"/>
              <w:rPr>
                <w:color w:val="000000"/>
                <w:kern w:val="0"/>
                <w:szCs w:val="21"/>
              </w:rPr>
            </w:pPr>
          </w:p>
        </w:tc>
      </w:tr>
      <w:tr w14:paraId="6EB8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417" w:type="dxa"/>
            <w:noWrap w:val="0"/>
            <w:tcMar>
              <w:left w:w="51" w:type="dxa"/>
              <w:right w:w="51" w:type="dxa"/>
            </w:tcMar>
            <w:vAlign w:val="center"/>
          </w:tcPr>
          <w:p w14:paraId="4BDC0A60">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0</w:t>
            </w:r>
          </w:p>
        </w:tc>
        <w:tc>
          <w:tcPr>
            <w:tcW w:w="1834" w:type="dxa"/>
            <w:noWrap w:val="0"/>
            <w:tcMar>
              <w:left w:w="51" w:type="dxa"/>
              <w:right w:w="51" w:type="dxa"/>
            </w:tcMar>
            <w:vAlign w:val="center"/>
          </w:tcPr>
          <w:p w14:paraId="004C68AE">
            <w:pPr>
              <w:widowControl/>
              <w:jc w:val="left"/>
              <w:rPr>
                <w:color w:val="000000"/>
                <w:kern w:val="0"/>
                <w:szCs w:val="21"/>
              </w:rPr>
            </w:pPr>
            <w:r>
              <w:rPr>
                <w:rFonts w:hAnsi="宋体"/>
                <w:color w:val="000000"/>
                <w:kern w:val="0"/>
                <w:szCs w:val="21"/>
              </w:rPr>
              <w:t>对严重违反《粮食流通管理条例》规定的企业的法定代表人、主要负责人、直接负责的主管人员和其他直接责任人员的行政处罚</w:t>
            </w:r>
          </w:p>
        </w:tc>
        <w:tc>
          <w:tcPr>
            <w:tcW w:w="706" w:type="dxa"/>
            <w:noWrap w:val="0"/>
            <w:tcMar>
              <w:left w:w="51" w:type="dxa"/>
              <w:right w:w="51" w:type="dxa"/>
            </w:tcMar>
            <w:vAlign w:val="center"/>
          </w:tcPr>
          <w:p w14:paraId="11ADFD76">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478A339F">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C8922D4">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0B4784D6">
            <w:pPr>
              <w:widowControl/>
              <w:jc w:val="left"/>
              <w:rPr>
                <w:color w:val="000000"/>
                <w:kern w:val="0"/>
                <w:szCs w:val="21"/>
              </w:rPr>
            </w:pPr>
            <w:r>
              <w:rPr>
                <w:rFonts w:hAnsi="宋体"/>
                <w:b/>
                <w:bCs/>
                <w:color w:val="000000"/>
                <w:kern w:val="0"/>
                <w:szCs w:val="21"/>
              </w:rPr>
              <w:t>《粮食流通管理条例》第五十一条</w:t>
            </w:r>
            <w:r>
              <w:rPr>
                <w:color w:val="000000"/>
                <w:kern w:val="0"/>
                <w:szCs w:val="21"/>
              </w:rPr>
              <w:t xml:space="preserve"> </w:t>
            </w:r>
            <w:r>
              <w:rPr>
                <w:rFonts w:hAnsi="宋体"/>
                <w:color w:val="000000"/>
                <w:kern w:val="0"/>
                <w:szCs w:val="21"/>
              </w:rPr>
              <w:t>从事粮食经营活动的企业有违反本条例规定的违法情形且情节严重的，对其法定代表人、主要负责人、直接负责的主管人员和其他直接责任人员处以其上一年度从本企业取得收入的</w:t>
            </w:r>
            <w:r>
              <w:rPr>
                <w:color w:val="000000"/>
                <w:kern w:val="0"/>
                <w:szCs w:val="21"/>
              </w:rPr>
              <w:t>1</w:t>
            </w:r>
            <w:r>
              <w:rPr>
                <w:rFonts w:hAnsi="宋体"/>
                <w:color w:val="000000"/>
                <w:kern w:val="0"/>
                <w:szCs w:val="21"/>
              </w:rPr>
              <w:t>倍以上</w:t>
            </w:r>
            <w:r>
              <w:rPr>
                <w:color w:val="000000"/>
                <w:kern w:val="0"/>
                <w:szCs w:val="21"/>
              </w:rPr>
              <w:t>10</w:t>
            </w:r>
            <w:r>
              <w:rPr>
                <w:rFonts w:hAnsi="宋体"/>
                <w:color w:val="000000"/>
                <w:kern w:val="0"/>
                <w:szCs w:val="21"/>
              </w:rPr>
              <w:t>倍以下罚款。</w:t>
            </w:r>
          </w:p>
        </w:tc>
        <w:tc>
          <w:tcPr>
            <w:tcW w:w="411" w:type="dxa"/>
            <w:noWrap/>
            <w:tcMar>
              <w:left w:w="51" w:type="dxa"/>
              <w:right w:w="51" w:type="dxa"/>
            </w:tcMar>
            <w:vAlign w:val="center"/>
          </w:tcPr>
          <w:p w14:paraId="0DA4CA03">
            <w:pPr>
              <w:widowControl/>
              <w:jc w:val="left"/>
              <w:rPr>
                <w:color w:val="000000"/>
                <w:kern w:val="0"/>
                <w:szCs w:val="21"/>
              </w:rPr>
            </w:pPr>
          </w:p>
        </w:tc>
      </w:tr>
      <w:tr w14:paraId="6DAB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417" w:type="dxa"/>
            <w:noWrap w:val="0"/>
            <w:tcMar>
              <w:left w:w="51" w:type="dxa"/>
              <w:right w:w="51" w:type="dxa"/>
            </w:tcMar>
            <w:vAlign w:val="center"/>
          </w:tcPr>
          <w:p w14:paraId="2DE54AE8">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1</w:t>
            </w:r>
          </w:p>
        </w:tc>
        <w:tc>
          <w:tcPr>
            <w:tcW w:w="1834" w:type="dxa"/>
            <w:noWrap w:val="0"/>
            <w:tcMar>
              <w:left w:w="51" w:type="dxa"/>
              <w:right w:w="51" w:type="dxa"/>
            </w:tcMar>
            <w:vAlign w:val="center"/>
          </w:tcPr>
          <w:p w14:paraId="72DEDE34">
            <w:pPr>
              <w:widowControl/>
              <w:jc w:val="left"/>
              <w:rPr>
                <w:color w:val="000000"/>
                <w:kern w:val="0"/>
                <w:szCs w:val="21"/>
              </w:rPr>
            </w:pPr>
            <w:r>
              <w:rPr>
                <w:rFonts w:hAnsi="宋体"/>
                <w:color w:val="000000"/>
                <w:kern w:val="0"/>
                <w:szCs w:val="21"/>
              </w:rPr>
              <w:t>对粮油仓储单位未在规定时间向粮食行政管理部门备案，或者备案弄虚作假的行政处罚</w:t>
            </w:r>
          </w:p>
        </w:tc>
        <w:tc>
          <w:tcPr>
            <w:tcW w:w="706" w:type="dxa"/>
            <w:noWrap w:val="0"/>
            <w:tcMar>
              <w:left w:w="51" w:type="dxa"/>
              <w:right w:w="51" w:type="dxa"/>
            </w:tcMar>
            <w:vAlign w:val="center"/>
          </w:tcPr>
          <w:p w14:paraId="1E5DE32F">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581707A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2A6CFD9">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260A4E22">
            <w:pPr>
              <w:widowControl/>
              <w:jc w:val="left"/>
              <w:rPr>
                <w:color w:val="000000"/>
                <w:kern w:val="0"/>
                <w:szCs w:val="21"/>
              </w:rPr>
            </w:pPr>
            <w:r>
              <w:rPr>
                <w:rFonts w:hAnsi="宋体"/>
                <w:b/>
                <w:bCs/>
                <w:color w:val="000000"/>
                <w:kern w:val="0"/>
                <w:szCs w:val="21"/>
              </w:rPr>
              <w:t>《粮油仓储管理办法》第二十八条</w:t>
            </w:r>
            <w:r>
              <w:rPr>
                <w:color w:val="000000"/>
                <w:kern w:val="0"/>
                <w:szCs w:val="21"/>
              </w:rPr>
              <w:t xml:space="preserve"> </w:t>
            </w:r>
            <w:r>
              <w:rPr>
                <w:rFonts w:hAnsi="宋体"/>
                <w:color w:val="000000"/>
                <w:kern w:val="0"/>
                <w:szCs w:val="21"/>
              </w:rPr>
              <w:t>粮油仓储单位违反本办法第六条规定，未在规定时间向粮食行政管理部门备案，或者备案内容弄虚作假的，由负责备案管理的粮食行政管理部门责令改正，给予警告；拒不改正的，处</w:t>
            </w:r>
            <w:r>
              <w:rPr>
                <w:color w:val="000000"/>
                <w:kern w:val="0"/>
                <w:szCs w:val="21"/>
              </w:rPr>
              <w:t>1</w:t>
            </w:r>
            <w:r>
              <w:rPr>
                <w:rFonts w:hAnsi="宋体"/>
                <w:color w:val="000000"/>
                <w:kern w:val="0"/>
                <w:szCs w:val="21"/>
              </w:rPr>
              <w:t>万元以下罚款。</w:t>
            </w:r>
            <w:r>
              <w:rPr>
                <w:color w:val="000000"/>
                <w:kern w:val="0"/>
                <w:szCs w:val="21"/>
              </w:rPr>
              <w:t xml:space="preserve">         </w:t>
            </w:r>
          </w:p>
        </w:tc>
        <w:tc>
          <w:tcPr>
            <w:tcW w:w="411" w:type="dxa"/>
            <w:noWrap/>
            <w:tcMar>
              <w:left w:w="51" w:type="dxa"/>
              <w:right w:w="51" w:type="dxa"/>
            </w:tcMar>
            <w:vAlign w:val="center"/>
          </w:tcPr>
          <w:p w14:paraId="7E86A6A7">
            <w:pPr>
              <w:widowControl/>
              <w:jc w:val="left"/>
              <w:rPr>
                <w:color w:val="000000"/>
                <w:kern w:val="0"/>
                <w:szCs w:val="21"/>
              </w:rPr>
            </w:pPr>
          </w:p>
        </w:tc>
      </w:tr>
      <w:tr w14:paraId="61BD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17" w:type="dxa"/>
            <w:noWrap w:val="0"/>
            <w:tcMar>
              <w:left w:w="51" w:type="dxa"/>
              <w:right w:w="51" w:type="dxa"/>
            </w:tcMar>
            <w:vAlign w:val="center"/>
          </w:tcPr>
          <w:p w14:paraId="24B07959">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2</w:t>
            </w:r>
          </w:p>
        </w:tc>
        <w:tc>
          <w:tcPr>
            <w:tcW w:w="1834" w:type="dxa"/>
            <w:noWrap w:val="0"/>
            <w:tcMar>
              <w:left w:w="51" w:type="dxa"/>
              <w:right w:w="51" w:type="dxa"/>
            </w:tcMar>
            <w:vAlign w:val="center"/>
          </w:tcPr>
          <w:p w14:paraId="12C06DAA">
            <w:pPr>
              <w:widowControl/>
              <w:jc w:val="left"/>
              <w:rPr>
                <w:color w:val="000000"/>
                <w:kern w:val="0"/>
                <w:szCs w:val="21"/>
              </w:rPr>
            </w:pPr>
            <w:r>
              <w:rPr>
                <w:rFonts w:hAnsi="宋体"/>
                <w:color w:val="000000"/>
                <w:kern w:val="0"/>
                <w:szCs w:val="21"/>
              </w:rPr>
              <w:t>对粮油仓储单位不具备规定条件的行政处罚</w:t>
            </w:r>
          </w:p>
        </w:tc>
        <w:tc>
          <w:tcPr>
            <w:tcW w:w="706" w:type="dxa"/>
            <w:noWrap w:val="0"/>
            <w:tcMar>
              <w:left w:w="51" w:type="dxa"/>
              <w:right w:w="51" w:type="dxa"/>
            </w:tcMar>
            <w:vAlign w:val="center"/>
          </w:tcPr>
          <w:p w14:paraId="6B328E7A">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5EC6404">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7622AAE">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7A049428">
            <w:pPr>
              <w:widowControl/>
              <w:jc w:val="left"/>
              <w:rPr>
                <w:color w:val="000000"/>
                <w:kern w:val="0"/>
                <w:szCs w:val="21"/>
              </w:rPr>
            </w:pPr>
            <w:r>
              <w:rPr>
                <w:rFonts w:hAnsi="宋体"/>
                <w:b/>
                <w:bCs/>
                <w:color w:val="000000"/>
                <w:kern w:val="0"/>
                <w:szCs w:val="21"/>
              </w:rPr>
              <w:t>《粮油仓储管理办法》第二十九条</w:t>
            </w:r>
            <w:r>
              <w:rPr>
                <w:color w:val="000000"/>
                <w:kern w:val="0"/>
                <w:szCs w:val="21"/>
              </w:rPr>
              <w:t xml:space="preserve"> </w:t>
            </w:r>
            <w:r>
              <w:rPr>
                <w:rFonts w:hAnsi="宋体"/>
                <w:color w:val="000000"/>
                <w:kern w:val="0"/>
                <w:szCs w:val="21"/>
              </w:rPr>
              <w:t>粮油仓储单位不具备本办法第七条规定条件的，由负责备案管理的粮食行政管理部门责令改正，给予警告；拒不改正的，处</w:t>
            </w:r>
            <w:r>
              <w:rPr>
                <w:color w:val="000000"/>
                <w:kern w:val="0"/>
                <w:szCs w:val="21"/>
              </w:rPr>
              <w:t>1</w:t>
            </w:r>
            <w:r>
              <w:rPr>
                <w:rFonts w:hAnsi="宋体"/>
                <w:color w:val="000000"/>
                <w:kern w:val="0"/>
                <w:szCs w:val="21"/>
              </w:rPr>
              <w:t>万元以上</w:t>
            </w:r>
            <w:r>
              <w:rPr>
                <w:color w:val="000000"/>
                <w:kern w:val="0"/>
                <w:szCs w:val="21"/>
              </w:rPr>
              <w:t>3</w:t>
            </w:r>
            <w:r>
              <w:rPr>
                <w:rFonts w:hAnsi="宋体"/>
                <w:color w:val="000000"/>
                <w:kern w:val="0"/>
                <w:szCs w:val="21"/>
              </w:rPr>
              <w:t>万元以下罚款。</w:t>
            </w:r>
          </w:p>
        </w:tc>
        <w:tc>
          <w:tcPr>
            <w:tcW w:w="411" w:type="dxa"/>
            <w:noWrap/>
            <w:tcMar>
              <w:left w:w="51" w:type="dxa"/>
              <w:right w:w="51" w:type="dxa"/>
            </w:tcMar>
            <w:vAlign w:val="center"/>
          </w:tcPr>
          <w:p w14:paraId="60F1F01B">
            <w:pPr>
              <w:widowControl/>
              <w:jc w:val="left"/>
              <w:rPr>
                <w:color w:val="000000"/>
                <w:kern w:val="0"/>
                <w:szCs w:val="21"/>
              </w:rPr>
            </w:pPr>
          </w:p>
        </w:tc>
      </w:tr>
      <w:tr w14:paraId="5135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7" w:type="dxa"/>
            <w:noWrap w:val="0"/>
            <w:tcMar>
              <w:left w:w="51" w:type="dxa"/>
              <w:right w:w="51" w:type="dxa"/>
            </w:tcMar>
            <w:vAlign w:val="center"/>
          </w:tcPr>
          <w:p w14:paraId="653DC8DA">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3</w:t>
            </w:r>
          </w:p>
        </w:tc>
        <w:tc>
          <w:tcPr>
            <w:tcW w:w="1834" w:type="dxa"/>
            <w:noWrap w:val="0"/>
            <w:tcMar>
              <w:left w:w="51" w:type="dxa"/>
              <w:right w:w="51" w:type="dxa"/>
            </w:tcMar>
            <w:vAlign w:val="center"/>
          </w:tcPr>
          <w:p w14:paraId="70EC9C22">
            <w:pPr>
              <w:widowControl/>
              <w:jc w:val="left"/>
              <w:rPr>
                <w:color w:val="000000"/>
                <w:kern w:val="0"/>
                <w:szCs w:val="21"/>
              </w:rPr>
            </w:pPr>
            <w:r>
              <w:rPr>
                <w:rFonts w:hAnsi="宋体"/>
                <w:color w:val="000000"/>
                <w:kern w:val="0"/>
                <w:szCs w:val="21"/>
              </w:rPr>
              <w:t>对粮油仓储单位名称不符合规定的行政处罚</w:t>
            </w:r>
          </w:p>
        </w:tc>
        <w:tc>
          <w:tcPr>
            <w:tcW w:w="706" w:type="dxa"/>
            <w:noWrap w:val="0"/>
            <w:tcMar>
              <w:left w:w="51" w:type="dxa"/>
              <w:right w:w="51" w:type="dxa"/>
            </w:tcMar>
            <w:vAlign w:val="center"/>
          </w:tcPr>
          <w:p w14:paraId="007D03DB">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0D98206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EA21290">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26A7E04C">
            <w:pPr>
              <w:widowControl/>
              <w:jc w:val="left"/>
              <w:rPr>
                <w:color w:val="000000"/>
                <w:kern w:val="0"/>
                <w:szCs w:val="21"/>
              </w:rPr>
            </w:pPr>
            <w:r>
              <w:rPr>
                <w:rFonts w:hAnsi="宋体"/>
                <w:b/>
                <w:bCs/>
                <w:color w:val="000000"/>
                <w:kern w:val="0"/>
                <w:szCs w:val="21"/>
              </w:rPr>
              <w:t>《粮油仓储管理办法》第三十条</w:t>
            </w:r>
            <w:r>
              <w:rPr>
                <w:color w:val="000000"/>
                <w:kern w:val="0"/>
                <w:szCs w:val="21"/>
              </w:rPr>
              <w:t xml:space="preserve"> </w:t>
            </w:r>
            <w:r>
              <w:rPr>
                <w:rFonts w:hAnsi="宋体"/>
                <w:color w:val="000000"/>
                <w:kern w:val="0"/>
                <w:szCs w:val="21"/>
              </w:rPr>
              <w:t>粮油仓储单位的名称不符合本办法第八条规定的，由负责备案管理的粮食行政管理部门责令改正，给予警告。</w:t>
            </w:r>
          </w:p>
        </w:tc>
        <w:tc>
          <w:tcPr>
            <w:tcW w:w="411" w:type="dxa"/>
            <w:noWrap/>
            <w:tcMar>
              <w:left w:w="51" w:type="dxa"/>
              <w:right w:w="51" w:type="dxa"/>
            </w:tcMar>
            <w:vAlign w:val="center"/>
          </w:tcPr>
          <w:p w14:paraId="2EA0EE5A">
            <w:pPr>
              <w:widowControl/>
              <w:jc w:val="left"/>
              <w:rPr>
                <w:color w:val="000000"/>
                <w:kern w:val="0"/>
                <w:szCs w:val="21"/>
              </w:rPr>
            </w:pPr>
          </w:p>
        </w:tc>
      </w:tr>
      <w:tr w14:paraId="3BCD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17" w:type="dxa"/>
            <w:noWrap w:val="0"/>
            <w:tcMar>
              <w:left w:w="51" w:type="dxa"/>
              <w:right w:w="51" w:type="dxa"/>
            </w:tcMar>
            <w:vAlign w:val="center"/>
          </w:tcPr>
          <w:p w14:paraId="52787B07">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4</w:t>
            </w:r>
          </w:p>
        </w:tc>
        <w:tc>
          <w:tcPr>
            <w:tcW w:w="1834" w:type="dxa"/>
            <w:noWrap w:val="0"/>
            <w:tcMar>
              <w:left w:w="51" w:type="dxa"/>
              <w:right w:w="51" w:type="dxa"/>
            </w:tcMar>
            <w:vAlign w:val="center"/>
          </w:tcPr>
          <w:p w14:paraId="4D634996">
            <w:pPr>
              <w:widowControl/>
              <w:jc w:val="left"/>
              <w:rPr>
                <w:color w:val="000000"/>
                <w:kern w:val="0"/>
                <w:szCs w:val="21"/>
              </w:rPr>
            </w:pPr>
            <w:r>
              <w:rPr>
                <w:rFonts w:hAnsi="宋体"/>
                <w:color w:val="000000"/>
                <w:kern w:val="0"/>
                <w:szCs w:val="21"/>
              </w:rPr>
              <w:t>对粮油仓储单位违反粮油出入库、储存等管理规定的行政处罚</w:t>
            </w:r>
          </w:p>
        </w:tc>
        <w:tc>
          <w:tcPr>
            <w:tcW w:w="706" w:type="dxa"/>
            <w:noWrap w:val="0"/>
            <w:tcMar>
              <w:left w:w="51" w:type="dxa"/>
              <w:right w:w="51" w:type="dxa"/>
            </w:tcMar>
            <w:vAlign w:val="center"/>
          </w:tcPr>
          <w:p w14:paraId="3E1A0B57">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10C7E497">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B149766">
            <w:pPr>
              <w:widowControl/>
              <w:jc w:val="center"/>
              <w:rPr>
                <w:color w:val="000000"/>
                <w:kern w:val="0"/>
                <w:szCs w:val="21"/>
                <w:highlight w:val="none"/>
              </w:rPr>
            </w:pPr>
            <w:r>
              <w:rPr>
                <w:rFonts w:hint="eastAsia" w:hAnsi="宋体"/>
                <w:color w:val="000000"/>
                <w:kern w:val="0"/>
                <w:szCs w:val="21"/>
                <w:highlight w:val="none"/>
                <w:lang w:val="en-US" w:eastAsia="zh-CN"/>
              </w:rPr>
              <w:t>粮油检测站</w:t>
            </w:r>
          </w:p>
        </w:tc>
        <w:tc>
          <w:tcPr>
            <w:tcW w:w="9611" w:type="dxa"/>
            <w:noWrap w:val="0"/>
            <w:tcMar>
              <w:left w:w="51" w:type="dxa"/>
              <w:right w:w="51" w:type="dxa"/>
            </w:tcMar>
            <w:vAlign w:val="center"/>
          </w:tcPr>
          <w:p w14:paraId="7BBA0E8A">
            <w:pPr>
              <w:widowControl/>
              <w:jc w:val="left"/>
              <w:rPr>
                <w:color w:val="000000"/>
                <w:kern w:val="0"/>
                <w:szCs w:val="21"/>
              </w:rPr>
            </w:pPr>
            <w:r>
              <w:rPr>
                <w:rFonts w:hAnsi="宋体"/>
                <w:b/>
                <w:bCs/>
                <w:color w:val="000000"/>
                <w:kern w:val="0"/>
                <w:szCs w:val="21"/>
              </w:rPr>
              <w:t>《粮油仓储管理办法》第三十一条</w:t>
            </w:r>
            <w:r>
              <w:rPr>
                <w:color w:val="000000"/>
                <w:kern w:val="0"/>
                <w:szCs w:val="21"/>
              </w:rPr>
              <w:t xml:space="preserve"> </w:t>
            </w:r>
            <w:r>
              <w:rPr>
                <w:rFonts w:hAnsi="宋体"/>
                <w:color w:val="000000"/>
                <w:kern w:val="0"/>
                <w:szCs w:val="21"/>
              </w:rPr>
              <w:t>粮油仓储单位违反本办法有关粮油出入库、储存等管理规定的，由所在地粮食行政管理部门责令改正，给予警告；情节严重的，可以并处</w:t>
            </w:r>
            <w:r>
              <w:rPr>
                <w:color w:val="000000"/>
                <w:kern w:val="0"/>
                <w:szCs w:val="21"/>
              </w:rPr>
              <w:t>3</w:t>
            </w:r>
            <w:r>
              <w:rPr>
                <w:rFonts w:hAnsi="宋体"/>
                <w:color w:val="000000"/>
                <w:kern w:val="0"/>
                <w:szCs w:val="21"/>
              </w:rPr>
              <w:t>万元以下罚款；造成粮油储存事故或者安全生产事故的，按照有关法律法规和国家有关规定给予处罚。</w:t>
            </w:r>
          </w:p>
        </w:tc>
        <w:tc>
          <w:tcPr>
            <w:tcW w:w="411" w:type="dxa"/>
            <w:noWrap/>
            <w:tcMar>
              <w:left w:w="51" w:type="dxa"/>
              <w:right w:w="51" w:type="dxa"/>
            </w:tcMar>
            <w:vAlign w:val="center"/>
          </w:tcPr>
          <w:p w14:paraId="017F78EB">
            <w:pPr>
              <w:widowControl/>
              <w:jc w:val="left"/>
              <w:rPr>
                <w:color w:val="000000"/>
                <w:kern w:val="0"/>
                <w:szCs w:val="21"/>
              </w:rPr>
            </w:pPr>
          </w:p>
        </w:tc>
      </w:tr>
      <w:tr w14:paraId="450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417" w:type="dxa"/>
            <w:noWrap w:val="0"/>
            <w:tcMar>
              <w:left w:w="51" w:type="dxa"/>
              <w:right w:w="51" w:type="dxa"/>
            </w:tcMar>
            <w:vAlign w:val="center"/>
          </w:tcPr>
          <w:p w14:paraId="203FFA80">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5</w:t>
            </w:r>
          </w:p>
        </w:tc>
        <w:tc>
          <w:tcPr>
            <w:tcW w:w="1834" w:type="dxa"/>
            <w:noWrap w:val="0"/>
            <w:tcMar>
              <w:left w:w="51" w:type="dxa"/>
              <w:right w:w="51" w:type="dxa"/>
            </w:tcMar>
            <w:vAlign w:val="center"/>
          </w:tcPr>
          <w:p w14:paraId="506C095F">
            <w:pPr>
              <w:widowControl/>
              <w:jc w:val="left"/>
              <w:rPr>
                <w:color w:val="000000"/>
                <w:kern w:val="0"/>
                <w:szCs w:val="21"/>
              </w:rPr>
            </w:pPr>
            <w:r>
              <w:rPr>
                <w:rFonts w:hAnsi="宋体"/>
                <w:color w:val="000000"/>
                <w:kern w:val="0"/>
                <w:szCs w:val="21"/>
              </w:rPr>
              <w:t>工程监理单位与被监理人防工程的施工承包单位以及建筑材料、建筑构配件和设备供应单位有隶属关系或者其他利害关系承担该项建设工程的监理业务的处罚</w:t>
            </w:r>
          </w:p>
        </w:tc>
        <w:tc>
          <w:tcPr>
            <w:tcW w:w="706" w:type="dxa"/>
            <w:noWrap w:val="0"/>
            <w:tcMar>
              <w:left w:w="51" w:type="dxa"/>
              <w:right w:w="51" w:type="dxa"/>
            </w:tcMar>
            <w:vAlign w:val="center"/>
          </w:tcPr>
          <w:p w14:paraId="39C333B7">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600D96FD">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EEFE5CE">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5D6B670">
            <w:pPr>
              <w:widowControl/>
              <w:jc w:val="left"/>
              <w:rPr>
                <w:color w:val="000000"/>
                <w:kern w:val="0"/>
                <w:szCs w:val="21"/>
              </w:rPr>
            </w:pPr>
            <w:r>
              <w:rPr>
                <w:rFonts w:hAnsi="宋体"/>
                <w:b/>
                <w:bCs/>
                <w:color w:val="000000"/>
                <w:kern w:val="0"/>
                <w:szCs w:val="21"/>
              </w:rPr>
              <w:t>《建设工程质量管理条例》第六十八条</w:t>
            </w:r>
            <w:r>
              <w:rPr>
                <w:color w:val="000000"/>
                <w:kern w:val="0"/>
                <w:szCs w:val="21"/>
              </w:rPr>
              <w:t xml:space="preserve"> </w:t>
            </w:r>
            <w:r>
              <w:rPr>
                <w:rFonts w:hAnsi="宋体"/>
                <w:color w:val="000000"/>
                <w:kern w:val="0"/>
                <w:szCs w:val="21"/>
              </w:rPr>
              <w:t>违反本条例规定，工程监理单位与被监理工程的施工承包单位以及建筑材料、建筑构配件和设备供应单位有隶属关系或者其他利害关系承担该项建设工程的监理业务的，责令改正，处</w:t>
            </w:r>
            <w:r>
              <w:rPr>
                <w:color w:val="000000"/>
                <w:kern w:val="0"/>
                <w:szCs w:val="21"/>
              </w:rPr>
              <w:t>5</w:t>
            </w:r>
            <w:r>
              <w:rPr>
                <w:rFonts w:hAnsi="宋体"/>
                <w:color w:val="000000"/>
                <w:kern w:val="0"/>
                <w:szCs w:val="21"/>
              </w:rPr>
              <w:t>万元以上</w:t>
            </w:r>
            <w:r>
              <w:rPr>
                <w:color w:val="000000"/>
                <w:kern w:val="0"/>
                <w:szCs w:val="21"/>
              </w:rPr>
              <w:t>10</w:t>
            </w:r>
            <w:r>
              <w:rPr>
                <w:rFonts w:hAnsi="宋体"/>
                <w:color w:val="000000"/>
                <w:kern w:val="0"/>
                <w:szCs w:val="21"/>
              </w:rPr>
              <w:t>万元以下的罚款，降低资质等级或者吊销资质证书；有违法所得的，予以没收。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480D09C5">
            <w:pPr>
              <w:widowControl/>
              <w:jc w:val="left"/>
              <w:rPr>
                <w:color w:val="000000"/>
                <w:kern w:val="0"/>
                <w:szCs w:val="21"/>
              </w:rPr>
            </w:pPr>
          </w:p>
        </w:tc>
      </w:tr>
      <w:tr w14:paraId="19CD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17" w:type="dxa"/>
            <w:noWrap w:val="0"/>
            <w:tcMar>
              <w:left w:w="51" w:type="dxa"/>
              <w:right w:w="51" w:type="dxa"/>
            </w:tcMar>
            <w:vAlign w:val="center"/>
          </w:tcPr>
          <w:p w14:paraId="1DECE426">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6</w:t>
            </w:r>
          </w:p>
        </w:tc>
        <w:tc>
          <w:tcPr>
            <w:tcW w:w="1834" w:type="dxa"/>
            <w:noWrap w:val="0"/>
            <w:tcMar>
              <w:left w:w="51" w:type="dxa"/>
              <w:right w:w="51" w:type="dxa"/>
            </w:tcMar>
            <w:vAlign w:val="center"/>
          </w:tcPr>
          <w:p w14:paraId="5DFCFF06">
            <w:pPr>
              <w:widowControl/>
              <w:jc w:val="left"/>
              <w:rPr>
                <w:color w:val="000000"/>
                <w:kern w:val="0"/>
                <w:szCs w:val="21"/>
              </w:rPr>
            </w:pPr>
            <w:r>
              <w:rPr>
                <w:rFonts w:hAnsi="宋体"/>
                <w:color w:val="000000"/>
                <w:kern w:val="0"/>
                <w:szCs w:val="21"/>
              </w:rPr>
              <w:t>建设单位将人防工程发包给不具有相应资质等级的勘察、设计、施工单位或者委托给不具有相应资质等级的工程监理单位的处罚</w:t>
            </w:r>
          </w:p>
        </w:tc>
        <w:tc>
          <w:tcPr>
            <w:tcW w:w="706" w:type="dxa"/>
            <w:noWrap w:val="0"/>
            <w:tcMar>
              <w:left w:w="51" w:type="dxa"/>
              <w:right w:w="51" w:type="dxa"/>
            </w:tcMar>
            <w:vAlign w:val="center"/>
          </w:tcPr>
          <w:p w14:paraId="43BF210B">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90369AA">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CB8FFF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C109764">
            <w:pPr>
              <w:widowControl/>
              <w:jc w:val="left"/>
              <w:rPr>
                <w:color w:val="000000"/>
                <w:kern w:val="0"/>
                <w:szCs w:val="21"/>
              </w:rPr>
            </w:pPr>
            <w:r>
              <w:rPr>
                <w:rFonts w:hAnsi="宋体"/>
                <w:b/>
                <w:bCs/>
                <w:color w:val="000000"/>
                <w:kern w:val="0"/>
                <w:szCs w:val="21"/>
              </w:rPr>
              <w:t>《建设工程质量管理条例》第五十四条</w:t>
            </w:r>
            <w:r>
              <w:rPr>
                <w:color w:val="000000"/>
                <w:kern w:val="0"/>
                <w:szCs w:val="21"/>
              </w:rPr>
              <w:t xml:space="preserve"> </w:t>
            </w:r>
            <w:r>
              <w:rPr>
                <w:rFonts w:hAnsi="宋体"/>
                <w:color w:val="000000"/>
                <w:kern w:val="0"/>
                <w:szCs w:val="21"/>
              </w:rPr>
              <w:t>违反本条例规定，建设单位将建设工程发包给不具有相应资质等级的勘察、设计、施工单位或者委托给不具有相应资质等级的工程监理单位的，责令改正，处</w:t>
            </w:r>
            <w:r>
              <w:rPr>
                <w:color w:val="000000"/>
                <w:kern w:val="0"/>
                <w:szCs w:val="21"/>
              </w:rPr>
              <w:t>50</w:t>
            </w:r>
            <w:r>
              <w:rPr>
                <w:rFonts w:hAnsi="宋体"/>
                <w:color w:val="000000"/>
                <w:kern w:val="0"/>
                <w:szCs w:val="21"/>
              </w:rPr>
              <w:t>万元以上</w:t>
            </w:r>
            <w:r>
              <w:rPr>
                <w:color w:val="000000"/>
                <w:kern w:val="0"/>
                <w:szCs w:val="21"/>
              </w:rPr>
              <w:t>100</w:t>
            </w:r>
            <w:r>
              <w:rPr>
                <w:rFonts w:hAnsi="宋体"/>
                <w:color w:val="000000"/>
                <w:kern w:val="0"/>
                <w:szCs w:val="21"/>
              </w:rPr>
              <w:t>万元以下的罚款。第七十三条：依照本条例规定，给予单位罚款处罚的，对单位直接负责的主管人员和其他直接责任人员处单位罚款数额百分之五以上百分之十以下的罚款。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7A75EE9B">
            <w:pPr>
              <w:widowControl/>
              <w:jc w:val="left"/>
              <w:rPr>
                <w:color w:val="000000"/>
                <w:kern w:val="0"/>
                <w:szCs w:val="21"/>
              </w:rPr>
            </w:pPr>
          </w:p>
        </w:tc>
      </w:tr>
      <w:tr w14:paraId="4C3B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noWrap w:val="0"/>
            <w:tcMar>
              <w:left w:w="51" w:type="dxa"/>
              <w:right w:w="51" w:type="dxa"/>
            </w:tcMar>
            <w:vAlign w:val="center"/>
          </w:tcPr>
          <w:p w14:paraId="66E975C5">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7</w:t>
            </w:r>
          </w:p>
        </w:tc>
        <w:tc>
          <w:tcPr>
            <w:tcW w:w="1834" w:type="dxa"/>
            <w:noWrap w:val="0"/>
            <w:tcMar>
              <w:left w:w="51" w:type="dxa"/>
              <w:right w:w="51" w:type="dxa"/>
            </w:tcMar>
            <w:vAlign w:val="center"/>
          </w:tcPr>
          <w:p w14:paraId="5A926FC5">
            <w:pPr>
              <w:widowControl/>
              <w:jc w:val="left"/>
              <w:rPr>
                <w:color w:val="000000"/>
                <w:kern w:val="0"/>
                <w:szCs w:val="21"/>
              </w:rPr>
            </w:pPr>
            <w:r>
              <w:rPr>
                <w:rFonts w:hAnsi="宋体"/>
                <w:color w:val="000000"/>
                <w:kern w:val="0"/>
                <w:szCs w:val="21"/>
              </w:rPr>
              <w:t>人防工程施工单位在施工中偷工减料或者使用不合格的建筑材料、建筑构配件和设备等的处罚</w:t>
            </w:r>
          </w:p>
        </w:tc>
        <w:tc>
          <w:tcPr>
            <w:tcW w:w="706" w:type="dxa"/>
            <w:noWrap w:val="0"/>
            <w:tcMar>
              <w:left w:w="51" w:type="dxa"/>
              <w:right w:w="51" w:type="dxa"/>
            </w:tcMar>
            <w:vAlign w:val="center"/>
          </w:tcPr>
          <w:p w14:paraId="44F62736">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7F5ABC7E">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92EB66C">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A54839A">
            <w:pPr>
              <w:widowControl/>
              <w:jc w:val="left"/>
              <w:rPr>
                <w:color w:val="000000"/>
                <w:kern w:val="0"/>
                <w:szCs w:val="21"/>
              </w:rPr>
            </w:pPr>
            <w:r>
              <w:rPr>
                <w:b/>
                <w:bCs/>
                <w:color w:val="000000"/>
                <w:kern w:val="0"/>
                <w:szCs w:val="21"/>
              </w:rPr>
              <w:t>1.</w:t>
            </w:r>
            <w:r>
              <w:rPr>
                <w:rFonts w:hAnsi="宋体"/>
                <w:b/>
                <w:bCs/>
                <w:color w:val="000000"/>
                <w:kern w:val="0"/>
                <w:szCs w:val="21"/>
              </w:rPr>
              <w:t>《中华人民共和国人民防空法》第四十九条</w:t>
            </w:r>
            <w:r>
              <w:rPr>
                <w:color w:val="000000"/>
                <w:kern w:val="0"/>
                <w:szCs w:val="21"/>
              </w:rPr>
              <w:t xml:space="preserve"> </w:t>
            </w:r>
            <w:r>
              <w:rPr>
                <w:rFonts w:hAnsi="宋体"/>
                <w:color w:val="000000"/>
                <w:kern w:val="0"/>
                <w:szCs w:val="21"/>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rPr>
              <w:t>... (</w:t>
            </w:r>
            <w:r>
              <w:rPr>
                <w:rFonts w:hAnsi="宋体"/>
                <w:color w:val="000000"/>
                <w:kern w:val="0"/>
                <w:szCs w:val="21"/>
              </w:rPr>
              <w:t>二</w:t>
            </w:r>
            <w:r>
              <w:rPr>
                <w:color w:val="000000"/>
                <w:kern w:val="0"/>
                <w:szCs w:val="21"/>
              </w:rPr>
              <w:t>)</w:t>
            </w:r>
            <w:r>
              <w:rPr>
                <w:rFonts w:hAnsi="宋体"/>
                <w:color w:val="000000"/>
                <w:kern w:val="0"/>
                <w:szCs w:val="21"/>
              </w:rPr>
              <w:t>不按照国家规定的防护标准和质量标准修建人民防空工程的；</w:t>
            </w:r>
            <w:r>
              <w:rPr>
                <w:color w:val="000000"/>
                <w:kern w:val="0"/>
                <w:szCs w:val="21"/>
              </w:rPr>
              <w:t> </w:t>
            </w:r>
            <w:r>
              <w:rPr>
                <w:color w:val="000000"/>
                <w:kern w:val="0"/>
                <w:szCs w:val="21"/>
              </w:rPr>
              <w:br w:type="textWrapping"/>
            </w:r>
            <w:r>
              <w:rPr>
                <w:b/>
                <w:bCs/>
                <w:color w:val="000000"/>
                <w:kern w:val="0"/>
                <w:szCs w:val="21"/>
              </w:rPr>
              <w:t>2.</w:t>
            </w:r>
            <w:r>
              <w:rPr>
                <w:rFonts w:hAnsi="宋体"/>
                <w:b/>
                <w:bCs/>
                <w:color w:val="000000"/>
                <w:kern w:val="0"/>
                <w:szCs w:val="21"/>
              </w:rPr>
              <w:t>《建设工程质量管理条例》第六十四条</w:t>
            </w:r>
            <w:r>
              <w:rPr>
                <w:color w:val="000000"/>
                <w:kern w:val="0"/>
                <w:szCs w:val="21"/>
              </w:rPr>
              <w:t xml:space="preserve"> </w:t>
            </w:r>
            <w:r>
              <w:rPr>
                <w:rFonts w:hAnsi="宋体"/>
                <w:color w:val="000000"/>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3AC504F4">
            <w:pPr>
              <w:widowControl/>
              <w:jc w:val="left"/>
              <w:rPr>
                <w:color w:val="000000"/>
                <w:kern w:val="0"/>
                <w:szCs w:val="21"/>
              </w:rPr>
            </w:pPr>
          </w:p>
        </w:tc>
      </w:tr>
      <w:tr w14:paraId="78FA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417" w:type="dxa"/>
            <w:noWrap w:val="0"/>
            <w:tcMar>
              <w:left w:w="51" w:type="dxa"/>
              <w:right w:w="51" w:type="dxa"/>
            </w:tcMar>
            <w:vAlign w:val="center"/>
          </w:tcPr>
          <w:p w14:paraId="6B9FCB0D">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8</w:t>
            </w:r>
          </w:p>
        </w:tc>
        <w:tc>
          <w:tcPr>
            <w:tcW w:w="1834" w:type="dxa"/>
            <w:noWrap w:val="0"/>
            <w:tcMar>
              <w:left w:w="51" w:type="dxa"/>
              <w:right w:w="51" w:type="dxa"/>
            </w:tcMar>
            <w:vAlign w:val="center"/>
          </w:tcPr>
          <w:p w14:paraId="2ECA96EA">
            <w:pPr>
              <w:widowControl/>
              <w:spacing w:line="280" w:lineRule="exact"/>
              <w:jc w:val="left"/>
              <w:rPr>
                <w:color w:val="000000"/>
                <w:kern w:val="0"/>
                <w:szCs w:val="21"/>
              </w:rPr>
            </w:pPr>
            <w:r>
              <w:rPr>
                <w:rFonts w:hAnsi="宋体"/>
                <w:color w:val="000000"/>
                <w:kern w:val="0"/>
                <w:szCs w:val="21"/>
              </w:rPr>
              <w:t>设计、施工和监理单位未按人防工程战术、技术标准设计、施工和监理；建设单位未按规定将人防工程初步设计、施工图设计文件提交人防主管部门审查，未按规定申请办理人防工程质量监督手续，未经人防主管部门质量认可将人防工程交付使用。未按规定将人防工程有关资料提交人防主管部门存档的处罚</w:t>
            </w:r>
          </w:p>
        </w:tc>
        <w:tc>
          <w:tcPr>
            <w:tcW w:w="706" w:type="dxa"/>
            <w:noWrap w:val="0"/>
            <w:tcMar>
              <w:left w:w="51" w:type="dxa"/>
              <w:right w:w="51" w:type="dxa"/>
            </w:tcMar>
            <w:vAlign w:val="center"/>
          </w:tcPr>
          <w:p w14:paraId="0BEA9295">
            <w:pPr>
              <w:widowControl/>
              <w:jc w:val="left"/>
              <w:rPr>
                <w:color w:val="000000"/>
                <w:kern w:val="0"/>
                <w:szCs w:val="21"/>
              </w:rPr>
            </w:pPr>
            <w:r>
              <w:rPr>
                <w:rFonts w:hAnsi="宋体"/>
                <w:color w:val="000000"/>
                <w:kern w:val="0"/>
                <w:szCs w:val="21"/>
              </w:rPr>
              <w:t>行政处罚</w:t>
            </w:r>
          </w:p>
        </w:tc>
        <w:tc>
          <w:tcPr>
            <w:tcW w:w="1174" w:type="dxa"/>
            <w:noWrap w:val="0"/>
            <w:tcMar>
              <w:left w:w="51" w:type="dxa"/>
              <w:right w:w="51" w:type="dxa"/>
            </w:tcMar>
            <w:vAlign w:val="center"/>
          </w:tcPr>
          <w:p w14:paraId="2AFBCD17">
            <w:pPr>
              <w:widowControl/>
              <w:jc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39277E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5CE3BBE">
            <w:pPr>
              <w:widowControl/>
              <w:jc w:val="left"/>
              <w:rPr>
                <w:color w:val="000000"/>
                <w:kern w:val="0"/>
                <w:szCs w:val="21"/>
              </w:rPr>
            </w:pPr>
            <w:r>
              <w:rPr>
                <w:rFonts w:hAnsi="宋体"/>
                <w:b/>
                <w:bCs/>
                <w:color w:val="000000"/>
                <w:kern w:val="0"/>
                <w:szCs w:val="21"/>
              </w:rPr>
              <w:t>《湖南省人民防空工程建设与维护管理规定》第二十九条</w:t>
            </w:r>
            <w:r>
              <w:rPr>
                <w:color w:val="000000"/>
                <w:kern w:val="0"/>
                <w:szCs w:val="21"/>
              </w:rPr>
              <w:t xml:space="preserve"> </w:t>
            </w:r>
            <w:r>
              <w:rPr>
                <w:rFonts w:hAnsi="宋体"/>
                <w:color w:val="000000"/>
                <w:kern w:val="0"/>
                <w:szCs w:val="21"/>
              </w:rPr>
              <w:t>违反本规定，有下列情形之一的，由人防主管部门给予警告，责令改正，可以并处一万元以上十万元以下罚款：（一）勘察、设计、施工图审查、施工、监理单位未按照人防工程战术、技术标准进行勘察、设计、施工图审查、施工、监理的；（二）建设单位未按照规定将人防工程初步设计、施工图设计文件提交相关部门审查的；（三）建设单位未按照规定申请办理人防工程质量监督手续的；</w:t>
            </w:r>
            <w:r>
              <w:rPr>
                <w:color w:val="000000"/>
                <w:kern w:val="0"/>
                <w:szCs w:val="21"/>
              </w:rPr>
              <w:t> (</w:t>
            </w:r>
            <w:r>
              <w:rPr>
                <w:rFonts w:hAnsi="宋体"/>
                <w:color w:val="000000"/>
                <w:kern w:val="0"/>
                <w:szCs w:val="21"/>
              </w:rPr>
              <w:t>四）建设单位未经人防主管部门质量认可将人防工程交付使用的；（五）建设单位未按照规定将人防工程有关资料提交人防主管部门备案的；</w:t>
            </w:r>
          </w:p>
        </w:tc>
        <w:tc>
          <w:tcPr>
            <w:tcW w:w="411" w:type="dxa"/>
            <w:noWrap/>
            <w:tcMar>
              <w:left w:w="51" w:type="dxa"/>
              <w:right w:w="51" w:type="dxa"/>
            </w:tcMar>
            <w:vAlign w:val="center"/>
          </w:tcPr>
          <w:p w14:paraId="6A1B1F1D">
            <w:pPr>
              <w:widowControl/>
              <w:jc w:val="left"/>
              <w:rPr>
                <w:color w:val="000000"/>
                <w:kern w:val="0"/>
                <w:szCs w:val="21"/>
              </w:rPr>
            </w:pPr>
          </w:p>
        </w:tc>
      </w:tr>
      <w:tr w14:paraId="7554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417" w:type="dxa"/>
            <w:noWrap w:val="0"/>
            <w:tcMar>
              <w:left w:w="51" w:type="dxa"/>
              <w:right w:w="51" w:type="dxa"/>
            </w:tcMar>
            <w:vAlign w:val="center"/>
          </w:tcPr>
          <w:p w14:paraId="45176952">
            <w:pPr>
              <w:widowControl/>
              <w:jc w:val="center"/>
              <w:rPr>
                <w:color w:val="000000"/>
                <w:kern w:val="0"/>
                <w:szCs w:val="21"/>
              </w:rPr>
            </w:pPr>
            <w:r>
              <w:rPr>
                <w:color w:val="000000"/>
                <w:kern w:val="0"/>
                <w:szCs w:val="21"/>
              </w:rPr>
              <w:t>1</w:t>
            </w:r>
            <w:r>
              <w:rPr>
                <w:rFonts w:hint="eastAsia"/>
                <w:color w:val="000000"/>
                <w:kern w:val="0"/>
                <w:szCs w:val="21"/>
                <w:lang w:val="en-US" w:eastAsia="zh-CN"/>
              </w:rPr>
              <w:t>0</w:t>
            </w:r>
            <w:r>
              <w:rPr>
                <w:color w:val="000000"/>
                <w:kern w:val="0"/>
                <w:szCs w:val="21"/>
              </w:rPr>
              <w:t>9</w:t>
            </w:r>
          </w:p>
        </w:tc>
        <w:tc>
          <w:tcPr>
            <w:tcW w:w="1834" w:type="dxa"/>
            <w:noWrap w:val="0"/>
            <w:tcMar>
              <w:left w:w="51" w:type="dxa"/>
              <w:right w:w="51" w:type="dxa"/>
            </w:tcMar>
            <w:vAlign w:val="center"/>
          </w:tcPr>
          <w:p w14:paraId="578B81EF">
            <w:pPr>
              <w:widowControl/>
              <w:jc w:val="left"/>
              <w:textAlignment w:val="center"/>
              <w:rPr>
                <w:color w:val="000000"/>
                <w:kern w:val="0"/>
                <w:szCs w:val="21"/>
              </w:rPr>
            </w:pPr>
            <w:r>
              <w:rPr>
                <w:rFonts w:hAnsi="宋体"/>
                <w:color w:val="000000"/>
                <w:kern w:val="0"/>
                <w:szCs w:val="21"/>
                <w:lang w:bidi="ar"/>
              </w:rPr>
              <w:t>承包单位将承包的人防工程转包或者违法分包的处罚</w:t>
            </w:r>
          </w:p>
        </w:tc>
        <w:tc>
          <w:tcPr>
            <w:tcW w:w="706" w:type="dxa"/>
            <w:noWrap w:val="0"/>
            <w:tcMar>
              <w:left w:w="51" w:type="dxa"/>
              <w:right w:w="51" w:type="dxa"/>
            </w:tcMar>
            <w:vAlign w:val="center"/>
          </w:tcPr>
          <w:p w14:paraId="02AE3BBA">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4200B449">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6A3F032">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9FD6FBE">
            <w:pPr>
              <w:widowControl/>
              <w:jc w:val="left"/>
              <w:textAlignment w:val="center"/>
              <w:rPr>
                <w:b/>
                <w:bCs/>
                <w:color w:val="000000"/>
                <w:kern w:val="0"/>
                <w:szCs w:val="21"/>
              </w:rPr>
            </w:pPr>
            <w:r>
              <w:rPr>
                <w:rFonts w:hAnsi="宋体"/>
                <w:b/>
                <w:bCs/>
                <w:color w:val="000000"/>
                <w:kern w:val="0"/>
                <w:szCs w:val="21"/>
                <w:lang w:bidi="ar"/>
              </w:rPr>
              <w:t>《建设工程质量管理条例》</w:t>
            </w:r>
            <w:r>
              <w:rPr>
                <w:b/>
                <w:bCs/>
                <w:color w:val="000000"/>
                <w:kern w:val="0"/>
                <w:szCs w:val="21"/>
                <w:lang w:bidi="ar"/>
              </w:rPr>
              <w:t xml:space="preserve"> </w:t>
            </w:r>
            <w:r>
              <w:rPr>
                <w:rFonts w:hAnsi="宋体"/>
                <w:b/>
                <w:bCs/>
                <w:color w:val="000000"/>
                <w:kern w:val="0"/>
                <w:szCs w:val="21"/>
                <w:lang w:bidi="ar"/>
              </w:rPr>
              <w:t>第六十二条</w:t>
            </w:r>
            <w:r>
              <w:rPr>
                <w:color w:val="000000"/>
                <w:kern w:val="0"/>
                <w:szCs w:val="21"/>
                <w:lang w:bidi="ar"/>
              </w:rPr>
              <w:t xml:space="preserve"> </w:t>
            </w:r>
            <w:r>
              <w:rPr>
                <w:rFonts w:hAnsi="宋体"/>
                <w:color w:val="000000"/>
                <w:kern w:val="0"/>
                <w:szCs w:val="21"/>
                <w:lang w:bidi="ar"/>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4C45D2BB">
            <w:pPr>
              <w:widowControl/>
              <w:jc w:val="left"/>
              <w:rPr>
                <w:color w:val="000000"/>
                <w:kern w:val="0"/>
                <w:szCs w:val="21"/>
              </w:rPr>
            </w:pPr>
          </w:p>
        </w:tc>
      </w:tr>
      <w:tr w14:paraId="5B5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17" w:type="dxa"/>
            <w:noWrap w:val="0"/>
            <w:tcMar>
              <w:left w:w="51" w:type="dxa"/>
              <w:right w:w="51" w:type="dxa"/>
            </w:tcMar>
            <w:vAlign w:val="center"/>
          </w:tcPr>
          <w:p w14:paraId="020E7586">
            <w:pPr>
              <w:widowControl/>
              <w:jc w:val="center"/>
              <w:rPr>
                <w:rFonts w:hint="default" w:eastAsia="宋体"/>
                <w:color w:val="000000"/>
                <w:kern w:val="0"/>
                <w:szCs w:val="21"/>
                <w:lang w:val="en-US" w:eastAsia="zh-CN"/>
              </w:rPr>
            </w:pPr>
            <w:r>
              <w:rPr>
                <w:color w:val="000000"/>
                <w:kern w:val="0"/>
                <w:szCs w:val="21"/>
              </w:rPr>
              <w:t>1</w:t>
            </w:r>
            <w:r>
              <w:rPr>
                <w:rFonts w:hint="eastAsia"/>
                <w:color w:val="000000"/>
                <w:kern w:val="0"/>
                <w:szCs w:val="21"/>
                <w:lang w:val="en-US" w:eastAsia="zh-CN"/>
              </w:rPr>
              <w:t>10</w:t>
            </w:r>
          </w:p>
        </w:tc>
        <w:tc>
          <w:tcPr>
            <w:tcW w:w="1834" w:type="dxa"/>
            <w:noWrap w:val="0"/>
            <w:tcMar>
              <w:left w:w="51" w:type="dxa"/>
              <w:right w:w="51" w:type="dxa"/>
            </w:tcMar>
            <w:vAlign w:val="center"/>
          </w:tcPr>
          <w:p w14:paraId="66F35DDD">
            <w:pPr>
              <w:widowControl/>
              <w:jc w:val="left"/>
              <w:textAlignment w:val="center"/>
              <w:rPr>
                <w:color w:val="000000"/>
                <w:kern w:val="0"/>
                <w:szCs w:val="21"/>
              </w:rPr>
            </w:pPr>
            <w:r>
              <w:rPr>
                <w:rFonts w:hAnsi="宋体"/>
                <w:color w:val="000000"/>
                <w:kern w:val="0"/>
                <w:szCs w:val="21"/>
                <w:lang w:bidi="ar"/>
              </w:rPr>
              <w:t>建设单位将人防工程肢解发包的处罚</w:t>
            </w:r>
          </w:p>
        </w:tc>
        <w:tc>
          <w:tcPr>
            <w:tcW w:w="706" w:type="dxa"/>
            <w:noWrap w:val="0"/>
            <w:tcMar>
              <w:left w:w="51" w:type="dxa"/>
              <w:right w:w="51" w:type="dxa"/>
            </w:tcMar>
            <w:vAlign w:val="center"/>
          </w:tcPr>
          <w:p w14:paraId="5C827DF8">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7E43DD2C">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4C6EB77">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5EE6D95">
            <w:pPr>
              <w:widowControl/>
              <w:jc w:val="left"/>
              <w:textAlignment w:val="center"/>
              <w:rPr>
                <w:b/>
                <w:bCs/>
                <w:color w:val="000000"/>
                <w:kern w:val="0"/>
                <w:szCs w:val="21"/>
              </w:rPr>
            </w:pPr>
            <w:r>
              <w:rPr>
                <w:rFonts w:hAnsi="宋体"/>
                <w:b/>
                <w:bCs/>
                <w:color w:val="000000"/>
                <w:kern w:val="0"/>
                <w:szCs w:val="21"/>
                <w:lang w:bidi="ar"/>
              </w:rPr>
              <w:t>《建设工程质量管理条例》</w:t>
            </w:r>
            <w:r>
              <w:rPr>
                <w:b/>
                <w:bCs/>
                <w:color w:val="000000"/>
                <w:kern w:val="0"/>
                <w:szCs w:val="21"/>
                <w:lang w:bidi="ar"/>
              </w:rPr>
              <w:t xml:space="preserve"> </w:t>
            </w:r>
            <w:r>
              <w:rPr>
                <w:rFonts w:hAnsi="宋体"/>
                <w:b/>
                <w:bCs/>
                <w:color w:val="000000"/>
                <w:kern w:val="0"/>
                <w:szCs w:val="21"/>
                <w:lang w:bidi="ar"/>
              </w:rPr>
              <w:t>第五十五条</w:t>
            </w:r>
            <w:r>
              <w:rPr>
                <w:color w:val="000000"/>
                <w:kern w:val="0"/>
                <w:szCs w:val="21"/>
                <w:lang w:bidi="ar"/>
              </w:rPr>
              <w:t xml:space="preserve"> </w:t>
            </w:r>
            <w:r>
              <w:rPr>
                <w:rFonts w:hAnsi="宋体"/>
                <w:color w:val="000000"/>
                <w:kern w:val="0"/>
                <w:szCs w:val="21"/>
                <w:lang w:bidi="ar"/>
              </w:rPr>
              <w:t>违反本条例规定，建设单位将建设工程肢解发包的，责令改正，处工程合同价款百分之零点五以上百分之一以下的罚款；对全部或者部分使用国有资金的项目，并可以暂停项目执行或者暂停资金拨付。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08FD9DC0">
            <w:pPr>
              <w:widowControl/>
              <w:jc w:val="left"/>
              <w:rPr>
                <w:color w:val="000000"/>
                <w:kern w:val="0"/>
                <w:szCs w:val="21"/>
              </w:rPr>
            </w:pPr>
          </w:p>
        </w:tc>
      </w:tr>
      <w:tr w14:paraId="1843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417" w:type="dxa"/>
            <w:noWrap w:val="0"/>
            <w:tcMar>
              <w:left w:w="51" w:type="dxa"/>
              <w:right w:w="51" w:type="dxa"/>
            </w:tcMar>
            <w:vAlign w:val="center"/>
          </w:tcPr>
          <w:p w14:paraId="07A54B60">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1</w:t>
            </w:r>
          </w:p>
        </w:tc>
        <w:tc>
          <w:tcPr>
            <w:tcW w:w="1834" w:type="dxa"/>
            <w:noWrap w:val="0"/>
            <w:tcMar>
              <w:left w:w="51" w:type="dxa"/>
              <w:right w:w="51" w:type="dxa"/>
            </w:tcMar>
            <w:vAlign w:val="center"/>
          </w:tcPr>
          <w:p w14:paraId="527FF57B">
            <w:pPr>
              <w:widowControl/>
              <w:jc w:val="left"/>
              <w:textAlignment w:val="center"/>
              <w:rPr>
                <w:color w:val="000000"/>
                <w:kern w:val="0"/>
                <w:szCs w:val="21"/>
              </w:rPr>
            </w:pPr>
            <w:r>
              <w:rPr>
                <w:rFonts w:hAnsi="宋体"/>
                <w:color w:val="000000"/>
                <w:kern w:val="0"/>
                <w:szCs w:val="21"/>
                <w:lang w:bidi="ar"/>
              </w:rPr>
              <w:t>人防工程勘察单位未按照工程建设强制性标准进行勘察，设计单位未根据勘察成果文件进行设计或者指定建筑材料、建筑构配件的生产厂、供应商或者未按照工程建设强制性标准进行设计等的处罚</w:t>
            </w:r>
          </w:p>
        </w:tc>
        <w:tc>
          <w:tcPr>
            <w:tcW w:w="706" w:type="dxa"/>
            <w:noWrap w:val="0"/>
            <w:tcMar>
              <w:left w:w="51" w:type="dxa"/>
              <w:right w:w="51" w:type="dxa"/>
            </w:tcMar>
            <w:vAlign w:val="center"/>
          </w:tcPr>
          <w:p w14:paraId="4AC79B51">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3CAD65C8">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24EB20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0F324E4">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《建设工程质量管理条例》第六十三条</w:t>
            </w:r>
            <w:r>
              <w:rPr>
                <w:color w:val="000000"/>
                <w:kern w:val="0"/>
                <w:szCs w:val="21"/>
                <w:lang w:bidi="ar"/>
              </w:rPr>
              <w:t xml:space="preserve"> </w:t>
            </w:r>
            <w:r>
              <w:rPr>
                <w:rFonts w:hAnsi="宋体"/>
                <w:color w:val="000000"/>
                <w:kern w:val="0"/>
                <w:szCs w:val="21"/>
                <w:lang w:bidi="ar"/>
              </w:rPr>
              <w:t>违反本条例规定，有下列行为之一的，责令改正，处</w:t>
            </w:r>
            <w:r>
              <w:rPr>
                <w:color w:val="000000"/>
                <w:kern w:val="0"/>
                <w:szCs w:val="21"/>
                <w:lang w:bidi="ar"/>
              </w:rPr>
              <w:t>10</w:t>
            </w:r>
            <w:r>
              <w:rPr>
                <w:rFonts w:hAnsi="宋体"/>
                <w:color w:val="000000"/>
                <w:kern w:val="0"/>
                <w:szCs w:val="21"/>
                <w:lang w:bidi="ar"/>
              </w:rPr>
              <w:t>万元以上</w:t>
            </w:r>
            <w:r>
              <w:rPr>
                <w:color w:val="000000"/>
                <w:kern w:val="0"/>
                <w:szCs w:val="21"/>
                <w:lang w:bidi="ar"/>
              </w:rPr>
              <w:t>30</w:t>
            </w:r>
            <w:r>
              <w:rPr>
                <w:rFonts w:hAnsi="宋体"/>
                <w:color w:val="000000"/>
                <w:kern w:val="0"/>
                <w:szCs w:val="21"/>
                <w:lang w:bidi="ar"/>
              </w:rPr>
              <w:t>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第七十三条：依照本条例规定，给予单位罚款处罚的，对单位直接负责的主管人员和其他直接责任人员处单位罚款数额百分之五以上百分之十以下的罚款。</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《湖南省人民防空工程建设与维护管理规定》第二十九条</w:t>
            </w:r>
            <w:r>
              <w:rPr>
                <w:color w:val="000000"/>
                <w:kern w:val="0"/>
                <w:szCs w:val="21"/>
                <w:lang w:bidi="ar"/>
              </w:rPr>
              <w:t xml:space="preserve"> </w:t>
            </w:r>
            <w:r>
              <w:rPr>
                <w:rFonts w:hAnsi="宋体"/>
                <w:color w:val="000000"/>
                <w:kern w:val="0"/>
                <w:szCs w:val="21"/>
                <w:lang w:bidi="ar"/>
              </w:rPr>
              <w:t>违反本规定，有下列情形之一的，由人防主管部门给予警告，责令改正，可以并处一万元以上十万元以下罚款：（一）勘察、设计、施工图审查、施工、监理单位未按照人防工程战术、技术标准进行勘察、设计、施工图审查、施工、监理的；</w:t>
            </w:r>
          </w:p>
        </w:tc>
        <w:tc>
          <w:tcPr>
            <w:tcW w:w="411" w:type="dxa"/>
            <w:noWrap/>
            <w:tcMar>
              <w:left w:w="51" w:type="dxa"/>
              <w:right w:w="51" w:type="dxa"/>
            </w:tcMar>
            <w:vAlign w:val="center"/>
          </w:tcPr>
          <w:p w14:paraId="66394566">
            <w:pPr>
              <w:widowControl/>
              <w:jc w:val="left"/>
              <w:rPr>
                <w:color w:val="000000"/>
                <w:kern w:val="0"/>
                <w:szCs w:val="21"/>
              </w:rPr>
            </w:pPr>
          </w:p>
        </w:tc>
      </w:tr>
      <w:tr w14:paraId="4FB0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417" w:type="dxa"/>
            <w:noWrap w:val="0"/>
            <w:tcMar>
              <w:left w:w="51" w:type="dxa"/>
              <w:right w:w="51" w:type="dxa"/>
            </w:tcMar>
            <w:vAlign w:val="center"/>
          </w:tcPr>
          <w:p w14:paraId="58381BA3">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2</w:t>
            </w:r>
          </w:p>
        </w:tc>
        <w:tc>
          <w:tcPr>
            <w:tcW w:w="1834" w:type="dxa"/>
            <w:noWrap w:val="0"/>
            <w:tcMar>
              <w:left w:w="51" w:type="dxa"/>
              <w:right w:w="51" w:type="dxa"/>
            </w:tcMar>
            <w:vAlign w:val="center"/>
          </w:tcPr>
          <w:p w14:paraId="1F31E855">
            <w:pPr>
              <w:widowControl/>
              <w:jc w:val="left"/>
              <w:textAlignment w:val="center"/>
              <w:rPr>
                <w:color w:val="000000"/>
                <w:kern w:val="0"/>
                <w:szCs w:val="21"/>
              </w:rPr>
            </w:pPr>
            <w:r>
              <w:rPr>
                <w:rFonts w:hAnsi="宋体"/>
                <w:color w:val="000000"/>
                <w:kern w:val="0"/>
                <w:szCs w:val="21"/>
                <w:lang w:bidi="ar"/>
              </w:rPr>
              <w:t>人防工程监理单位与建设单位或者施工单位串通，弄虚作假、降低工程质量或者将不合格的建设工程、建筑材料、建筑构配件和设备按照合格签字的处罚</w:t>
            </w:r>
          </w:p>
        </w:tc>
        <w:tc>
          <w:tcPr>
            <w:tcW w:w="706" w:type="dxa"/>
            <w:noWrap w:val="0"/>
            <w:tcMar>
              <w:left w:w="51" w:type="dxa"/>
              <w:right w:w="51" w:type="dxa"/>
            </w:tcMar>
            <w:vAlign w:val="center"/>
          </w:tcPr>
          <w:p w14:paraId="0463184A">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0A2152E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066427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0F9063FD">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《建设工程质量管理条例》第六十七条</w:t>
            </w:r>
            <w:r>
              <w:rPr>
                <w:color w:val="000000"/>
                <w:kern w:val="0"/>
                <w:szCs w:val="21"/>
                <w:lang w:bidi="ar"/>
              </w:rPr>
              <w:t xml:space="preserve"> </w:t>
            </w:r>
            <w:r>
              <w:rPr>
                <w:rFonts w:hAnsi="宋体"/>
                <w:color w:val="000000"/>
                <w:kern w:val="0"/>
                <w:szCs w:val="21"/>
                <w:lang w:bidi="ar"/>
              </w:rPr>
              <w:t>工程监理单位有下列行为之一的，责令改正，处</w:t>
            </w:r>
            <w:r>
              <w:rPr>
                <w:color w:val="000000"/>
                <w:kern w:val="0"/>
                <w:szCs w:val="21"/>
                <w:lang w:bidi="ar"/>
              </w:rPr>
              <w:t>50</w:t>
            </w:r>
            <w:r>
              <w:rPr>
                <w:rFonts w:hAnsi="宋体"/>
                <w:color w:val="000000"/>
                <w:kern w:val="0"/>
                <w:szCs w:val="21"/>
                <w:lang w:bidi="ar"/>
              </w:rPr>
              <w:t>万元以上</w:t>
            </w:r>
            <w:r>
              <w:rPr>
                <w:color w:val="000000"/>
                <w:kern w:val="0"/>
                <w:szCs w:val="21"/>
                <w:lang w:bidi="ar"/>
              </w:rPr>
              <w:t>100</w:t>
            </w:r>
            <w:r>
              <w:rPr>
                <w:rFonts w:hAnsi="宋体"/>
                <w:color w:val="000000"/>
                <w:kern w:val="0"/>
                <w:szCs w:val="21"/>
                <w:lang w:bidi="ar"/>
              </w:rPr>
              <w:t>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第七十三条：依照本条例规定，给予单位罚款处罚的，对单位直接负责的主管人员和其他直接责任人员处单位罚款数额百分之五以上百分之十以下的罚款。</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《湖南省人民防空工程建设与维护管理规定》第二十九条</w:t>
            </w:r>
            <w:r>
              <w:rPr>
                <w:color w:val="000000"/>
                <w:kern w:val="0"/>
                <w:szCs w:val="21"/>
                <w:lang w:bidi="ar"/>
              </w:rPr>
              <w:t xml:space="preserve"> </w:t>
            </w:r>
            <w:r>
              <w:rPr>
                <w:rFonts w:hAnsi="宋体"/>
                <w:color w:val="000000"/>
                <w:kern w:val="0"/>
                <w:szCs w:val="21"/>
                <w:lang w:bidi="ar"/>
              </w:rPr>
              <w:t>违反本规定，有下列情形之一的，由人防主管部门给予警告，责令改正，可以并处一万元以上十万元以下罚款：（一）勘察、设计、施工图审查、施工、监理单位未按照人防工程战术、技术标准进行勘察、设计、施工图审查、施工、监理的；</w:t>
            </w:r>
          </w:p>
        </w:tc>
        <w:tc>
          <w:tcPr>
            <w:tcW w:w="411" w:type="dxa"/>
            <w:noWrap/>
            <w:tcMar>
              <w:left w:w="51" w:type="dxa"/>
              <w:right w:w="51" w:type="dxa"/>
            </w:tcMar>
            <w:vAlign w:val="center"/>
          </w:tcPr>
          <w:p w14:paraId="7DB09821">
            <w:pPr>
              <w:widowControl/>
              <w:jc w:val="left"/>
              <w:rPr>
                <w:color w:val="000000"/>
                <w:kern w:val="0"/>
                <w:szCs w:val="21"/>
              </w:rPr>
            </w:pPr>
          </w:p>
        </w:tc>
      </w:tr>
      <w:tr w14:paraId="04F8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417" w:type="dxa"/>
            <w:noWrap w:val="0"/>
            <w:tcMar>
              <w:left w:w="51" w:type="dxa"/>
              <w:right w:w="51" w:type="dxa"/>
            </w:tcMar>
            <w:vAlign w:val="center"/>
          </w:tcPr>
          <w:p w14:paraId="730E6DAC">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3</w:t>
            </w:r>
          </w:p>
        </w:tc>
        <w:tc>
          <w:tcPr>
            <w:tcW w:w="1834" w:type="dxa"/>
            <w:noWrap w:val="0"/>
            <w:tcMar>
              <w:left w:w="51" w:type="dxa"/>
              <w:right w:w="51" w:type="dxa"/>
            </w:tcMar>
            <w:vAlign w:val="center"/>
          </w:tcPr>
          <w:p w14:paraId="28C29FCF">
            <w:pPr>
              <w:widowControl/>
              <w:jc w:val="left"/>
              <w:textAlignment w:val="center"/>
              <w:rPr>
                <w:color w:val="000000"/>
                <w:kern w:val="0"/>
                <w:szCs w:val="21"/>
              </w:rPr>
            </w:pPr>
            <w:r>
              <w:rPr>
                <w:rFonts w:hAnsi="宋体"/>
                <w:color w:val="000000"/>
                <w:kern w:val="0"/>
                <w:szCs w:val="21"/>
                <w:lang w:bidi="ar"/>
              </w:rPr>
              <w:t>人防工程施工单位未对建筑材料、建筑构配件、设备和商品混凝土进行检验，或者未对涉及结构安全的试块、试件以及有关材料取样检测的处罚</w:t>
            </w:r>
          </w:p>
        </w:tc>
        <w:tc>
          <w:tcPr>
            <w:tcW w:w="706" w:type="dxa"/>
            <w:noWrap w:val="0"/>
            <w:tcMar>
              <w:left w:w="51" w:type="dxa"/>
              <w:right w:w="51" w:type="dxa"/>
            </w:tcMar>
            <w:vAlign w:val="center"/>
          </w:tcPr>
          <w:p w14:paraId="04E48AC7">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5DFD9862">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D45A909">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2D16885">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《建设工程质量管理条例》第六十五条</w:t>
            </w:r>
            <w:r>
              <w:rPr>
                <w:color w:val="000000"/>
                <w:kern w:val="0"/>
                <w:szCs w:val="21"/>
                <w:lang w:bidi="ar"/>
              </w:rPr>
              <w:t xml:space="preserve"> </w:t>
            </w:r>
            <w:r>
              <w:rPr>
                <w:rFonts w:hAnsi="宋体"/>
                <w:color w:val="000000"/>
                <w:kern w:val="0"/>
                <w:szCs w:val="21"/>
                <w:lang w:bidi="ar"/>
              </w:rPr>
              <w:t>违反本条例规定，施工单位未对建筑材料、建筑构配件、设备和商品混凝土进行检验，或者未对涉及结构安全的试块、试件以及有关材料取样检测的，责令改正，处</w:t>
            </w:r>
            <w:r>
              <w:rPr>
                <w:color w:val="000000"/>
                <w:kern w:val="0"/>
                <w:szCs w:val="21"/>
                <w:lang w:bidi="ar"/>
              </w:rPr>
              <w:t>10</w:t>
            </w:r>
            <w:r>
              <w:rPr>
                <w:rFonts w:hAnsi="宋体"/>
                <w:color w:val="000000"/>
                <w:kern w:val="0"/>
                <w:szCs w:val="21"/>
                <w:lang w:bidi="ar"/>
              </w:rPr>
              <w:t>万元以上</w:t>
            </w:r>
            <w:r>
              <w:rPr>
                <w:color w:val="000000"/>
                <w:kern w:val="0"/>
                <w:szCs w:val="21"/>
                <w:lang w:bidi="ar"/>
              </w:rPr>
              <w:t>20</w:t>
            </w:r>
            <w:r>
              <w:rPr>
                <w:rFonts w:hAnsi="宋体"/>
                <w:color w:val="000000"/>
                <w:kern w:val="0"/>
                <w:szCs w:val="21"/>
                <w:lang w:bidi="ar"/>
              </w:rPr>
              <w:t>万元以下的罚款；情节严重的，资令停业整顿，降低资质等级或者吊销资质证书，造成损失的，依法承担赔偿责任。第七十三条：依照本条例规定，给予单位罚款处罚的，对单位直接负责的主管人员和其他直接责任人员处单位罚款数额百分之五以上百分之十以下的罚款。</w:t>
            </w:r>
            <w:r>
              <w:rPr>
                <w:color w:val="000000"/>
                <w:kern w:val="0"/>
                <w:szCs w:val="21"/>
                <w:lang w:bidi="ar"/>
              </w:rPr>
              <w:t xml:space="preserve"> </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《湖南省人民防空工程建设与维护管理规定》第二十九条</w:t>
            </w:r>
            <w:r>
              <w:rPr>
                <w:color w:val="000000"/>
                <w:kern w:val="0"/>
                <w:szCs w:val="21"/>
                <w:lang w:bidi="ar"/>
              </w:rPr>
              <w:t xml:space="preserve"> </w:t>
            </w:r>
            <w:r>
              <w:rPr>
                <w:rFonts w:hAnsi="宋体"/>
                <w:color w:val="000000"/>
                <w:kern w:val="0"/>
                <w:szCs w:val="21"/>
                <w:lang w:bidi="ar"/>
              </w:rPr>
              <w:t>违反本规定，有下列情形之一的，由人防主管部门给予警告，责令改正，可以并处一万元以上十万元以下罚款：（一）勘察、设计、施工图审查、施工、监理单位未按照人防工程战术、技术标准进行勘察、设计、施工图审查、施工、监理的；</w:t>
            </w:r>
          </w:p>
        </w:tc>
        <w:tc>
          <w:tcPr>
            <w:tcW w:w="411" w:type="dxa"/>
            <w:noWrap/>
            <w:tcMar>
              <w:left w:w="51" w:type="dxa"/>
              <w:right w:w="51" w:type="dxa"/>
            </w:tcMar>
            <w:vAlign w:val="center"/>
          </w:tcPr>
          <w:p w14:paraId="78AC8E7A">
            <w:pPr>
              <w:widowControl/>
              <w:jc w:val="left"/>
              <w:rPr>
                <w:color w:val="000000"/>
                <w:kern w:val="0"/>
                <w:szCs w:val="21"/>
              </w:rPr>
            </w:pPr>
          </w:p>
        </w:tc>
      </w:tr>
      <w:tr w14:paraId="5E8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jc w:val="center"/>
        </w:trPr>
        <w:tc>
          <w:tcPr>
            <w:tcW w:w="417" w:type="dxa"/>
            <w:noWrap w:val="0"/>
            <w:tcMar>
              <w:left w:w="51" w:type="dxa"/>
              <w:right w:w="51" w:type="dxa"/>
            </w:tcMar>
            <w:vAlign w:val="center"/>
          </w:tcPr>
          <w:p w14:paraId="1B5B7B7A">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4</w:t>
            </w:r>
          </w:p>
        </w:tc>
        <w:tc>
          <w:tcPr>
            <w:tcW w:w="1834" w:type="dxa"/>
            <w:noWrap w:val="0"/>
            <w:tcMar>
              <w:left w:w="51" w:type="dxa"/>
              <w:right w:w="51" w:type="dxa"/>
            </w:tcMar>
            <w:vAlign w:val="center"/>
          </w:tcPr>
          <w:p w14:paraId="0543555E">
            <w:pPr>
              <w:widowControl/>
              <w:jc w:val="left"/>
              <w:textAlignment w:val="center"/>
              <w:rPr>
                <w:color w:val="000000"/>
                <w:kern w:val="0"/>
                <w:szCs w:val="21"/>
              </w:rPr>
            </w:pPr>
            <w:r>
              <w:rPr>
                <w:rFonts w:hAnsi="宋体"/>
                <w:color w:val="000000"/>
                <w:kern w:val="0"/>
                <w:szCs w:val="21"/>
                <w:lang w:bidi="ar"/>
              </w:rPr>
              <w:t>建设单位未取得人防工程施工许可证或者开工报告未经批准擅自施工的处罚</w:t>
            </w:r>
          </w:p>
        </w:tc>
        <w:tc>
          <w:tcPr>
            <w:tcW w:w="706" w:type="dxa"/>
            <w:noWrap w:val="0"/>
            <w:tcMar>
              <w:left w:w="51" w:type="dxa"/>
              <w:right w:w="51" w:type="dxa"/>
            </w:tcMar>
            <w:vAlign w:val="center"/>
          </w:tcPr>
          <w:p w14:paraId="30070DAF">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5EED0CE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1F656D8">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38E80400">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《建设工程质量管理条例》第五十七条</w:t>
            </w:r>
            <w:r>
              <w:rPr>
                <w:b/>
                <w:bCs/>
                <w:color w:val="000000"/>
                <w:kern w:val="0"/>
                <w:szCs w:val="21"/>
                <w:lang w:bidi="ar"/>
              </w:rPr>
              <w:t xml:space="preserve"> </w:t>
            </w:r>
            <w:r>
              <w:rPr>
                <w:rFonts w:hAnsi="宋体"/>
                <w:color w:val="000000"/>
                <w:kern w:val="0"/>
                <w:szCs w:val="21"/>
                <w:lang w:bidi="ar"/>
              </w:rPr>
              <w:t>违反本条例规定，建设单位未取得施工许可证或者开工报告未经批准，擅自施工的，责令停止施工，限期改正，处工程合同价款百分之一以上百分之二以下的罚款。第七十三条：依照本条例规定，给予单位罚款处罚的，对单位直接负责的主管人员和其他直接责任人员处单位罚款数额百分之五以上百分之十以下的罚款。</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《湖南省人民防空工程建设与维护管理规定》第二十九条</w:t>
            </w:r>
            <w:r>
              <w:rPr>
                <w:color w:val="000000"/>
                <w:kern w:val="0"/>
                <w:szCs w:val="21"/>
                <w:lang w:bidi="ar"/>
              </w:rPr>
              <w:t xml:space="preserve"> </w:t>
            </w:r>
            <w:r>
              <w:rPr>
                <w:rFonts w:hAnsi="宋体"/>
                <w:color w:val="000000"/>
                <w:kern w:val="0"/>
                <w:szCs w:val="21"/>
                <w:lang w:bidi="ar"/>
              </w:rPr>
              <w:t>违反本规定，有下列情形之一的，由人防主管部门给予警告，责令改正，可以并处一万元以上十万元以下罚款：（一）勘察、设计、施工图审查、施工、监理单位未按照人防工程战术、技术标准进行勘察、设计、施工图审查、施工、监理的；（二）建设单位未按照规定将人防工程初步设计、施工图设计文件提交相关部门审查的；（三）建设单位未按照规定申请办理人防工程质量监督手续的；</w:t>
            </w:r>
            <w:r>
              <w:rPr>
                <w:color w:val="000000"/>
                <w:kern w:val="0"/>
                <w:szCs w:val="21"/>
                <w:lang w:bidi="ar"/>
              </w:rPr>
              <w:t> (</w:t>
            </w:r>
            <w:r>
              <w:rPr>
                <w:rFonts w:hAnsi="宋体"/>
                <w:color w:val="000000"/>
                <w:kern w:val="0"/>
                <w:szCs w:val="21"/>
                <w:lang w:bidi="ar"/>
              </w:rPr>
              <w:t>四）建设单位未经人防主管部门质量认可将人防工程交付使用的；（五）建设单位未按照规定将人防工程有关资料提交人防主管部门备案的；（六）人民防空专用设备生产安装企业未按照人防设备产品国家标准和技术规范进行生产安装的。</w:t>
            </w:r>
          </w:p>
        </w:tc>
        <w:tc>
          <w:tcPr>
            <w:tcW w:w="411" w:type="dxa"/>
            <w:noWrap/>
            <w:tcMar>
              <w:left w:w="51" w:type="dxa"/>
              <w:right w:w="51" w:type="dxa"/>
            </w:tcMar>
            <w:vAlign w:val="center"/>
          </w:tcPr>
          <w:p w14:paraId="57B4B6B3">
            <w:pPr>
              <w:widowControl/>
              <w:jc w:val="left"/>
              <w:rPr>
                <w:color w:val="000000"/>
                <w:kern w:val="0"/>
                <w:szCs w:val="21"/>
              </w:rPr>
            </w:pPr>
          </w:p>
        </w:tc>
      </w:tr>
      <w:tr w14:paraId="585C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jc w:val="center"/>
        </w:trPr>
        <w:tc>
          <w:tcPr>
            <w:tcW w:w="417" w:type="dxa"/>
            <w:noWrap w:val="0"/>
            <w:tcMar>
              <w:left w:w="51" w:type="dxa"/>
              <w:right w:w="51" w:type="dxa"/>
            </w:tcMar>
            <w:vAlign w:val="center"/>
          </w:tcPr>
          <w:p w14:paraId="2E1B222A">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5</w:t>
            </w:r>
          </w:p>
        </w:tc>
        <w:tc>
          <w:tcPr>
            <w:tcW w:w="1834" w:type="dxa"/>
            <w:noWrap w:val="0"/>
            <w:tcMar>
              <w:left w:w="51" w:type="dxa"/>
              <w:right w:w="51" w:type="dxa"/>
            </w:tcMar>
            <w:vAlign w:val="center"/>
          </w:tcPr>
          <w:p w14:paraId="1C9483A2">
            <w:pPr>
              <w:widowControl/>
              <w:jc w:val="left"/>
              <w:textAlignment w:val="center"/>
              <w:rPr>
                <w:color w:val="000000"/>
                <w:kern w:val="0"/>
                <w:szCs w:val="21"/>
              </w:rPr>
            </w:pPr>
            <w:r>
              <w:rPr>
                <w:rFonts w:hAnsi="宋体"/>
                <w:color w:val="000000"/>
                <w:kern w:val="0"/>
                <w:szCs w:val="21"/>
                <w:lang w:bidi="ar"/>
              </w:rPr>
              <w:t>勘察、设计、施工、工程监理单位超越本单位资质等级承揽人防工程的处罚</w:t>
            </w:r>
          </w:p>
        </w:tc>
        <w:tc>
          <w:tcPr>
            <w:tcW w:w="706" w:type="dxa"/>
            <w:noWrap w:val="0"/>
            <w:tcMar>
              <w:left w:w="51" w:type="dxa"/>
              <w:right w:w="51" w:type="dxa"/>
            </w:tcMar>
            <w:vAlign w:val="center"/>
          </w:tcPr>
          <w:p w14:paraId="31C5B32B">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6DAA9976">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6E473F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300846E8">
            <w:pPr>
              <w:widowControl/>
              <w:jc w:val="left"/>
              <w:textAlignment w:val="center"/>
              <w:rPr>
                <w:b/>
                <w:bCs/>
                <w:color w:val="000000"/>
                <w:kern w:val="0"/>
                <w:szCs w:val="21"/>
              </w:rPr>
            </w:pPr>
            <w:r>
              <w:rPr>
                <w:rFonts w:hAnsi="宋体"/>
                <w:b/>
                <w:bCs/>
                <w:color w:val="000000"/>
                <w:kern w:val="0"/>
                <w:szCs w:val="21"/>
                <w:lang w:bidi="ar"/>
              </w:rPr>
              <w:t>《建设工程质量管理条例》第六十条</w:t>
            </w:r>
            <w:r>
              <w:rPr>
                <w:color w:val="000000"/>
                <w:kern w:val="0"/>
                <w:szCs w:val="21"/>
                <w:lang w:bidi="ar"/>
              </w:rPr>
              <w:t xml:space="preserve"> </w:t>
            </w:r>
            <w:r>
              <w:rPr>
                <w:rFonts w:hAnsi="宋体"/>
                <w:color w:val="000000"/>
                <w:kern w:val="0"/>
                <w:szCs w:val="21"/>
                <w:lang w:bidi="ar"/>
              </w:rPr>
              <w:t>违反本条例规定，勘察、设计、施工、工程监理单位超越本单位资质等级承揽工程的，责令停止违法行为，对勘察、设计单位或者工程监理单位处合同约定的勘察费、设计费或者监理酬金</w:t>
            </w:r>
            <w:r>
              <w:rPr>
                <w:rStyle w:val="6"/>
                <w:rFonts w:hint="default" w:ascii="Times New Roman" w:hAnsi="Times New Roman" w:cs="Times New Roman"/>
                <w:sz w:val="21"/>
                <w:szCs w:val="21"/>
                <w:lang w:bidi="ar"/>
              </w:rPr>
              <w:t>1</w:t>
            </w:r>
            <w:r>
              <w:rPr>
                <w:rStyle w:val="6"/>
                <w:rFonts w:hint="default" w:ascii="Times New Roman" w:cs="Times New Roman"/>
                <w:sz w:val="21"/>
                <w:szCs w:val="21"/>
                <w:lang w:bidi="ar"/>
              </w:rPr>
              <w:t>倍以上</w:t>
            </w:r>
            <w:r>
              <w:rPr>
                <w:rStyle w:val="6"/>
                <w:rFonts w:hint="default" w:ascii="Times New Roman" w:hAnsi="Times New Roman" w:cs="Times New Roman"/>
                <w:sz w:val="21"/>
                <w:szCs w:val="21"/>
                <w:lang w:bidi="ar"/>
              </w:rPr>
              <w:t>2</w:t>
            </w:r>
            <w:r>
              <w:rPr>
                <w:rStyle w:val="6"/>
                <w:rFonts w:hint="default" w:ascii="Times New Roman" w:cs="Times New Roman"/>
                <w:sz w:val="21"/>
                <w:szCs w:val="21"/>
                <w:lang w:bidi="ar"/>
              </w:rPr>
              <w:t>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取揽工程的，吊销资质证书，依照本条第一款规定处以罚款；有违法所得的，予以没收。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05A10714">
            <w:pPr>
              <w:widowControl/>
              <w:jc w:val="left"/>
              <w:rPr>
                <w:color w:val="000000"/>
                <w:kern w:val="0"/>
                <w:szCs w:val="21"/>
              </w:rPr>
            </w:pPr>
          </w:p>
        </w:tc>
      </w:tr>
      <w:tr w14:paraId="4377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417" w:type="dxa"/>
            <w:noWrap w:val="0"/>
            <w:tcMar>
              <w:left w:w="51" w:type="dxa"/>
              <w:right w:w="51" w:type="dxa"/>
            </w:tcMar>
            <w:vAlign w:val="center"/>
          </w:tcPr>
          <w:p w14:paraId="5D98FF14">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6</w:t>
            </w:r>
          </w:p>
        </w:tc>
        <w:tc>
          <w:tcPr>
            <w:tcW w:w="1834" w:type="dxa"/>
            <w:noWrap w:val="0"/>
            <w:tcMar>
              <w:left w:w="51" w:type="dxa"/>
              <w:right w:w="51" w:type="dxa"/>
            </w:tcMar>
            <w:vAlign w:val="center"/>
          </w:tcPr>
          <w:p w14:paraId="7574763C">
            <w:pPr>
              <w:widowControl/>
              <w:jc w:val="left"/>
              <w:textAlignment w:val="center"/>
              <w:rPr>
                <w:color w:val="000000"/>
                <w:kern w:val="0"/>
                <w:szCs w:val="21"/>
              </w:rPr>
            </w:pPr>
            <w:r>
              <w:rPr>
                <w:rFonts w:hAnsi="宋体"/>
                <w:color w:val="000000"/>
                <w:kern w:val="0"/>
                <w:szCs w:val="21"/>
                <w:lang w:bidi="ar"/>
              </w:rPr>
              <w:t>建设单位未按照国家规定将人防工程竣工验收报告、有关认可文件或者准许使用文件报送人防部门备案等的处罚</w:t>
            </w:r>
          </w:p>
        </w:tc>
        <w:tc>
          <w:tcPr>
            <w:tcW w:w="706" w:type="dxa"/>
            <w:noWrap w:val="0"/>
            <w:tcMar>
              <w:left w:w="51" w:type="dxa"/>
              <w:right w:w="51" w:type="dxa"/>
            </w:tcMar>
            <w:vAlign w:val="center"/>
          </w:tcPr>
          <w:p w14:paraId="10D733A2">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5A89ACA9">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626FF78">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D6051CB">
            <w:pPr>
              <w:widowControl/>
              <w:jc w:val="left"/>
              <w:textAlignment w:val="center"/>
              <w:rPr>
                <w:b/>
                <w:bCs/>
                <w:color w:val="000000"/>
                <w:kern w:val="0"/>
                <w:szCs w:val="21"/>
              </w:rPr>
            </w:pPr>
            <w:r>
              <w:rPr>
                <w:rFonts w:hAnsi="宋体"/>
                <w:b/>
                <w:bCs/>
                <w:color w:val="000000"/>
                <w:kern w:val="0"/>
                <w:szCs w:val="21"/>
                <w:lang w:bidi="ar"/>
              </w:rPr>
              <w:t>《湖南省人民防空工程建设与维护管理规定》第二十九条</w:t>
            </w:r>
            <w:r>
              <w:rPr>
                <w:color w:val="000000"/>
                <w:kern w:val="0"/>
                <w:szCs w:val="21"/>
                <w:lang w:bidi="ar"/>
              </w:rPr>
              <w:t xml:space="preserve"> </w:t>
            </w:r>
            <w:r>
              <w:rPr>
                <w:rFonts w:hAnsi="宋体"/>
                <w:color w:val="000000"/>
                <w:kern w:val="0"/>
                <w:szCs w:val="21"/>
                <w:lang w:bidi="ar"/>
              </w:rPr>
              <w:t>违反本规定，有下列情形之一的，由人防主管部门给予警告，责令改正，可以并处一万元以上十万元以下罚款：</w:t>
            </w:r>
            <w:r>
              <w:rPr>
                <w:color w:val="000000"/>
                <w:kern w:val="0"/>
                <w:szCs w:val="21"/>
                <w:lang w:bidi="ar"/>
              </w:rPr>
              <w:t>...</w:t>
            </w:r>
            <w:r>
              <w:rPr>
                <w:rFonts w:hAnsi="宋体"/>
                <w:color w:val="000000"/>
                <w:kern w:val="0"/>
                <w:szCs w:val="21"/>
                <w:lang w:bidi="ar"/>
              </w:rPr>
              <w:t>（五）建设单位未按照规定将人防工程有关资料提交人防主管部门备案的；（六）人民防空专用设备生产安装企业未按照人防设备产品国家标准和技术规范进行生产安装的。</w:t>
            </w:r>
          </w:p>
        </w:tc>
        <w:tc>
          <w:tcPr>
            <w:tcW w:w="411" w:type="dxa"/>
            <w:noWrap/>
            <w:tcMar>
              <w:left w:w="51" w:type="dxa"/>
              <w:right w:w="51" w:type="dxa"/>
            </w:tcMar>
            <w:vAlign w:val="center"/>
          </w:tcPr>
          <w:p w14:paraId="1461EFD6">
            <w:pPr>
              <w:widowControl/>
              <w:jc w:val="left"/>
              <w:rPr>
                <w:color w:val="000000"/>
                <w:kern w:val="0"/>
                <w:szCs w:val="21"/>
              </w:rPr>
            </w:pPr>
          </w:p>
        </w:tc>
      </w:tr>
      <w:tr w14:paraId="67A6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417" w:type="dxa"/>
            <w:noWrap w:val="0"/>
            <w:tcMar>
              <w:left w:w="51" w:type="dxa"/>
              <w:right w:w="51" w:type="dxa"/>
            </w:tcMar>
            <w:vAlign w:val="center"/>
          </w:tcPr>
          <w:p w14:paraId="19B4179B">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7</w:t>
            </w:r>
          </w:p>
        </w:tc>
        <w:tc>
          <w:tcPr>
            <w:tcW w:w="1834" w:type="dxa"/>
            <w:noWrap w:val="0"/>
            <w:tcMar>
              <w:left w:w="51" w:type="dxa"/>
              <w:right w:w="51" w:type="dxa"/>
            </w:tcMar>
            <w:vAlign w:val="center"/>
          </w:tcPr>
          <w:p w14:paraId="3B7814BC">
            <w:pPr>
              <w:widowControl/>
              <w:jc w:val="left"/>
              <w:textAlignment w:val="center"/>
              <w:rPr>
                <w:color w:val="000000"/>
                <w:kern w:val="0"/>
                <w:szCs w:val="21"/>
              </w:rPr>
            </w:pPr>
            <w:r>
              <w:rPr>
                <w:rFonts w:hAnsi="宋体"/>
                <w:color w:val="000000"/>
                <w:kern w:val="0"/>
                <w:szCs w:val="21"/>
                <w:lang w:bidi="ar"/>
              </w:rPr>
              <w:t>施工单位不履行人防工程保修义务或者拖延履行保修义务的处罚</w:t>
            </w:r>
          </w:p>
        </w:tc>
        <w:tc>
          <w:tcPr>
            <w:tcW w:w="706" w:type="dxa"/>
            <w:noWrap w:val="0"/>
            <w:tcMar>
              <w:left w:w="51" w:type="dxa"/>
              <w:right w:w="51" w:type="dxa"/>
            </w:tcMar>
            <w:vAlign w:val="center"/>
          </w:tcPr>
          <w:p w14:paraId="7B25C3A9">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10411200">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3D1BCBE">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238DF6F">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《建设工程质量管理条例》第六十六条</w:t>
            </w:r>
            <w:r>
              <w:rPr>
                <w:color w:val="000000"/>
                <w:kern w:val="0"/>
                <w:szCs w:val="21"/>
                <w:lang w:bidi="ar"/>
              </w:rPr>
              <w:t xml:space="preserve"> </w:t>
            </w:r>
            <w:r>
              <w:rPr>
                <w:rFonts w:hAnsi="宋体"/>
                <w:color w:val="000000"/>
                <w:kern w:val="0"/>
                <w:szCs w:val="21"/>
                <w:lang w:bidi="ar"/>
              </w:rPr>
              <w:t>违反本条例规定，施工单位不履行保修义务或者拖延履行保修义务的，责令改正，处</w:t>
            </w:r>
            <w:r>
              <w:rPr>
                <w:color w:val="000000"/>
                <w:kern w:val="0"/>
                <w:szCs w:val="21"/>
                <w:lang w:bidi="ar"/>
              </w:rPr>
              <w:t>10</w:t>
            </w:r>
            <w:r>
              <w:rPr>
                <w:rFonts w:hAnsi="宋体"/>
                <w:color w:val="000000"/>
                <w:kern w:val="0"/>
                <w:szCs w:val="21"/>
                <w:lang w:bidi="ar"/>
              </w:rPr>
              <w:t>万元以上</w:t>
            </w:r>
            <w:r>
              <w:rPr>
                <w:color w:val="000000"/>
                <w:kern w:val="0"/>
                <w:szCs w:val="21"/>
                <w:lang w:bidi="ar"/>
              </w:rPr>
              <w:t>20</w:t>
            </w:r>
            <w:r>
              <w:rPr>
                <w:rFonts w:hAnsi="宋体"/>
                <w:color w:val="000000"/>
                <w:kern w:val="0"/>
                <w:szCs w:val="21"/>
                <w:lang w:bidi="ar"/>
              </w:rPr>
              <w:t>万元以下的罚款，并对在保修期内因质量缺陷造成的损失承担赔偿责任。第七十三条：依照本条例规定，给予单位罚款处罚的，对单位直接负责的主管人员和其他直接责任人员处单位罚款数额百分之五以上百分之十以下的罚款。</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《中华人民共和国人民防空法》第四十九条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w:t>
            </w:r>
            <w:r>
              <w:rPr>
                <w:rFonts w:hAnsi="宋体"/>
                <w:color w:val="000000"/>
                <w:kern w:val="0"/>
                <w:szCs w:val="21"/>
                <w:lang w:bidi="ar"/>
              </w:rPr>
              <w:t>三</w:t>
            </w:r>
            <w:r>
              <w:rPr>
                <w:color w:val="000000"/>
                <w:kern w:val="0"/>
                <w:szCs w:val="21"/>
                <w:lang w:bidi="ar"/>
              </w:rPr>
              <w:t>)</w:t>
            </w:r>
            <w:r>
              <w:rPr>
                <w:rFonts w:hAnsi="宋体"/>
                <w:color w:val="000000"/>
                <w:kern w:val="0"/>
                <w:szCs w:val="21"/>
                <w:lang w:bidi="ar"/>
              </w:rPr>
              <w:t>违反国家有关规定，改变人民防空工程主体结构、拆除人民防空工程设备设施或者采用其他方法危害人民防空工程的安全和使用效能的：</w:t>
            </w:r>
          </w:p>
        </w:tc>
        <w:tc>
          <w:tcPr>
            <w:tcW w:w="411" w:type="dxa"/>
            <w:noWrap/>
            <w:tcMar>
              <w:left w:w="51" w:type="dxa"/>
              <w:right w:w="51" w:type="dxa"/>
            </w:tcMar>
            <w:vAlign w:val="center"/>
          </w:tcPr>
          <w:p w14:paraId="0D8D6899">
            <w:pPr>
              <w:widowControl/>
              <w:jc w:val="left"/>
              <w:rPr>
                <w:color w:val="000000"/>
                <w:kern w:val="0"/>
                <w:szCs w:val="21"/>
              </w:rPr>
            </w:pPr>
          </w:p>
        </w:tc>
      </w:tr>
      <w:tr w14:paraId="4004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417" w:type="dxa"/>
            <w:noWrap w:val="0"/>
            <w:tcMar>
              <w:left w:w="51" w:type="dxa"/>
              <w:right w:w="51" w:type="dxa"/>
            </w:tcMar>
            <w:vAlign w:val="center"/>
          </w:tcPr>
          <w:p w14:paraId="1BD87CD1">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8</w:t>
            </w:r>
          </w:p>
        </w:tc>
        <w:tc>
          <w:tcPr>
            <w:tcW w:w="1834" w:type="dxa"/>
            <w:noWrap w:val="0"/>
            <w:tcMar>
              <w:left w:w="51" w:type="dxa"/>
              <w:right w:w="51" w:type="dxa"/>
            </w:tcMar>
            <w:vAlign w:val="center"/>
          </w:tcPr>
          <w:p w14:paraId="27AA13F1">
            <w:pPr>
              <w:widowControl/>
              <w:jc w:val="left"/>
              <w:textAlignment w:val="center"/>
              <w:rPr>
                <w:color w:val="000000"/>
                <w:kern w:val="0"/>
                <w:szCs w:val="21"/>
              </w:rPr>
            </w:pPr>
            <w:r>
              <w:rPr>
                <w:rFonts w:hAnsi="宋体"/>
                <w:color w:val="000000"/>
                <w:kern w:val="0"/>
                <w:szCs w:val="21"/>
                <w:lang w:bidi="ar"/>
              </w:rPr>
              <w:t>城市新建民用建筑不修建或者少于规定面积修建防空地下室室的处罚</w:t>
            </w:r>
          </w:p>
        </w:tc>
        <w:tc>
          <w:tcPr>
            <w:tcW w:w="706" w:type="dxa"/>
            <w:noWrap w:val="0"/>
            <w:tcMar>
              <w:left w:w="51" w:type="dxa"/>
              <w:right w:w="51" w:type="dxa"/>
            </w:tcMar>
            <w:vAlign w:val="center"/>
          </w:tcPr>
          <w:p w14:paraId="345EC9BE">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399B15C1">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981B816">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0CC896C">
            <w:pPr>
              <w:widowControl/>
              <w:jc w:val="left"/>
              <w:textAlignment w:val="center"/>
              <w:rPr>
                <w:b/>
                <w:bCs/>
                <w:color w:val="000000"/>
                <w:kern w:val="0"/>
                <w:szCs w:val="21"/>
              </w:rPr>
            </w:pPr>
            <w:r>
              <w:rPr>
                <w:b/>
                <w:bCs/>
                <w:color w:val="000000"/>
                <w:kern w:val="0"/>
                <w:szCs w:val="21"/>
                <w:lang w:bidi="ar"/>
              </w:rPr>
              <w:t>1.</w:t>
            </w:r>
            <w:r>
              <w:rPr>
                <w:rFonts w:hAnsi="宋体"/>
                <w:b/>
                <w:bCs/>
                <w:color w:val="000000"/>
                <w:kern w:val="0"/>
                <w:szCs w:val="21"/>
                <w:lang w:bidi="ar"/>
              </w:rPr>
              <w:t>《中华人民共和国人民防空法》第四十八条</w:t>
            </w:r>
            <w:r>
              <w:rPr>
                <w:color w:val="000000"/>
                <w:kern w:val="0"/>
                <w:szCs w:val="21"/>
                <w:lang w:bidi="ar"/>
              </w:rPr>
              <w:t xml:space="preserve"> </w:t>
            </w:r>
            <w:r>
              <w:rPr>
                <w:rFonts w:hAnsi="宋体"/>
                <w:color w:val="000000"/>
                <w:kern w:val="0"/>
                <w:szCs w:val="21"/>
                <w:lang w:bidi="ar"/>
              </w:rPr>
              <w:t>城市新建民用建筑，违反国家有关规定不修建战时可用于防空的地下室的，由县级以上人民政府人民防空主管部门对当事人给予警告，并责令限期修建，可以并处十万元以下的罚款。</w:t>
            </w:r>
            <w:r>
              <w:rPr>
                <w:color w:val="000000"/>
                <w:kern w:val="0"/>
                <w:szCs w:val="21"/>
                <w:lang w:bidi="ar"/>
              </w:rPr>
              <w:t xml:space="preserve"> </w:t>
            </w:r>
            <w:r>
              <w:rPr>
                <w:color w:val="000000"/>
                <w:kern w:val="0"/>
                <w:szCs w:val="21"/>
                <w:lang w:bidi="ar"/>
              </w:rPr>
              <w:br w:type="textWrapping"/>
            </w:r>
            <w:r>
              <w:rPr>
                <w:b/>
                <w:bCs/>
                <w:color w:val="000000"/>
                <w:kern w:val="0"/>
                <w:szCs w:val="21"/>
                <w:lang w:bidi="ar"/>
              </w:rPr>
              <w:t>2.</w:t>
            </w:r>
            <w:r>
              <w:rPr>
                <w:rFonts w:hAnsi="宋体"/>
                <w:b/>
                <w:bCs/>
                <w:color w:val="000000"/>
                <w:kern w:val="0"/>
                <w:szCs w:val="21"/>
                <w:lang w:bidi="ar"/>
              </w:rPr>
              <w:t>《湖南省实施〈中华人民共和国人民防空法〉办法》</w:t>
            </w:r>
            <w:r>
              <w:rPr>
                <w:b/>
                <w:bCs/>
                <w:color w:val="000000"/>
                <w:kern w:val="0"/>
                <w:szCs w:val="21"/>
                <w:lang w:bidi="ar"/>
              </w:rPr>
              <w:t xml:space="preserve"> </w:t>
            </w:r>
            <w:r>
              <w:rPr>
                <w:rFonts w:hAnsi="宋体"/>
                <w:b/>
                <w:bCs/>
                <w:color w:val="000000"/>
                <w:kern w:val="0"/>
                <w:szCs w:val="21"/>
                <w:lang w:bidi="ar"/>
              </w:rPr>
              <w:t>第三十七条</w:t>
            </w:r>
            <w:r>
              <w:rPr>
                <w:b/>
                <w:bCs/>
                <w:color w:val="000000"/>
                <w:kern w:val="0"/>
                <w:szCs w:val="21"/>
                <w:lang w:bidi="ar"/>
              </w:rPr>
              <w:t xml:space="preserve"> </w:t>
            </w:r>
            <w:r>
              <w:rPr>
                <w:rFonts w:hAnsi="宋体"/>
                <w:color w:val="000000"/>
                <w:kern w:val="0"/>
                <w:szCs w:val="21"/>
                <w:lang w:bidi="ar"/>
              </w:rPr>
              <w:t>违反本办法规定，新建民用建筑不修建或者少于规定面积修建防空地下室的，由人民防空主管部门给予警告，责令限期补建或者缴纳防空地下室易地建设费，可以并处应建未建防空地下室面积工程造价百分之五的罚款，但总额不得超过十万元。</w:t>
            </w:r>
          </w:p>
        </w:tc>
        <w:tc>
          <w:tcPr>
            <w:tcW w:w="411" w:type="dxa"/>
            <w:noWrap/>
            <w:tcMar>
              <w:left w:w="51" w:type="dxa"/>
              <w:right w:w="51" w:type="dxa"/>
            </w:tcMar>
            <w:vAlign w:val="center"/>
          </w:tcPr>
          <w:p w14:paraId="1E18B825">
            <w:pPr>
              <w:widowControl/>
              <w:jc w:val="left"/>
              <w:rPr>
                <w:color w:val="000000"/>
                <w:kern w:val="0"/>
                <w:szCs w:val="21"/>
              </w:rPr>
            </w:pPr>
          </w:p>
        </w:tc>
      </w:tr>
      <w:tr w14:paraId="722C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417" w:type="dxa"/>
            <w:noWrap w:val="0"/>
            <w:tcMar>
              <w:left w:w="51" w:type="dxa"/>
              <w:right w:w="51" w:type="dxa"/>
            </w:tcMar>
            <w:vAlign w:val="center"/>
          </w:tcPr>
          <w:p w14:paraId="7A0082B0">
            <w:pPr>
              <w:widowControl/>
              <w:jc w:val="center"/>
              <w:rPr>
                <w:color w:val="000000"/>
                <w:kern w:val="0"/>
                <w:szCs w:val="21"/>
              </w:rPr>
            </w:pPr>
            <w:r>
              <w:rPr>
                <w:color w:val="000000"/>
                <w:kern w:val="0"/>
                <w:szCs w:val="21"/>
              </w:rPr>
              <w:t>1</w:t>
            </w:r>
            <w:r>
              <w:rPr>
                <w:rFonts w:hint="eastAsia"/>
                <w:color w:val="000000"/>
                <w:kern w:val="0"/>
                <w:szCs w:val="21"/>
                <w:lang w:val="en-US" w:eastAsia="zh-CN"/>
              </w:rPr>
              <w:t>1</w:t>
            </w:r>
            <w:r>
              <w:rPr>
                <w:color w:val="000000"/>
                <w:kern w:val="0"/>
                <w:szCs w:val="21"/>
              </w:rPr>
              <w:t>9</w:t>
            </w:r>
          </w:p>
        </w:tc>
        <w:tc>
          <w:tcPr>
            <w:tcW w:w="1834" w:type="dxa"/>
            <w:noWrap w:val="0"/>
            <w:tcMar>
              <w:left w:w="51" w:type="dxa"/>
              <w:right w:w="51" w:type="dxa"/>
            </w:tcMar>
            <w:vAlign w:val="center"/>
          </w:tcPr>
          <w:p w14:paraId="39F11F19">
            <w:pPr>
              <w:widowControl/>
              <w:jc w:val="left"/>
              <w:textAlignment w:val="center"/>
              <w:rPr>
                <w:color w:val="000000"/>
                <w:kern w:val="0"/>
                <w:szCs w:val="21"/>
              </w:rPr>
            </w:pPr>
            <w:r>
              <w:rPr>
                <w:rFonts w:hAnsi="宋体"/>
                <w:color w:val="000000"/>
                <w:kern w:val="0"/>
                <w:szCs w:val="21"/>
                <w:lang w:bidi="ar"/>
              </w:rPr>
              <w:t>勘察、设计、施工、工程监理单位允许其他单位或者个人以本单位名义承揽人防工程的处罚</w:t>
            </w:r>
          </w:p>
        </w:tc>
        <w:tc>
          <w:tcPr>
            <w:tcW w:w="706" w:type="dxa"/>
            <w:noWrap w:val="0"/>
            <w:tcMar>
              <w:left w:w="51" w:type="dxa"/>
              <w:right w:w="51" w:type="dxa"/>
            </w:tcMar>
            <w:vAlign w:val="center"/>
          </w:tcPr>
          <w:p w14:paraId="1F0E094A">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00AAD8BF">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8DBC06B">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12F63D5">
            <w:pPr>
              <w:widowControl/>
              <w:jc w:val="left"/>
              <w:textAlignment w:val="center"/>
              <w:rPr>
                <w:b/>
                <w:bCs/>
                <w:color w:val="000000"/>
                <w:kern w:val="0"/>
                <w:szCs w:val="21"/>
              </w:rPr>
            </w:pPr>
            <w:r>
              <w:rPr>
                <w:rFonts w:hAnsi="宋体"/>
                <w:b/>
                <w:bCs/>
                <w:color w:val="000000"/>
                <w:kern w:val="0"/>
                <w:szCs w:val="21"/>
                <w:lang w:bidi="ar"/>
              </w:rPr>
              <w:t>《建设工程质量管理条例》第六十一条</w:t>
            </w:r>
            <w:r>
              <w:rPr>
                <w:color w:val="000000"/>
                <w:kern w:val="0"/>
                <w:szCs w:val="21"/>
                <w:lang w:bidi="ar"/>
              </w:rPr>
              <w:t xml:space="preserve"> </w:t>
            </w:r>
            <w:r>
              <w:rPr>
                <w:rFonts w:hAnsi="宋体"/>
                <w:color w:val="000000"/>
                <w:kern w:val="0"/>
                <w:szCs w:val="21"/>
                <w:lang w:bidi="ar"/>
              </w:rPr>
              <w:t>违反本条例规定，勘察、设计、施工、工程监理单位允许其他单位或者个人以本单位名义承揽工程的，责令改正，没收违法所得，对勘察、设计单位和工程监理单位处合同约定的勘察费、设计费和监理酬金</w:t>
            </w:r>
            <w:r>
              <w:rPr>
                <w:color w:val="000000"/>
                <w:kern w:val="0"/>
                <w:szCs w:val="21"/>
                <w:lang w:bidi="ar"/>
              </w:rPr>
              <w:t>1</w:t>
            </w:r>
            <w:r>
              <w:rPr>
                <w:rFonts w:hAnsi="宋体"/>
                <w:color w:val="000000"/>
                <w:kern w:val="0"/>
                <w:szCs w:val="21"/>
                <w:lang w:bidi="ar"/>
              </w:rPr>
              <w:t>倍以上</w:t>
            </w:r>
            <w:r>
              <w:rPr>
                <w:color w:val="000000"/>
                <w:kern w:val="0"/>
                <w:szCs w:val="21"/>
                <w:lang w:bidi="ar"/>
              </w:rPr>
              <w:t>2</w:t>
            </w:r>
            <w:r>
              <w:rPr>
                <w:rFonts w:hAnsi="宋体"/>
                <w:color w:val="000000"/>
                <w:kern w:val="0"/>
                <w:szCs w:val="21"/>
                <w:lang w:bidi="ar"/>
              </w:rPr>
              <w:t>倍以下的罚款；对施工单位处工程合同价款百分之二以上百分之四以下的罚款；可以责令停业整顿，降低资质等级；情节严重的，吊销资质证书。第七十三条：依照本条例规定，给予单位罚款处罚的，对单位直接负责的主管人员和其他直接责任人员处单位罚款数额百分之五以上百分之十以下的罚款。</w:t>
            </w:r>
          </w:p>
        </w:tc>
        <w:tc>
          <w:tcPr>
            <w:tcW w:w="411" w:type="dxa"/>
            <w:noWrap/>
            <w:tcMar>
              <w:left w:w="51" w:type="dxa"/>
              <w:right w:w="51" w:type="dxa"/>
            </w:tcMar>
            <w:vAlign w:val="center"/>
          </w:tcPr>
          <w:p w14:paraId="6BA2E101">
            <w:pPr>
              <w:widowControl/>
              <w:jc w:val="left"/>
              <w:rPr>
                <w:color w:val="000000"/>
                <w:kern w:val="0"/>
                <w:szCs w:val="21"/>
              </w:rPr>
            </w:pPr>
          </w:p>
        </w:tc>
      </w:tr>
      <w:tr w14:paraId="7DA2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417" w:type="dxa"/>
            <w:noWrap w:val="0"/>
            <w:tcMar>
              <w:left w:w="51" w:type="dxa"/>
              <w:right w:w="51" w:type="dxa"/>
            </w:tcMar>
            <w:vAlign w:val="center"/>
          </w:tcPr>
          <w:p w14:paraId="4388EA6B">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0</w:t>
            </w:r>
          </w:p>
        </w:tc>
        <w:tc>
          <w:tcPr>
            <w:tcW w:w="1834" w:type="dxa"/>
            <w:noWrap w:val="0"/>
            <w:tcMar>
              <w:left w:w="51" w:type="dxa"/>
              <w:right w:w="51" w:type="dxa"/>
            </w:tcMar>
            <w:vAlign w:val="center"/>
          </w:tcPr>
          <w:p w14:paraId="506CD504">
            <w:pPr>
              <w:widowControl/>
              <w:jc w:val="left"/>
              <w:textAlignment w:val="center"/>
              <w:rPr>
                <w:color w:val="000000"/>
                <w:kern w:val="0"/>
                <w:szCs w:val="21"/>
              </w:rPr>
            </w:pPr>
            <w:r>
              <w:rPr>
                <w:rFonts w:hAnsi="宋体"/>
                <w:color w:val="000000"/>
                <w:kern w:val="0"/>
                <w:szCs w:val="21"/>
                <w:lang w:bidi="ar"/>
              </w:rPr>
              <w:t>侵占人民防空工程的处罚</w:t>
            </w:r>
          </w:p>
        </w:tc>
        <w:tc>
          <w:tcPr>
            <w:tcW w:w="706" w:type="dxa"/>
            <w:noWrap w:val="0"/>
            <w:tcMar>
              <w:left w:w="51" w:type="dxa"/>
              <w:right w:w="51" w:type="dxa"/>
            </w:tcMar>
            <w:vAlign w:val="center"/>
          </w:tcPr>
          <w:p w14:paraId="6B347337">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6AEB18DE">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DA48605">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0892810F">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xml:space="preserve"> (</w:t>
            </w:r>
            <w:r>
              <w:rPr>
                <w:rFonts w:hAnsi="宋体"/>
                <w:color w:val="000000"/>
                <w:kern w:val="0"/>
                <w:szCs w:val="21"/>
                <w:lang w:bidi="ar"/>
              </w:rPr>
              <w:t>一</w:t>
            </w:r>
            <w:r>
              <w:rPr>
                <w:color w:val="000000"/>
                <w:kern w:val="0"/>
                <w:szCs w:val="21"/>
                <w:lang w:bidi="ar"/>
              </w:rPr>
              <w:t>)</w:t>
            </w:r>
            <w:r>
              <w:rPr>
                <w:rFonts w:hAnsi="宋体"/>
                <w:color w:val="000000"/>
                <w:kern w:val="0"/>
                <w:szCs w:val="21"/>
                <w:lang w:bidi="ar"/>
              </w:rPr>
              <w:t>侵占人民防空工程的；</w:t>
            </w:r>
            <w:r>
              <w:rPr>
                <w:color w:val="000000"/>
                <w:kern w:val="0"/>
                <w:szCs w:val="21"/>
                <w:lang w:bidi="ar"/>
              </w:rPr>
              <w:t> </w:t>
            </w:r>
          </w:p>
        </w:tc>
        <w:tc>
          <w:tcPr>
            <w:tcW w:w="411" w:type="dxa"/>
            <w:noWrap/>
            <w:tcMar>
              <w:left w:w="51" w:type="dxa"/>
              <w:right w:w="51" w:type="dxa"/>
            </w:tcMar>
            <w:vAlign w:val="center"/>
          </w:tcPr>
          <w:p w14:paraId="0FC09971">
            <w:pPr>
              <w:widowControl/>
              <w:jc w:val="left"/>
              <w:rPr>
                <w:color w:val="000000"/>
                <w:kern w:val="0"/>
                <w:szCs w:val="21"/>
              </w:rPr>
            </w:pPr>
          </w:p>
        </w:tc>
      </w:tr>
      <w:tr w14:paraId="3393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17" w:type="dxa"/>
            <w:noWrap w:val="0"/>
            <w:tcMar>
              <w:left w:w="51" w:type="dxa"/>
              <w:right w:w="51" w:type="dxa"/>
            </w:tcMar>
            <w:vAlign w:val="center"/>
          </w:tcPr>
          <w:p w14:paraId="2BF92B8D">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1</w:t>
            </w:r>
          </w:p>
        </w:tc>
        <w:tc>
          <w:tcPr>
            <w:tcW w:w="1834" w:type="dxa"/>
            <w:noWrap w:val="0"/>
            <w:tcMar>
              <w:left w:w="51" w:type="dxa"/>
              <w:right w:w="51" w:type="dxa"/>
            </w:tcMar>
            <w:vAlign w:val="center"/>
          </w:tcPr>
          <w:p w14:paraId="5910DEDE">
            <w:pPr>
              <w:widowControl/>
              <w:jc w:val="left"/>
              <w:textAlignment w:val="center"/>
              <w:rPr>
                <w:color w:val="000000"/>
                <w:kern w:val="0"/>
                <w:szCs w:val="21"/>
              </w:rPr>
            </w:pPr>
            <w:r>
              <w:rPr>
                <w:rFonts w:hAnsi="宋体"/>
                <w:color w:val="000000"/>
                <w:kern w:val="0"/>
                <w:szCs w:val="21"/>
                <w:lang w:bidi="ar"/>
              </w:rPr>
              <w:t>不按照国家规定的防护标准和质量标准修建人民防空工程的处罚</w:t>
            </w:r>
          </w:p>
        </w:tc>
        <w:tc>
          <w:tcPr>
            <w:tcW w:w="706" w:type="dxa"/>
            <w:noWrap w:val="0"/>
            <w:tcMar>
              <w:left w:w="51" w:type="dxa"/>
              <w:right w:w="51" w:type="dxa"/>
            </w:tcMar>
            <w:vAlign w:val="center"/>
          </w:tcPr>
          <w:p w14:paraId="0A5DFC05">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77C11C77">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7907A16C">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55F625C">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w:t>
            </w:r>
            <w:r>
              <w:rPr>
                <w:rFonts w:hAnsi="宋体"/>
                <w:color w:val="000000"/>
                <w:kern w:val="0"/>
                <w:szCs w:val="21"/>
                <w:lang w:bidi="ar"/>
              </w:rPr>
              <w:t>二</w:t>
            </w:r>
            <w:r>
              <w:rPr>
                <w:color w:val="000000"/>
                <w:kern w:val="0"/>
                <w:szCs w:val="21"/>
                <w:lang w:bidi="ar"/>
              </w:rPr>
              <w:t>)</w:t>
            </w:r>
            <w:r>
              <w:rPr>
                <w:rFonts w:hAnsi="宋体"/>
                <w:color w:val="000000"/>
                <w:kern w:val="0"/>
                <w:szCs w:val="21"/>
                <w:lang w:bidi="ar"/>
              </w:rPr>
              <w:t>不按照国家规定的防护标准和质量标准修建人民防空工程的；</w:t>
            </w:r>
          </w:p>
        </w:tc>
        <w:tc>
          <w:tcPr>
            <w:tcW w:w="411" w:type="dxa"/>
            <w:noWrap/>
            <w:tcMar>
              <w:left w:w="51" w:type="dxa"/>
              <w:right w:w="51" w:type="dxa"/>
            </w:tcMar>
            <w:vAlign w:val="center"/>
          </w:tcPr>
          <w:p w14:paraId="687BEB0B">
            <w:pPr>
              <w:widowControl/>
              <w:jc w:val="left"/>
              <w:rPr>
                <w:color w:val="000000"/>
                <w:kern w:val="0"/>
                <w:szCs w:val="21"/>
              </w:rPr>
            </w:pPr>
          </w:p>
        </w:tc>
      </w:tr>
      <w:tr w14:paraId="42B3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17" w:type="dxa"/>
            <w:noWrap w:val="0"/>
            <w:tcMar>
              <w:left w:w="51" w:type="dxa"/>
              <w:right w:w="51" w:type="dxa"/>
            </w:tcMar>
            <w:vAlign w:val="center"/>
          </w:tcPr>
          <w:p w14:paraId="78D5C455">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2</w:t>
            </w:r>
          </w:p>
        </w:tc>
        <w:tc>
          <w:tcPr>
            <w:tcW w:w="1834" w:type="dxa"/>
            <w:noWrap w:val="0"/>
            <w:tcMar>
              <w:left w:w="51" w:type="dxa"/>
              <w:right w:w="51" w:type="dxa"/>
            </w:tcMar>
            <w:vAlign w:val="center"/>
          </w:tcPr>
          <w:p w14:paraId="7629E52F">
            <w:pPr>
              <w:widowControl/>
              <w:jc w:val="left"/>
              <w:textAlignment w:val="center"/>
              <w:rPr>
                <w:color w:val="000000"/>
                <w:kern w:val="0"/>
                <w:szCs w:val="21"/>
              </w:rPr>
            </w:pPr>
            <w:r>
              <w:rPr>
                <w:rFonts w:hAnsi="宋体"/>
                <w:color w:val="000000"/>
                <w:kern w:val="0"/>
                <w:szCs w:val="21"/>
                <w:lang w:bidi="ar"/>
              </w:rPr>
              <w:t>违反国家有关规定，改变人民防空工程主体结构的处罚</w:t>
            </w:r>
          </w:p>
        </w:tc>
        <w:tc>
          <w:tcPr>
            <w:tcW w:w="706" w:type="dxa"/>
            <w:noWrap w:val="0"/>
            <w:tcMar>
              <w:left w:w="51" w:type="dxa"/>
              <w:right w:w="51" w:type="dxa"/>
            </w:tcMar>
            <w:vAlign w:val="center"/>
          </w:tcPr>
          <w:p w14:paraId="06037289">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2272BAA3">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DDA78C3">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793F0B6">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w:t>
            </w:r>
            <w:r>
              <w:rPr>
                <w:rFonts w:hAnsi="宋体"/>
                <w:color w:val="000000"/>
                <w:kern w:val="0"/>
                <w:szCs w:val="21"/>
                <w:lang w:bidi="ar"/>
              </w:rPr>
              <w:t>三</w:t>
            </w:r>
            <w:r>
              <w:rPr>
                <w:color w:val="000000"/>
                <w:kern w:val="0"/>
                <w:szCs w:val="21"/>
                <w:lang w:bidi="ar"/>
              </w:rPr>
              <w:t>)</w:t>
            </w:r>
            <w:r>
              <w:rPr>
                <w:rFonts w:hAnsi="宋体"/>
                <w:color w:val="000000"/>
                <w:kern w:val="0"/>
                <w:szCs w:val="21"/>
                <w:lang w:bidi="ar"/>
              </w:rPr>
              <w:t>违反国家有关规定，改变人民防空工程主体结构、拆除人民防空工程设备设施或者采用其他方法危害人民防空工程的安全和使用效能的：</w:t>
            </w:r>
          </w:p>
        </w:tc>
        <w:tc>
          <w:tcPr>
            <w:tcW w:w="411" w:type="dxa"/>
            <w:noWrap/>
            <w:tcMar>
              <w:left w:w="51" w:type="dxa"/>
              <w:right w:w="51" w:type="dxa"/>
            </w:tcMar>
            <w:vAlign w:val="center"/>
          </w:tcPr>
          <w:p w14:paraId="657242B0">
            <w:pPr>
              <w:widowControl/>
              <w:jc w:val="left"/>
              <w:rPr>
                <w:color w:val="000000"/>
                <w:kern w:val="0"/>
                <w:szCs w:val="21"/>
              </w:rPr>
            </w:pPr>
          </w:p>
        </w:tc>
      </w:tr>
      <w:tr w14:paraId="7E31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17" w:type="dxa"/>
            <w:noWrap w:val="0"/>
            <w:tcMar>
              <w:left w:w="51" w:type="dxa"/>
              <w:right w:w="51" w:type="dxa"/>
            </w:tcMar>
            <w:vAlign w:val="center"/>
          </w:tcPr>
          <w:p w14:paraId="06833245">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3</w:t>
            </w:r>
          </w:p>
        </w:tc>
        <w:tc>
          <w:tcPr>
            <w:tcW w:w="1834" w:type="dxa"/>
            <w:noWrap w:val="0"/>
            <w:tcMar>
              <w:left w:w="51" w:type="dxa"/>
              <w:right w:w="51" w:type="dxa"/>
            </w:tcMar>
            <w:vAlign w:val="center"/>
          </w:tcPr>
          <w:p w14:paraId="1249B8DF">
            <w:pPr>
              <w:widowControl/>
              <w:jc w:val="left"/>
              <w:textAlignment w:val="center"/>
              <w:rPr>
                <w:color w:val="000000"/>
                <w:kern w:val="0"/>
                <w:szCs w:val="21"/>
              </w:rPr>
            </w:pPr>
            <w:r>
              <w:rPr>
                <w:rFonts w:hAnsi="宋体"/>
                <w:color w:val="000000"/>
                <w:kern w:val="0"/>
                <w:szCs w:val="21"/>
                <w:lang w:bidi="ar"/>
              </w:rPr>
              <w:t>违反国家有关规定，拆除人民防空工程设备设施的处罚</w:t>
            </w:r>
          </w:p>
        </w:tc>
        <w:tc>
          <w:tcPr>
            <w:tcW w:w="706" w:type="dxa"/>
            <w:noWrap w:val="0"/>
            <w:tcMar>
              <w:left w:w="51" w:type="dxa"/>
              <w:right w:w="51" w:type="dxa"/>
            </w:tcMar>
            <w:vAlign w:val="center"/>
          </w:tcPr>
          <w:p w14:paraId="1828B2E4">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0D033E4F">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6C7B66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E258DA7">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w:t>
            </w:r>
            <w:r>
              <w:rPr>
                <w:rFonts w:hAnsi="宋体"/>
                <w:color w:val="000000"/>
                <w:kern w:val="0"/>
                <w:szCs w:val="21"/>
                <w:lang w:bidi="ar"/>
              </w:rPr>
              <w:t>三</w:t>
            </w:r>
            <w:r>
              <w:rPr>
                <w:color w:val="000000"/>
                <w:kern w:val="0"/>
                <w:szCs w:val="21"/>
                <w:lang w:bidi="ar"/>
              </w:rPr>
              <w:t>)</w:t>
            </w:r>
            <w:r>
              <w:rPr>
                <w:rFonts w:hAnsi="宋体"/>
                <w:color w:val="000000"/>
                <w:kern w:val="0"/>
                <w:szCs w:val="21"/>
                <w:lang w:bidi="ar"/>
              </w:rPr>
              <w:t>违反国家有关规定，改变人民防空工程主体结构、拆除人民防空工程设备设施或者采用其他方法危害人民防空工程的安全和使用效能的：</w:t>
            </w:r>
          </w:p>
        </w:tc>
        <w:tc>
          <w:tcPr>
            <w:tcW w:w="411" w:type="dxa"/>
            <w:noWrap/>
            <w:tcMar>
              <w:left w:w="51" w:type="dxa"/>
              <w:right w:w="51" w:type="dxa"/>
            </w:tcMar>
            <w:vAlign w:val="center"/>
          </w:tcPr>
          <w:p w14:paraId="1A4C1F48">
            <w:pPr>
              <w:widowControl/>
              <w:jc w:val="left"/>
              <w:rPr>
                <w:color w:val="000000"/>
                <w:kern w:val="0"/>
                <w:szCs w:val="21"/>
              </w:rPr>
            </w:pPr>
          </w:p>
        </w:tc>
      </w:tr>
      <w:tr w14:paraId="0492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17" w:type="dxa"/>
            <w:noWrap w:val="0"/>
            <w:tcMar>
              <w:left w:w="51" w:type="dxa"/>
              <w:right w:w="51" w:type="dxa"/>
            </w:tcMar>
            <w:vAlign w:val="center"/>
          </w:tcPr>
          <w:p w14:paraId="772F25BE">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4</w:t>
            </w:r>
          </w:p>
        </w:tc>
        <w:tc>
          <w:tcPr>
            <w:tcW w:w="1834" w:type="dxa"/>
            <w:noWrap w:val="0"/>
            <w:tcMar>
              <w:left w:w="51" w:type="dxa"/>
              <w:right w:w="51" w:type="dxa"/>
            </w:tcMar>
            <w:vAlign w:val="center"/>
          </w:tcPr>
          <w:p w14:paraId="77F8C1FF">
            <w:pPr>
              <w:widowControl/>
              <w:jc w:val="left"/>
              <w:textAlignment w:val="center"/>
              <w:rPr>
                <w:color w:val="000000"/>
                <w:kern w:val="0"/>
                <w:szCs w:val="21"/>
              </w:rPr>
            </w:pPr>
            <w:r>
              <w:rPr>
                <w:rFonts w:hAnsi="宋体"/>
                <w:color w:val="000000"/>
                <w:kern w:val="0"/>
                <w:szCs w:val="21"/>
                <w:lang w:bidi="ar"/>
              </w:rPr>
              <w:t>违反国家有关规定，采用其他方法危害人民防空工程的安全使用和效能的处罚</w:t>
            </w:r>
          </w:p>
        </w:tc>
        <w:tc>
          <w:tcPr>
            <w:tcW w:w="706" w:type="dxa"/>
            <w:noWrap w:val="0"/>
            <w:tcMar>
              <w:left w:w="51" w:type="dxa"/>
              <w:right w:w="51" w:type="dxa"/>
            </w:tcMar>
            <w:vAlign w:val="center"/>
          </w:tcPr>
          <w:p w14:paraId="70B078E5">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67454921">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FC6ECA8">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FD03B3F">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w:t>
            </w:r>
            <w:r>
              <w:rPr>
                <w:rFonts w:hAnsi="宋体"/>
                <w:color w:val="000000"/>
                <w:kern w:val="0"/>
                <w:szCs w:val="21"/>
                <w:lang w:bidi="ar"/>
              </w:rPr>
              <w:t>三</w:t>
            </w:r>
            <w:r>
              <w:rPr>
                <w:color w:val="000000"/>
                <w:kern w:val="0"/>
                <w:szCs w:val="21"/>
                <w:lang w:bidi="ar"/>
              </w:rPr>
              <w:t>)</w:t>
            </w:r>
            <w:r>
              <w:rPr>
                <w:rFonts w:hAnsi="宋体"/>
                <w:color w:val="000000"/>
                <w:kern w:val="0"/>
                <w:szCs w:val="21"/>
                <w:lang w:bidi="ar"/>
              </w:rPr>
              <w:t>违反国家有关规定，改变人民防空工程主体结构、拆除人民防空工程设备设施或者采用其他方法危害人民防空工程的安全和使用效能的：</w:t>
            </w:r>
          </w:p>
        </w:tc>
        <w:tc>
          <w:tcPr>
            <w:tcW w:w="411" w:type="dxa"/>
            <w:noWrap/>
            <w:tcMar>
              <w:left w:w="51" w:type="dxa"/>
              <w:right w:w="51" w:type="dxa"/>
            </w:tcMar>
            <w:vAlign w:val="center"/>
          </w:tcPr>
          <w:p w14:paraId="32A4793B">
            <w:pPr>
              <w:widowControl/>
              <w:jc w:val="left"/>
              <w:rPr>
                <w:color w:val="000000"/>
                <w:kern w:val="0"/>
                <w:szCs w:val="21"/>
              </w:rPr>
            </w:pPr>
          </w:p>
        </w:tc>
      </w:tr>
      <w:tr w14:paraId="52C7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417" w:type="dxa"/>
            <w:noWrap w:val="0"/>
            <w:tcMar>
              <w:left w:w="51" w:type="dxa"/>
              <w:right w:w="51" w:type="dxa"/>
            </w:tcMar>
            <w:vAlign w:val="center"/>
          </w:tcPr>
          <w:p w14:paraId="6037B926">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5</w:t>
            </w:r>
          </w:p>
        </w:tc>
        <w:tc>
          <w:tcPr>
            <w:tcW w:w="1834" w:type="dxa"/>
            <w:noWrap w:val="0"/>
            <w:tcMar>
              <w:left w:w="51" w:type="dxa"/>
              <w:right w:w="51" w:type="dxa"/>
            </w:tcMar>
            <w:vAlign w:val="center"/>
          </w:tcPr>
          <w:p w14:paraId="1B3F01C1">
            <w:pPr>
              <w:widowControl/>
              <w:jc w:val="left"/>
              <w:textAlignment w:val="center"/>
              <w:rPr>
                <w:color w:val="000000"/>
                <w:kern w:val="0"/>
                <w:szCs w:val="21"/>
              </w:rPr>
            </w:pPr>
            <w:r>
              <w:rPr>
                <w:rFonts w:hAnsi="宋体"/>
                <w:color w:val="000000"/>
                <w:kern w:val="0"/>
                <w:szCs w:val="21"/>
                <w:lang w:bidi="ar"/>
              </w:rPr>
              <w:t>拆除人民防空工程后，拒不补建的处罚</w:t>
            </w:r>
          </w:p>
        </w:tc>
        <w:tc>
          <w:tcPr>
            <w:tcW w:w="706" w:type="dxa"/>
            <w:noWrap w:val="0"/>
            <w:tcMar>
              <w:left w:w="51" w:type="dxa"/>
              <w:right w:w="51" w:type="dxa"/>
            </w:tcMar>
            <w:vAlign w:val="center"/>
          </w:tcPr>
          <w:p w14:paraId="0FA7BDCE">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13D190C1">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D080B7A">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6D18541A">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w:t>
            </w:r>
            <w:r>
              <w:rPr>
                <w:rFonts w:hAnsi="宋体"/>
                <w:color w:val="000000"/>
                <w:kern w:val="0"/>
                <w:szCs w:val="21"/>
                <w:lang w:bidi="ar"/>
              </w:rPr>
              <w:t>四</w:t>
            </w:r>
            <w:r>
              <w:rPr>
                <w:color w:val="000000"/>
                <w:kern w:val="0"/>
                <w:szCs w:val="21"/>
                <w:lang w:bidi="ar"/>
              </w:rPr>
              <w:t>)</w:t>
            </w:r>
            <w:r>
              <w:rPr>
                <w:rFonts w:hAnsi="宋体"/>
                <w:color w:val="000000"/>
                <w:kern w:val="0"/>
                <w:szCs w:val="21"/>
                <w:lang w:bidi="ar"/>
              </w:rPr>
              <w:t>拆除人民防空工程后拒不补建的：</w:t>
            </w:r>
          </w:p>
        </w:tc>
        <w:tc>
          <w:tcPr>
            <w:tcW w:w="411" w:type="dxa"/>
            <w:noWrap/>
            <w:tcMar>
              <w:left w:w="51" w:type="dxa"/>
              <w:right w:w="51" w:type="dxa"/>
            </w:tcMar>
            <w:vAlign w:val="center"/>
          </w:tcPr>
          <w:p w14:paraId="75372FB9">
            <w:pPr>
              <w:widowControl/>
              <w:jc w:val="left"/>
              <w:rPr>
                <w:color w:val="000000"/>
                <w:kern w:val="0"/>
                <w:szCs w:val="21"/>
              </w:rPr>
            </w:pPr>
          </w:p>
        </w:tc>
      </w:tr>
      <w:tr w14:paraId="499C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17" w:type="dxa"/>
            <w:noWrap w:val="0"/>
            <w:tcMar>
              <w:left w:w="51" w:type="dxa"/>
              <w:right w:w="51" w:type="dxa"/>
            </w:tcMar>
            <w:vAlign w:val="center"/>
          </w:tcPr>
          <w:p w14:paraId="67D932B4">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6</w:t>
            </w:r>
          </w:p>
        </w:tc>
        <w:tc>
          <w:tcPr>
            <w:tcW w:w="1834" w:type="dxa"/>
            <w:noWrap w:val="0"/>
            <w:tcMar>
              <w:left w:w="51" w:type="dxa"/>
              <w:right w:w="51" w:type="dxa"/>
            </w:tcMar>
            <w:vAlign w:val="center"/>
          </w:tcPr>
          <w:p w14:paraId="219B670C">
            <w:pPr>
              <w:widowControl/>
              <w:jc w:val="left"/>
              <w:textAlignment w:val="center"/>
              <w:rPr>
                <w:color w:val="000000"/>
                <w:kern w:val="0"/>
                <w:szCs w:val="21"/>
              </w:rPr>
            </w:pPr>
            <w:r>
              <w:rPr>
                <w:rFonts w:hAnsi="宋体"/>
                <w:color w:val="000000"/>
                <w:kern w:val="0"/>
                <w:szCs w:val="21"/>
                <w:lang w:bidi="ar"/>
              </w:rPr>
              <w:t>占用人民防空通信专用频率、使用与防空警报相同的音响信号的处罚</w:t>
            </w:r>
          </w:p>
        </w:tc>
        <w:tc>
          <w:tcPr>
            <w:tcW w:w="706" w:type="dxa"/>
            <w:noWrap w:val="0"/>
            <w:tcMar>
              <w:left w:w="51" w:type="dxa"/>
              <w:right w:w="51" w:type="dxa"/>
            </w:tcMar>
            <w:vAlign w:val="center"/>
          </w:tcPr>
          <w:p w14:paraId="30687C3E">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2B1CE2CB">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16FAFE29">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26791404">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b/>
                <w:bCs/>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w:t>
            </w:r>
            <w:r>
              <w:rPr>
                <w:rFonts w:hAnsi="宋体"/>
                <w:color w:val="000000"/>
                <w:kern w:val="0"/>
                <w:szCs w:val="21"/>
                <w:lang w:bidi="ar"/>
              </w:rPr>
              <w:t>五</w:t>
            </w:r>
            <w:r>
              <w:rPr>
                <w:color w:val="000000"/>
                <w:kern w:val="0"/>
                <w:szCs w:val="21"/>
                <w:lang w:bidi="ar"/>
              </w:rPr>
              <w:t>)</w:t>
            </w:r>
            <w:r>
              <w:rPr>
                <w:rFonts w:hAnsi="宋体"/>
                <w:color w:val="000000"/>
                <w:kern w:val="0"/>
                <w:szCs w:val="21"/>
                <w:lang w:bidi="ar"/>
              </w:rPr>
              <w:t>占用人民防空通信专用频率、使用与防空警报相同的音响信号或者擅自拆除人民防空通信、警报设备设施的；</w:t>
            </w:r>
          </w:p>
        </w:tc>
        <w:tc>
          <w:tcPr>
            <w:tcW w:w="411" w:type="dxa"/>
            <w:noWrap/>
            <w:tcMar>
              <w:left w:w="51" w:type="dxa"/>
              <w:right w:w="51" w:type="dxa"/>
            </w:tcMar>
            <w:vAlign w:val="center"/>
          </w:tcPr>
          <w:p w14:paraId="11134132">
            <w:pPr>
              <w:widowControl/>
              <w:jc w:val="left"/>
              <w:rPr>
                <w:color w:val="000000"/>
                <w:kern w:val="0"/>
                <w:szCs w:val="21"/>
              </w:rPr>
            </w:pPr>
          </w:p>
        </w:tc>
      </w:tr>
      <w:tr w14:paraId="69A8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417" w:type="dxa"/>
            <w:noWrap w:val="0"/>
            <w:tcMar>
              <w:left w:w="51" w:type="dxa"/>
              <w:right w:w="51" w:type="dxa"/>
            </w:tcMar>
            <w:vAlign w:val="center"/>
          </w:tcPr>
          <w:p w14:paraId="0C5A0E2C">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7</w:t>
            </w:r>
          </w:p>
        </w:tc>
        <w:tc>
          <w:tcPr>
            <w:tcW w:w="1834" w:type="dxa"/>
            <w:noWrap w:val="0"/>
            <w:tcMar>
              <w:left w:w="51" w:type="dxa"/>
              <w:right w:w="51" w:type="dxa"/>
            </w:tcMar>
            <w:vAlign w:val="center"/>
          </w:tcPr>
          <w:p w14:paraId="0D432A21">
            <w:pPr>
              <w:widowControl/>
              <w:jc w:val="left"/>
              <w:textAlignment w:val="center"/>
              <w:rPr>
                <w:color w:val="000000"/>
                <w:kern w:val="0"/>
                <w:szCs w:val="21"/>
              </w:rPr>
            </w:pPr>
            <w:r>
              <w:rPr>
                <w:rFonts w:hAnsi="宋体"/>
                <w:color w:val="000000"/>
                <w:kern w:val="0"/>
                <w:szCs w:val="21"/>
                <w:lang w:bidi="ar"/>
              </w:rPr>
              <w:t>擅自拆除人民防空通信、警报设备设施的处罚</w:t>
            </w:r>
          </w:p>
        </w:tc>
        <w:tc>
          <w:tcPr>
            <w:tcW w:w="706" w:type="dxa"/>
            <w:noWrap w:val="0"/>
            <w:tcMar>
              <w:left w:w="51" w:type="dxa"/>
              <w:right w:w="51" w:type="dxa"/>
            </w:tcMar>
            <w:vAlign w:val="center"/>
          </w:tcPr>
          <w:p w14:paraId="66F0019B">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7A04578C">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0F26195E">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0F357353">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b/>
                <w:bCs/>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w:t>
            </w:r>
            <w:r>
              <w:rPr>
                <w:rFonts w:hAnsi="宋体"/>
                <w:color w:val="000000"/>
                <w:kern w:val="0"/>
                <w:szCs w:val="21"/>
                <w:lang w:bidi="ar"/>
              </w:rPr>
              <w:t>五</w:t>
            </w:r>
            <w:r>
              <w:rPr>
                <w:color w:val="000000"/>
                <w:kern w:val="0"/>
                <w:szCs w:val="21"/>
                <w:lang w:bidi="ar"/>
              </w:rPr>
              <w:t>)</w:t>
            </w:r>
            <w:r>
              <w:rPr>
                <w:rFonts w:hAnsi="宋体"/>
                <w:color w:val="000000"/>
                <w:kern w:val="0"/>
                <w:szCs w:val="21"/>
                <w:lang w:bidi="ar"/>
              </w:rPr>
              <w:t>占用人民防空通信专用频率、使用与防空警报相同的音响信号或者擅自拆除人民防空通信、警报设备设施的；</w:t>
            </w:r>
          </w:p>
        </w:tc>
        <w:tc>
          <w:tcPr>
            <w:tcW w:w="411" w:type="dxa"/>
            <w:noWrap/>
            <w:tcMar>
              <w:left w:w="51" w:type="dxa"/>
              <w:right w:w="51" w:type="dxa"/>
            </w:tcMar>
            <w:vAlign w:val="center"/>
          </w:tcPr>
          <w:p w14:paraId="2727E391">
            <w:pPr>
              <w:widowControl/>
              <w:jc w:val="left"/>
              <w:rPr>
                <w:color w:val="000000"/>
                <w:kern w:val="0"/>
                <w:szCs w:val="21"/>
              </w:rPr>
            </w:pPr>
          </w:p>
        </w:tc>
      </w:tr>
      <w:tr w14:paraId="519A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17" w:type="dxa"/>
            <w:noWrap w:val="0"/>
            <w:tcMar>
              <w:left w:w="51" w:type="dxa"/>
              <w:right w:w="51" w:type="dxa"/>
            </w:tcMar>
            <w:vAlign w:val="center"/>
          </w:tcPr>
          <w:p w14:paraId="781FB68A">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8</w:t>
            </w:r>
          </w:p>
        </w:tc>
        <w:tc>
          <w:tcPr>
            <w:tcW w:w="1834" w:type="dxa"/>
            <w:noWrap w:val="0"/>
            <w:tcMar>
              <w:left w:w="51" w:type="dxa"/>
              <w:right w:w="51" w:type="dxa"/>
            </w:tcMar>
            <w:vAlign w:val="center"/>
          </w:tcPr>
          <w:p w14:paraId="0BC951B7">
            <w:pPr>
              <w:widowControl/>
              <w:jc w:val="left"/>
              <w:textAlignment w:val="center"/>
              <w:rPr>
                <w:color w:val="000000"/>
                <w:kern w:val="0"/>
                <w:szCs w:val="21"/>
              </w:rPr>
            </w:pPr>
            <w:r>
              <w:rPr>
                <w:rFonts w:hAnsi="宋体"/>
                <w:color w:val="000000"/>
                <w:kern w:val="0"/>
                <w:szCs w:val="21"/>
                <w:lang w:bidi="ar"/>
              </w:rPr>
              <w:t>阻挠安装人民防空通信、警报设施，拒不改正的处罚</w:t>
            </w:r>
          </w:p>
        </w:tc>
        <w:tc>
          <w:tcPr>
            <w:tcW w:w="706" w:type="dxa"/>
            <w:noWrap w:val="0"/>
            <w:tcMar>
              <w:left w:w="51" w:type="dxa"/>
              <w:right w:w="51" w:type="dxa"/>
            </w:tcMar>
            <w:vAlign w:val="center"/>
          </w:tcPr>
          <w:p w14:paraId="1ED6BCA9">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5D95872D">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0B8D2D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E625917">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b/>
                <w:bCs/>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w:t>
            </w:r>
            <w:r>
              <w:rPr>
                <w:rFonts w:hAnsi="宋体"/>
                <w:color w:val="000000"/>
                <w:kern w:val="0"/>
                <w:szCs w:val="21"/>
                <w:lang w:bidi="ar"/>
              </w:rPr>
              <w:t>六</w:t>
            </w:r>
            <w:r>
              <w:rPr>
                <w:color w:val="000000"/>
                <w:kern w:val="0"/>
                <w:szCs w:val="21"/>
                <w:lang w:bidi="ar"/>
              </w:rPr>
              <w:t>)</w:t>
            </w:r>
            <w:r>
              <w:rPr>
                <w:rFonts w:hAnsi="宋体"/>
                <w:color w:val="000000"/>
                <w:kern w:val="0"/>
                <w:szCs w:val="21"/>
                <w:lang w:bidi="ar"/>
              </w:rPr>
              <w:t>阻挠安装人民防空通信、警报设施，拒不改正的；</w:t>
            </w:r>
          </w:p>
        </w:tc>
        <w:tc>
          <w:tcPr>
            <w:tcW w:w="411" w:type="dxa"/>
            <w:noWrap/>
            <w:tcMar>
              <w:left w:w="51" w:type="dxa"/>
              <w:right w:w="51" w:type="dxa"/>
            </w:tcMar>
            <w:vAlign w:val="center"/>
          </w:tcPr>
          <w:p w14:paraId="42F69A5B">
            <w:pPr>
              <w:widowControl/>
              <w:jc w:val="left"/>
              <w:rPr>
                <w:color w:val="000000"/>
                <w:kern w:val="0"/>
                <w:szCs w:val="21"/>
              </w:rPr>
            </w:pPr>
          </w:p>
        </w:tc>
      </w:tr>
      <w:tr w14:paraId="00E6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17" w:type="dxa"/>
            <w:noWrap w:val="0"/>
            <w:tcMar>
              <w:left w:w="51" w:type="dxa"/>
              <w:right w:w="51" w:type="dxa"/>
            </w:tcMar>
            <w:vAlign w:val="center"/>
          </w:tcPr>
          <w:p w14:paraId="18BBC87E">
            <w:pPr>
              <w:widowControl/>
              <w:jc w:val="center"/>
              <w:rPr>
                <w:color w:val="000000"/>
                <w:kern w:val="0"/>
                <w:szCs w:val="21"/>
              </w:rPr>
            </w:pPr>
            <w:r>
              <w:rPr>
                <w:color w:val="000000"/>
                <w:kern w:val="0"/>
                <w:szCs w:val="21"/>
              </w:rPr>
              <w:t>1</w:t>
            </w:r>
            <w:r>
              <w:rPr>
                <w:rFonts w:hint="eastAsia"/>
                <w:color w:val="000000"/>
                <w:kern w:val="0"/>
                <w:szCs w:val="21"/>
                <w:lang w:val="en-US" w:eastAsia="zh-CN"/>
              </w:rPr>
              <w:t>2</w:t>
            </w:r>
            <w:r>
              <w:rPr>
                <w:color w:val="000000"/>
                <w:kern w:val="0"/>
                <w:szCs w:val="21"/>
              </w:rPr>
              <w:t>9</w:t>
            </w:r>
          </w:p>
        </w:tc>
        <w:tc>
          <w:tcPr>
            <w:tcW w:w="1834" w:type="dxa"/>
            <w:noWrap w:val="0"/>
            <w:tcMar>
              <w:left w:w="51" w:type="dxa"/>
              <w:right w:w="51" w:type="dxa"/>
            </w:tcMar>
            <w:vAlign w:val="center"/>
          </w:tcPr>
          <w:p w14:paraId="2DA8B157">
            <w:pPr>
              <w:widowControl/>
              <w:jc w:val="left"/>
              <w:textAlignment w:val="center"/>
              <w:rPr>
                <w:color w:val="000000"/>
                <w:kern w:val="0"/>
                <w:szCs w:val="21"/>
              </w:rPr>
            </w:pPr>
            <w:r>
              <w:rPr>
                <w:rFonts w:hAnsi="宋体"/>
                <w:color w:val="000000"/>
                <w:kern w:val="0"/>
                <w:szCs w:val="21"/>
                <w:lang w:bidi="ar"/>
              </w:rPr>
              <w:t>向人民防空工程内排入废水、废气或者倾倒废弃物的处罚</w:t>
            </w:r>
          </w:p>
        </w:tc>
        <w:tc>
          <w:tcPr>
            <w:tcW w:w="706" w:type="dxa"/>
            <w:noWrap w:val="0"/>
            <w:tcMar>
              <w:left w:w="51" w:type="dxa"/>
              <w:right w:w="51" w:type="dxa"/>
            </w:tcMar>
            <w:vAlign w:val="center"/>
          </w:tcPr>
          <w:p w14:paraId="33454E79">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34D3D39A">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13654E0">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2F9CF63">
            <w:pPr>
              <w:widowControl/>
              <w:jc w:val="left"/>
              <w:textAlignment w:val="center"/>
              <w:rPr>
                <w:b/>
                <w:bCs/>
                <w:color w:val="000000"/>
                <w:kern w:val="0"/>
                <w:szCs w:val="21"/>
              </w:rPr>
            </w:pPr>
            <w:r>
              <w:rPr>
                <w:rFonts w:hAnsi="宋体"/>
                <w:b/>
                <w:bCs/>
                <w:color w:val="000000"/>
                <w:kern w:val="0"/>
                <w:szCs w:val="21"/>
                <w:lang w:bidi="ar"/>
              </w:rPr>
              <w:t>《中华人民共和国人民防空法》</w:t>
            </w:r>
            <w:r>
              <w:rPr>
                <w:b/>
                <w:bCs/>
                <w:color w:val="000000"/>
                <w:kern w:val="0"/>
                <w:szCs w:val="21"/>
                <w:lang w:bidi="ar"/>
              </w:rPr>
              <w:t xml:space="preserve"> </w:t>
            </w:r>
            <w:r>
              <w:rPr>
                <w:rFonts w:hAnsi="宋体"/>
                <w:b/>
                <w:bCs/>
                <w:color w:val="000000"/>
                <w:kern w:val="0"/>
                <w:szCs w:val="21"/>
                <w:lang w:bidi="ar"/>
              </w:rPr>
              <w:t>第四十九条</w:t>
            </w:r>
            <w:r>
              <w:rPr>
                <w:color w:val="000000"/>
                <w:kern w:val="0"/>
                <w:szCs w:val="21"/>
                <w:lang w:bidi="ar"/>
              </w:rPr>
              <w:t xml:space="preserve"> </w:t>
            </w:r>
            <w:r>
              <w:rPr>
                <w:rFonts w:hAnsi="宋体"/>
                <w:color w:val="000000"/>
                <w:kern w:val="0"/>
                <w:szCs w:val="21"/>
                <w:lang w:bidi="ar"/>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Pr>
                <w:color w:val="000000"/>
                <w:kern w:val="0"/>
                <w:szCs w:val="21"/>
                <w:lang w:bidi="ar"/>
              </w:rPr>
              <w:t>..  (</w:t>
            </w:r>
            <w:r>
              <w:rPr>
                <w:rFonts w:hAnsi="宋体"/>
                <w:color w:val="000000"/>
                <w:kern w:val="0"/>
                <w:szCs w:val="21"/>
                <w:lang w:bidi="ar"/>
              </w:rPr>
              <w:t>七</w:t>
            </w:r>
            <w:r>
              <w:rPr>
                <w:color w:val="000000"/>
                <w:kern w:val="0"/>
                <w:szCs w:val="21"/>
                <w:lang w:bidi="ar"/>
              </w:rPr>
              <w:t>)</w:t>
            </w:r>
            <w:r>
              <w:rPr>
                <w:rFonts w:hAnsi="宋体"/>
                <w:color w:val="000000"/>
                <w:kern w:val="0"/>
                <w:szCs w:val="21"/>
                <w:lang w:bidi="ar"/>
              </w:rPr>
              <w:t>向人民防空工程内排入废水、废气或者倾倒废弃物的。</w:t>
            </w:r>
          </w:p>
        </w:tc>
        <w:tc>
          <w:tcPr>
            <w:tcW w:w="411" w:type="dxa"/>
            <w:noWrap/>
            <w:tcMar>
              <w:left w:w="51" w:type="dxa"/>
              <w:right w:w="51" w:type="dxa"/>
            </w:tcMar>
            <w:vAlign w:val="center"/>
          </w:tcPr>
          <w:p w14:paraId="2547B67C">
            <w:pPr>
              <w:widowControl/>
              <w:jc w:val="left"/>
              <w:rPr>
                <w:color w:val="000000"/>
                <w:kern w:val="0"/>
                <w:szCs w:val="21"/>
              </w:rPr>
            </w:pPr>
          </w:p>
        </w:tc>
      </w:tr>
      <w:tr w14:paraId="33FB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417" w:type="dxa"/>
            <w:noWrap w:val="0"/>
            <w:tcMar>
              <w:left w:w="51" w:type="dxa"/>
              <w:right w:w="51" w:type="dxa"/>
            </w:tcMar>
            <w:vAlign w:val="center"/>
          </w:tcPr>
          <w:p w14:paraId="53B99014">
            <w:pPr>
              <w:widowControl/>
              <w:jc w:val="center"/>
              <w:rPr>
                <w:color w:val="000000"/>
                <w:kern w:val="0"/>
                <w:szCs w:val="21"/>
              </w:rPr>
            </w:pPr>
            <w:r>
              <w:rPr>
                <w:color w:val="000000"/>
                <w:kern w:val="0"/>
                <w:szCs w:val="21"/>
              </w:rPr>
              <w:t>1</w:t>
            </w:r>
            <w:r>
              <w:rPr>
                <w:rFonts w:hint="eastAsia"/>
                <w:color w:val="000000"/>
                <w:kern w:val="0"/>
                <w:szCs w:val="21"/>
                <w:lang w:val="en-US" w:eastAsia="zh-CN"/>
              </w:rPr>
              <w:t>3</w:t>
            </w:r>
            <w:r>
              <w:rPr>
                <w:color w:val="000000"/>
                <w:kern w:val="0"/>
                <w:szCs w:val="21"/>
              </w:rPr>
              <w:t>0</w:t>
            </w:r>
          </w:p>
        </w:tc>
        <w:tc>
          <w:tcPr>
            <w:tcW w:w="1834" w:type="dxa"/>
            <w:noWrap w:val="0"/>
            <w:tcMar>
              <w:left w:w="51" w:type="dxa"/>
              <w:right w:w="51" w:type="dxa"/>
            </w:tcMar>
            <w:vAlign w:val="center"/>
          </w:tcPr>
          <w:p w14:paraId="156B8623">
            <w:pPr>
              <w:widowControl/>
              <w:jc w:val="left"/>
              <w:textAlignment w:val="center"/>
              <w:rPr>
                <w:color w:val="000000"/>
                <w:kern w:val="0"/>
                <w:szCs w:val="21"/>
              </w:rPr>
            </w:pPr>
            <w:r>
              <w:rPr>
                <w:rFonts w:hAnsi="宋体"/>
                <w:color w:val="000000"/>
                <w:kern w:val="0"/>
                <w:szCs w:val="21"/>
                <w:lang w:bidi="ar"/>
              </w:rPr>
              <w:t>人民防空专用设备生产安装企业未按照人防设备产品国家标准和技术规范进行生产安装的处罚</w:t>
            </w:r>
          </w:p>
        </w:tc>
        <w:tc>
          <w:tcPr>
            <w:tcW w:w="706" w:type="dxa"/>
            <w:noWrap w:val="0"/>
            <w:tcMar>
              <w:left w:w="51" w:type="dxa"/>
              <w:right w:w="51" w:type="dxa"/>
            </w:tcMar>
            <w:vAlign w:val="center"/>
          </w:tcPr>
          <w:p w14:paraId="5C18E759">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45391005">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E017FEE">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1A81F688">
            <w:pPr>
              <w:widowControl/>
              <w:jc w:val="left"/>
              <w:textAlignment w:val="center"/>
              <w:rPr>
                <w:b/>
                <w:bCs/>
                <w:color w:val="000000"/>
                <w:kern w:val="0"/>
                <w:szCs w:val="21"/>
              </w:rPr>
            </w:pPr>
            <w:r>
              <w:rPr>
                <w:rFonts w:hAnsi="宋体"/>
                <w:b/>
                <w:bCs/>
                <w:color w:val="000000"/>
                <w:kern w:val="0"/>
                <w:szCs w:val="21"/>
                <w:lang w:bidi="ar"/>
              </w:rPr>
              <w:t>《湖南省人民防空工程建设与维护管理规定》第二十九条</w:t>
            </w:r>
            <w:r>
              <w:rPr>
                <w:color w:val="000000"/>
                <w:kern w:val="0"/>
                <w:szCs w:val="21"/>
                <w:lang w:bidi="ar"/>
              </w:rPr>
              <w:t xml:space="preserve"> </w:t>
            </w:r>
            <w:r>
              <w:rPr>
                <w:rFonts w:hAnsi="宋体"/>
                <w:color w:val="000000"/>
                <w:kern w:val="0"/>
                <w:szCs w:val="21"/>
                <w:lang w:bidi="ar"/>
              </w:rPr>
              <w:t>违反本规定，有下列情形之一的，由人防主管部门给予警告，责令改正，可以并处一万元以上十万元以下罚款：</w:t>
            </w:r>
            <w:r>
              <w:rPr>
                <w:color w:val="000000"/>
                <w:kern w:val="0"/>
                <w:szCs w:val="21"/>
                <w:lang w:bidi="ar"/>
              </w:rPr>
              <w:t>...</w:t>
            </w:r>
            <w:r>
              <w:rPr>
                <w:rFonts w:hAnsi="宋体"/>
                <w:color w:val="000000"/>
                <w:kern w:val="0"/>
                <w:szCs w:val="21"/>
                <w:lang w:bidi="ar"/>
              </w:rPr>
              <w:t>（六）人民防空专用设备生产安装企业未按照人防设备产品国家标准和技术规范进行生产安装的。</w:t>
            </w:r>
          </w:p>
        </w:tc>
        <w:tc>
          <w:tcPr>
            <w:tcW w:w="411" w:type="dxa"/>
            <w:noWrap/>
            <w:tcMar>
              <w:left w:w="51" w:type="dxa"/>
              <w:right w:w="51" w:type="dxa"/>
            </w:tcMar>
            <w:vAlign w:val="center"/>
          </w:tcPr>
          <w:p w14:paraId="4918D958">
            <w:pPr>
              <w:widowControl/>
              <w:jc w:val="left"/>
              <w:rPr>
                <w:color w:val="000000"/>
                <w:kern w:val="0"/>
                <w:szCs w:val="21"/>
              </w:rPr>
            </w:pPr>
          </w:p>
        </w:tc>
      </w:tr>
      <w:tr w14:paraId="345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17" w:type="dxa"/>
            <w:noWrap w:val="0"/>
            <w:tcMar>
              <w:left w:w="51" w:type="dxa"/>
              <w:right w:w="51" w:type="dxa"/>
            </w:tcMar>
            <w:vAlign w:val="center"/>
          </w:tcPr>
          <w:p w14:paraId="63AF6CF6">
            <w:pPr>
              <w:widowControl/>
              <w:jc w:val="center"/>
              <w:rPr>
                <w:color w:val="000000"/>
                <w:kern w:val="0"/>
                <w:szCs w:val="21"/>
              </w:rPr>
            </w:pPr>
            <w:r>
              <w:rPr>
                <w:color w:val="000000"/>
                <w:kern w:val="0"/>
                <w:szCs w:val="21"/>
              </w:rPr>
              <w:t>1</w:t>
            </w:r>
            <w:r>
              <w:rPr>
                <w:rFonts w:hint="eastAsia"/>
                <w:color w:val="000000"/>
                <w:kern w:val="0"/>
                <w:szCs w:val="21"/>
                <w:lang w:val="en-US" w:eastAsia="zh-CN"/>
              </w:rPr>
              <w:t>3</w:t>
            </w:r>
            <w:r>
              <w:rPr>
                <w:color w:val="000000"/>
                <w:kern w:val="0"/>
                <w:szCs w:val="21"/>
              </w:rPr>
              <w:t>1</w:t>
            </w:r>
          </w:p>
        </w:tc>
        <w:tc>
          <w:tcPr>
            <w:tcW w:w="1834" w:type="dxa"/>
            <w:noWrap w:val="0"/>
            <w:tcMar>
              <w:left w:w="51" w:type="dxa"/>
              <w:right w:w="51" w:type="dxa"/>
            </w:tcMar>
            <w:vAlign w:val="center"/>
          </w:tcPr>
          <w:p w14:paraId="1044B1E0">
            <w:pPr>
              <w:widowControl/>
              <w:jc w:val="left"/>
              <w:textAlignment w:val="center"/>
              <w:rPr>
                <w:color w:val="000000"/>
                <w:kern w:val="0"/>
                <w:szCs w:val="21"/>
              </w:rPr>
            </w:pPr>
            <w:r>
              <w:rPr>
                <w:rFonts w:hAnsi="宋体"/>
                <w:color w:val="000000"/>
                <w:kern w:val="0"/>
                <w:szCs w:val="21"/>
                <w:lang w:bidi="ar"/>
              </w:rPr>
              <w:t>无故中断人民防空通信信号的处罚</w:t>
            </w:r>
          </w:p>
        </w:tc>
        <w:tc>
          <w:tcPr>
            <w:tcW w:w="706" w:type="dxa"/>
            <w:noWrap w:val="0"/>
            <w:tcMar>
              <w:left w:w="51" w:type="dxa"/>
              <w:right w:w="51" w:type="dxa"/>
            </w:tcMar>
            <w:vAlign w:val="center"/>
          </w:tcPr>
          <w:p w14:paraId="160B7BE5">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54509C5C">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25C8EA2">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27360327">
            <w:pPr>
              <w:widowControl/>
              <w:jc w:val="left"/>
              <w:textAlignment w:val="center"/>
              <w:rPr>
                <w:b/>
                <w:bCs/>
                <w:color w:val="000000"/>
                <w:kern w:val="0"/>
                <w:szCs w:val="21"/>
              </w:rPr>
            </w:pPr>
            <w:r>
              <w:rPr>
                <w:rFonts w:hAnsi="宋体"/>
                <w:b/>
                <w:bCs/>
                <w:color w:val="000000"/>
                <w:kern w:val="0"/>
                <w:szCs w:val="21"/>
                <w:lang w:bidi="ar"/>
              </w:rPr>
              <w:t>《湖南省人民防空通信管理办法》第二十七条</w:t>
            </w:r>
            <w:r>
              <w:rPr>
                <w:color w:val="000000"/>
                <w:kern w:val="0"/>
                <w:szCs w:val="21"/>
                <w:lang w:bidi="ar"/>
              </w:rPr>
              <w:t xml:space="preserve"> </w:t>
            </w:r>
            <w:r>
              <w:rPr>
                <w:rFonts w:hAnsi="宋体"/>
                <w:color w:val="000000"/>
                <w:kern w:val="0"/>
                <w:szCs w:val="21"/>
                <w:lang w:bidi="ar"/>
              </w:rPr>
              <w:t>有下列行为之一的，由县级以上人民防空主管部门给予警告、责令限期改正，可以并处</w:t>
            </w:r>
            <w:r>
              <w:rPr>
                <w:color w:val="000000"/>
                <w:kern w:val="0"/>
                <w:szCs w:val="21"/>
                <w:lang w:bidi="ar"/>
              </w:rPr>
              <w:t>1000</w:t>
            </w:r>
            <w:r>
              <w:rPr>
                <w:rFonts w:hAnsi="宋体"/>
                <w:color w:val="000000"/>
                <w:kern w:val="0"/>
                <w:szCs w:val="21"/>
                <w:lang w:bidi="ar"/>
              </w:rPr>
              <w:t>元以下罚款；造成损失的，应当依法赔偿损失；构成犯罪的，依法追究刑事责任：（一）无故中断人民防空通信信号的；</w:t>
            </w:r>
          </w:p>
        </w:tc>
        <w:tc>
          <w:tcPr>
            <w:tcW w:w="411" w:type="dxa"/>
            <w:noWrap/>
            <w:tcMar>
              <w:left w:w="51" w:type="dxa"/>
              <w:right w:w="51" w:type="dxa"/>
            </w:tcMar>
            <w:vAlign w:val="center"/>
          </w:tcPr>
          <w:p w14:paraId="301490D3">
            <w:pPr>
              <w:widowControl/>
              <w:jc w:val="left"/>
              <w:rPr>
                <w:color w:val="000000"/>
                <w:kern w:val="0"/>
                <w:szCs w:val="21"/>
              </w:rPr>
            </w:pPr>
          </w:p>
        </w:tc>
      </w:tr>
      <w:tr w14:paraId="5374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17" w:type="dxa"/>
            <w:noWrap w:val="0"/>
            <w:tcMar>
              <w:left w:w="51" w:type="dxa"/>
              <w:right w:w="51" w:type="dxa"/>
            </w:tcMar>
            <w:vAlign w:val="center"/>
          </w:tcPr>
          <w:p w14:paraId="48729D2E">
            <w:pPr>
              <w:widowControl/>
              <w:jc w:val="center"/>
              <w:rPr>
                <w:color w:val="000000"/>
                <w:kern w:val="0"/>
                <w:szCs w:val="21"/>
              </w:rPr>
            </w:pPr>
            <w:r>
              <w:rPr>
                <w:color w:val="000000"/>
                <w:kern w:val="0"/>
                <w:szCs w:val="21"/>
              </w:rPr>
              <w:t>1</w:t>
            </w:r>
            <w:r>
              <w:rPr>
                <w:rFonts w:hint="eastAsia"/>
                <w:color w:val="000000"/>
                <w:kern w:val="0"/>
                <w:szCs w:val="21"/>
                <w:lang w:val="en-US" w:eastAsia="zh-CN"/>
              </w:rPr>
              <w:t>3</w:t>
            </w:r>
            <w:r>
              <w:rPr>
                <w:color w:val="000000"/>
                <w:kern w:val="0"/>
                <w:szCs w:val="21"/>
              </w:rPr>
              <w:t>2</w:t>
            </w:r>
          </w:p>
        </w:tc>
        <w:tc>
          <w:tcPr>
            <w:tcW w:w="1834" w:type="dxa"/>
            <w:noWrap w:val="0"/>
            <w:tcMar>
              <w:left w:w="51" w:type="dxa"/>
              <w:right w:w="51" w:type="dxa"/>
            </w:tcMar>
            <w:vAlign w:val="center"/>
          </w:tcPr>
          <w:p w14:paraId="29CBFA91">
            <w:pPr>
              <w:widowControl/>
              <w:jc w:val="left"/>
              <w:textAlignment w:val="center"/>
              <w:rPr>
                <w:color w:val="000000"/>
                <w:kern w:val="0"/>
                <w:szCs w:val="21"/>
              </w:rPr>
            </w:pPr>
            <w:r>
              <w:rPr>
                <w:rFonts w:hAnsi="宋体"/>
                <w:color w:val="000000"/>
                <w:kern w:val="0"/>
                <w:szCs w:val="21"/>
                <w:lang w:bidi="ar"/>
              </w:rPr>
              <w:t>擅自移交、迁移防空警报设施的处罚</w:t>
            </w:r>
          </w:p>
        </w:tc>
        <w:tc>
          <w:tcPr>
            <w:tcW w:w="706" w:type="dxa"/>
            <w:noWrap w:val="0"/>
            <w:tcMar>
              <w:left w:w="51" w:type="dxa"/>
              <w:right w:w="51" w:type="dxa"/>
            </w:tcMar>
            <w:vAlign w:val="center"/>
          </w:tcPr>
          <w:p w14:paraId="0A252113">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0AD945E4">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5B363166">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490F768A">
            <w:pPr>
              <w:widowControl/>
              <w:jc w:val="left"/>
              <w:textAlignment w:val="center"/>
              <w:rPr>
                <w:b/>
                <w:bCs/>
                <w:color w:val="000000"/>
                <w:kern w:val="0"/>
                <w:szCs w:val="21"/>
              </w:rPr>
            </w:pPr>
            <w:r>
              <w:rPr>
                <w:rFonts w:hAnsi="宋体"/>
                <w:b/>
                <w:bCs/>
                <w:color w:val="000000"/>
                <w:kern w:val="0"/>
                <w:szCs w:val="21"/>
                <w:lang w:bidi="ar"/>
              </w:rPr>
              <w:t>《湖南省人民防空通信管理办法》第二十七条</w:t>
            </w:r>
            <w:r>
              <w:rPr>
                <w:color w:val="000000"/>
                <w:kern w:val="0"/>
                <w:szCs w:val="21"/>
                <w:lang w:bidi="ar"/>
              </w:rPr>
              <w:t xml:space="preserve"> </w:t>
            </w:r>
            <w:r>
              <w:rPr>
                <w:rFonts w:hAnsi="宋体"/>
                <w:color w:val="000000"/>
                <w:kern w:val="0"/>
                <w:szCs w:val="21"/>
                <w:lang w:bidi="ar"/>
              </w:rPr>
              <w:t>有下列行为之一的，由县级以上人民防空主管部门给予警告、责令限期改正，可以并处</w:t>
            </w:r>
            <w:r>
              <w:rPr>
                <w:color w:val="000000"/>
                <w:kern w:val="0"/>
                <w:szCs w:val="21"/>
                <w:lang w:bidi="ar"/>
              </w:rPr>
              <w:t>1000</w:t>
            </w:r>
            <w:r>
              <w:rPr>
                <w:rFonts w:hAnsi="宋体"/>
                <w:color w:val="000000"/>
                <w:kern w:val="0"/>
                <w:szCs w:val="21"/>
                <w:lang w:bidi="ar"/>
              </w:rPr>
              <w:t>元以下罚款；造成损失的，应当依法赔偿损失；构成犯罪的，依法追究刑事责任：</w:t>
            </w:r>
            <w:r>
              <w:rPr>
                <w:color w:val="000000"/>
                <w:kern w:val="0"/>
                <w:szCs w:val="21"/>
                <w:lang w:bidi="ar"/>
              </w:rPr>
              <w:t>...</w:t>
            </w:r>
            <w:r>
              <w:rPr>
                <w:rFonts w:hAnsi="宋体"/>
                <w:color w:val="000000"/>
                <w:kern w:val="0"/>
                <w:szCs w:val="21"/>
                <w:lang w:bidi="ar"/>
              </w:rPr>
              <w:t>（二）擅自移交、迁移、重装防空警报设施的；</w:t>
            </w:r>
          </w:p>
        </w:tc>
        <w:tc>
          <w:tcPr>
            <w:tcW w:w="411" w:type="dxa"/>
            <w:noWrap/>
            <w:tcMar>
              <w:left w:w="51" w:type="dxa"/>
              <w:right w:w="51" w:type="dxa"/>
            </w:tcMar>
            <w:vAlign w:val="center"/>
          </w:tcPr>
          <w:p w14:paraId="02D33D52">
            <w:pPr>
              <w:widowControl/>
              <w:jc w:val="left"/>
              <w:rPr>
                <w:color w:val="000000"/>
                <w:kern w:val="0"/>
                <w:szCs w:val="21"/>
              </w:rPr>
            </w:pPr>
          </w:p>
        </w:tc>
      </w:tr>
      <w:tr w14:paraId="7415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7" w:type="dxa"/>
            <w:noWrap w:val="0"/>
            <w:tcMar>
              <w:left w:w="51" w:type="dxa"/>
              <w:right w:w="51" w:type="dxa"/>
            </w:tcMar>
            <w:vAlign w:val="center"/>
          </w:tcPr>
          <w:p w14:paraId="2AE982C8">
            <w:pPr>
              <w:widowControl/>
              <w:jc w:val="center"/>
              <w:rPr>
                <w:color w:val="000000"/>
                <w:kern w:val="0"/>
                <w:szCs w:val="21"/>
              </w:rPr>
            </w:pPr>
            <w:r>
              <w:rPr>
                <w:color w:val="000000"/>
                <w:kern w:val="0"/>
                <w:szCs w:val="21"/>
              </w:rPr>
              <w:t>1</w:t>
            </w:r>
            <w:r>
              <w:rPr>
                <w:rFonts w:hint="eastAsia"/>
                <w:color w:val="000000"/>
                <w:kern w:val="0"/>
                <w:szCs w:val="21"/>
                <w:lang w:val="en-US" w:eastAsia="zh-CN"/>
              </w:rPr>
              <w:t>3</w:t>
            </w:r>
            <w:r>
              <w:rPr>
                <w:color w:val="000000"/>
                <w:kern w:val="0"/>
                <w:szCs w:val="21"/>
              </w:rPr>
              <w:t>3</w:t>
            </w:r>
          </w:p>
        </w:tc>
        <w:tc>
          <w:tcPr>
            <w:tcW w:w="1834" w:type="dxa"/>
            <w:noWrap w:val="0"/>
            <w:tcMar>
              <w:left w:w="51" w:type="dxa"/>
              <w:right w:w="51" w:type="dxa"/>
            </w:tcMar>
            <w:vAlign w:val="center"/>
          </w:tcPr>
          <w:p w14:paraId="15264ADB">
            <w:pPr>
              <w:widowControl/>
              <w:jc w:val="left"/>
              <w:textAlignment w:val="center"/>
              <w:rPr>
                <w:color w:val="000000"/>
                <w:kern w:val="0"/>
                <w:szCs w:val="21"/>
              </w:rPr>
            </w:pPr>
            <w:r>
              <w:rPr>
                <w:rFonts w:hAnsi="宋体"/>
                <w:color w:val="000000"/>
                <w:kern w:val="0"/>
                <w:szCs w:val="21"/>
                <w:lang w:bidi="ar"/>
              </w:rPr>
              <w:t>擅自重装防空警报设施的处罚</w:t>
            </w:r>
          </w:p>
        </w:tc>
        <w:tc>
          <w:tcPr>
            <w:tcW w:w="706" w:type="dxa"/>
            <w:noWrap w:val="0"/>
            <w:tcMar>
              <w:left w:w="51" w:type="dxa"/>
              <w:right w:w="51" w:type="dxa"/>
            </w:tcMar>
            <w:vAlign w:val="center"/>
          </w:tcPr>
          <w:p w14:paraId="1EFBAF25">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6EEA83FB">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32AF4074">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7A727E6D">
            <w:pPr>
              <w:widowControl/>
              <w:jc w:val="left"/>
              <w:textAlignment w:val="center"/>
              <w:rPr>
                <w:b/>
                <w:bCs/>
                <w:color w:val="000000"/>
                <w:kern w:val="0"/>
                <w:szCs w:val="21"/>
              </w:rPr>
            </w:pPr>
            <w:r>
              <w:rPr>
                <w:rFonts w:hAnsi="宋体"/>
                <w:b/>
                <w:bCs/>
                <w:color w:val="000000"/>
                <w:kern w:val="0"/>
                <w:szCs w:val="21"/>
                <w:lang w:bidi="ar"/>
              </w:rPr>
              <w:t>《湖南省人民防空通信管理办法》第二十七条</w:t>
            </w:r>
            <w:r>
              <w:rPr>
                <w:color w:val="000000"/>
                <w:kern w:val="0"/>
                <w:szCs w:val="21"/>
                <w:lang w:bidi="ar"/>
              </w:rPr>
              <w:t xml:space="preserve"> </w:t>
            </w:r>
            <w:r>
              <w:rPr>
                <w:rFonts w:hAnsi="宋体"/>
                <w:color w:val="000000"/>
                <w:kern w:val="0"/>
                <w:szCs w:val="21"/>
                <w:lang w:bidi="ar"/>
              </w:rPr>
              <w:t>有下列行为之一的，由县级以上人民防空主管部门给予警告、责令限期改正，可以并处</w:t>
            </w:r>
            <w:r>
              <w:rPr>
                <w:color w:val="000000"/>
                <w:kern w:val="0"/>
                <w:szCs w:val="21"/>
                <w:lang w:bidi="ar"/>
              </w:rPr>
              <w:t>1000</w:t>
            </w:r>
            <w:r>
              <w:rPr>
                <w:rFonts w:hAnsi="宋体"/>
                <w:color w:val="000000"/>
                <w:kern w:val="0"/>
                <w:szCs w:val="21"/>
                <w:lang w:bidi="ar"/>
              </w:rPr>
              <w:t>元以下罚款；造成损失的，应当依法赔偿损失；构成犯罪的，依法追究刑事责任：</w:t>
            </w:r>
            <w:r>
              <w:rPr>
                <w:color w:val="000000"/>
                <w:kern w:val="0"/>
                <w:szCs w:val="21"/>
                <w:lang w:bidi="ar"/>
              </w:rPr>
              <w:t>...</w:t>
            </w:r>
            <w:r>
              <w:rPr>
                <w:rFonts w:hAnsi="宋体"/>
                <w:color w:val="000000"/>
                <w:kern w:val="0"/>
                <w:szCs w:val="21"/>
                <w:lang w:bidi="ar"/>
              </w:rPr>
              <w:t>（二）擅自移交、迁移、重装防空警报设施的；</w:t>
            </w:r>
          </w:p>
        </w:tc>
        <w:tc>
          <w:tcPr>
            <w:tcW w:w="411" w:type="dxa"/>
            <w:noWrap/>
            <w:tcMar>
              <w:left w:w="51" w:type="dxa"/>
              <w:right w:w="51" w:type="dxa"/>
            </w:tcMar>
            <w:vAlign w:val="center"/>
          </w:tcPr>
          <w:p w14:paraId="4A00F02B">
            <w:pPr>
              <w:widowControl/>
              <w:jc w:val="left"/>
              <w:rPr>
                <w:color w:val="000000"/>
                <w:kern w:val="0"/>
                <w:szCs w:val="21"/>
              </w:rPr>
            </w:pPr>
          </w:p>
        </w:tc>
      </w:tr>
      <w:tr w14:paraId="638A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17" w:type="dxa"/>
            <w:noWrap w:val="0"/>
            <w:tcMar>
              <w:left w:w="51" w:type="dxa"/>
              <w:right w:w="51" w:type="dxa"/>
            </w:tcMar>
            <w:vAlign w:val="center"/>
          </w:tcPr>
          <w:p w14:paraId="74F81A58">
            <w:pPr>
              <w:widowControl/>
              <w:jc w:val="center"/>
              <w:rPr>
                <w:color w:val="000000"/>
                <w:kern w:val="0"/>
                <w:szCs w:val="21"/>
              </w:rPr>
            </w:pPr>
            <w:r>
              <w:rPr>
                <w:color w:val="000000"/>
                <w:kern w:val="0"/>
                <w:szCs w:val="21"/>
              </w:rPr>
              <w:t>1</w:t>
            </w:r>
            <w:r>
              <w:rPr>
                <w:rFonts w:hint="eastAsia"/>
                <w:color w:val="000000"/>
                <w:kern w:val="0"/>
                <w:szCs w:val="21"/>
                <w:lang w:val="en-US" w:eastAsia="zh-CN"/>
              </w:rPr>
              <w:t>3</w:t>
            </w:r>
            <w:r>
              <w:rPr>
                <w:color w:val="000000"/>
                <w:kern w:val="0"/>
                <w:szCs w:val="21"/>
              </w:rPr>
              <w:t>4</w:t>
            </w:r>
          </w:p>
        </w:tc>
        <w:tc>
          <w:tcPr>
            <w:tcW w:w="1834" w:type="dxa"/>
            <w:noWrap w:val="0"/>
            <w:tcMar>
              <w:left w:w="51" w:type="dxa"/>
              <w:right w:w="51" w:type="dxa"/>
            </w:tcMar>
            <w:vAlign w:val="center"/>
          </w:tcPr>
          <w:p w14:paraId="4A31F125">
            <w:pPr>
              <w:widowControl/>
              <w:jc w:val="left"/>
              <w:textAlignment w:val="center"/>
              <w:rPr>
                <w:color w:val="000000"/>
                <w:kern w:val="0"/>
                <w:szCs w:val="21"/>
              </w:rPr>
            </w:pPr>
            <w:r>
              <w:rPr>
                <w:rFonts w:hAnsi="宋体"/>
                <w:color w:val="000000"/>
                <w:kern w:val="0"/>
                <w:szCs w:val="21"/>
                <w:lang w:bidi="ar"/>
              </w:rPr>
              <w:t>阻挠鸣放防空警报信号的处罚</w:t>
            </w:r>
          </w:p>
        </w:tc>
        <w:tc>
          <w:tcPr>
            <w:tcW w:w="706" w:type="dxa"/>
            <w:noWrap w:val="0"/>
            <w:tcMar>
              <w:left w:w="51" w:type="dxa"/>
              <w:right w:w="51" w:type="dxa"/>
            </w:tcMar>
            <w:vAlign w:val="center"/>
          </w:tcPr>
          <w:p w14:paraId="4A9979E7">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48AEC86D">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22074A6F">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58749376">
            <w:pPr>
              <w:widowControl/>
              <w:jc w:val="left"/>
              <w:textAlignment w:val="center"/>
              <w:rPr>
                <w:b/>
                <w:bCs/>
                <w:color w:val="000000"/>
                <w:kern w:val="0"/>
                <w:szCs w:val="21"/>
              </w:rPr>
            </w:pPr>
            <w:r>
              <w:rPr>
                <w:rFonts w:hAnsi="宋体"/>
                <w:b/>
                <w:bCs/>
                <w:color w:val="000000"/>
                <w:kern w:val="0"/>
                <w:szCs w:val="21"/>
                <w:lang w:bidi="ar"/>
              </w:rPr>
              <w:t>《湖南省人民防空通信管理办法》第二十七条</w:t>
            </w:r>
            <w:r>
              <w:rPr>
                <w:color w:val="000000"/>
                <w:kern w:val="0"/>
                <w:szCs w:val="21"/>
                <w:lang w:bidi="ar"/>
              </w:rPr>
              <w:t xml:space="preserve"> </w:t>
            </w:r>
            <w:r>
              <w:rPr>
                <w:rFonts w:hAnsi="宋体"/>
                <w:color w:val="000000"/>
                <w:kern w:val="0"/>
                <w:szCs w:val="21"/>
                <w:lang w:bidi="ar"/>
              </w:rPr>
              <w:t>有下列行为之一的，由县级以上人民防空主管部门给予警告、责令限期改正，可以并处</w:t>
            </w:r>
            <w:r>
              <w:rPr>
                <w:color w:val="000000"/>
                <w:kern w:val="0"/>
                <w:szCs w:val="21"/>
                <w:lang w:bidi="ar"/>
              </w:rPr>
              <w:t>1000</w:t>
            </w:r>
            <w:r>
              <w:rPr>
                <w:rFonts w:hAnsi="宋体"/>
                <w:color w:val="000000"/>
                <w:kern w:val="0"/>
                <w:szCs w:val="21"/>
                <w:lang w:bidi="ar"/>
              </w:rPr>
              <w:t>元以下罚款；造成损失的，应当依法赔偿损失；构成犯罪的，依法追究刑事责任：</w:t>
            </w:r>
            <w:r>
              <w:rPr>
                <w:color w:val="000000"/>
                <w:kern w:val="0"/>
                <w:szCs w:val="21"/>
                <w:lang w:bidi="ar"/>
              </w:rPr>
              <w:t>...</w:t>
            </w:r>
            <w:r>
              <w:rPr>
                <w:rFonts w:hAnsi="宋体"/>
                <w:color w:val="000000"/>
                <w:kern w:val="0"/>
                <w:szCs w:val="21"/>
                <w:lang w:bidi="ar"/>
              </w:rPr>
              <w:t>（三）阻挠或者不按规定鸣放防空警报信号的。</w:t>
            </w:r>
          </w:p>
        </w:tc>
        <w:tc>
          <w:tcPr>
            <w:tcW w:w="411" w:type="dxa"/>
            <w:noWrap/>
            <w:tcMar>
              <w:left w:w="51" w:type="dxa"/>
              <w:right w:w="51" w:type="dxa"/>
            </w:tcMar>
            <w:vAlign w:val="center"/>
          </w:tcPr>
          <w:p w14:paraId="7C7A6FEF">
            <w:pPr>
              <w:widowControl/>
              <w:jc w:val="left"/>
              <w:rPr>
                <w:color w:val="000000"/>
                <w:kern w:val="0"/>
                <w:szCs w:val="21"/>
              </w:rPr>
            </w:pPr>
          </w:p>
        </w:tc>
      </w:tr>
      <w:tr w14:paraId="711B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17" w:type="dxa"/>
            <w:noWrap w:val="0"/>
            <w:tcMar>
              <w:left w:w="51" w:type="dxa"/>
              <w:right w:w="51" w:type="dxa"/>
            </w:tcMar>
            <w:vAlign w:val="center"/>
          </w:tcPr>
          <w:p w14:paraId="4DB9BD50">
            <w:pPr>
              <w:widowControl/>
              <w:jc w:val="center"/>
              <w:rPr>
                <w:color w:val="000000"/>
                <w:kern w:val="0"/>
                <w:szCs w:val="21"/>
              </w:rPr>
            </w:pPr>
            <w:r>
              <w:rPr>
                <w:color w:val="000000"/>
                <w:kern w:val="0"/>
                <w:szCs w:val="21"/>
              </w:rPr>
              <w:t>1</w:t>
            </w:r>
            <w:r>
              <w:rPr>
                <w:rFonts w:hint="eastAsia"/>
                <w:color w:val="000000"/>
                <w:kern w:val="0"/>
                <w:szCs w:val="21"/>
                <w:lang w:val="en-US" w:eastAsia="zh-CN"/>
              </w:rPr>
              <w:t>3</w:t>
            </w:r>
            <w:r>
              <w:rPr>
                <w:color w:val="000000"/>
                <w:kern w:val="0"/>
                <w:szCs w:val="21"/>
              </w:rPr>
              <w:t>5</w:t>
            </w:r>
          </w:p>
        </w:tc>
        <w:tc>
          <w:tcPr>
            <w:tcW w:w="1834" w:type="dxa"/>
            <w:noWrap w:val="0"/>
            <w:tcMar>
              <w:left w:w="51" w:type="dxa"/>
              <w:right w:w="51" w:type="dxa"/>
            </w:tcMar>
            <w:vAlign w:val="center"/>
          </w:tcPr>
          <w:p w14:paraId="7BE093D2">
            <w:pPr>
              <w:widowControl/>
              <w:jc w:val="left"/>
              <w:textAlignment w:val="center"/>
              <w:rPr>
                <w:color w:val="000000"/>
                <w:kern w:val="0"/>
                <w:szCs w:val="21"/>
              </w:rPr>
            </w:pPr>
            <w:r>
              <w:rPr>
                <w:rFonts w:hAnsi="宋体"/>
                <w:color w:val="000000"/>
                <w:kern w:val="0"/>
                <w:szCs w:val="21"/>
                <w:lang w:bidi="ar"/>
              </w:rPr>
              <w:t>不按规定鸣放防空警报信号的处罚</w:t>
            </w:r>
          </w:p>
        </w:tc>
        <w:tc>
          <w:tcPr>
            <w:tcW w:w="706" w:type="dxa"/>
            <w:noWrap w:val="0"/>
            <w:tcMar>
              <w:left w:w="51" w:type="dxa"/>
              <w:right w:w="51" w:type="dxa"/>
            </w:tcMar>
            <w:vAlign w:val="center"/>
          </w:tcPr>
          <w:p w14:paraId="1DF0E334">
            <w:pPr>
              <w:widowControl/>
              <w:jc w:val="center"/>
              <w:textAlignment w:val="center"/>
              <w:rPr>
                <w:color w:val="000000"/>
                <w:kern w:val="0"/>
                <w:szCs w:val="21"/>
              </w:rPr>
            </w:pPr>
            <w:r>
              <w:rPr>
                <w:rFonts w:hAnsi="宋体"/>
                <w:color w:val="000000"/>
                <w:kern w:val="0"/>
                <w:szCs w:val="21"/>
                <w:lang w:bidi="ar"/>
              </w:rPr>
              <w:t>行政处罚</w:t>
            </w:r>
          </w:p>
        </w:tc>
        <w:tc>
          <w:tcPr>
            <w:tcW w:w="1174" w:type="dxa"/>
            <w:noWrap w:val="0"/>
            <w:tcMar>
              <w:left w:w="51" w:type="dxa"/>
              <w:right w:w="51" w:type="dxa"/>
            </w:tcMar>
            <w:vAlign w:val="center"/>
          </w:tcPr>
          <w:p w14:paraId="64932F43">
            <w:pPr>
              <w:widowControl/>
              <w:jc w:val="center"/>
              <w:textAlignment w:val="center"/>
              <w:rPr>
                <w:color w:val="000000"/>
                <w:kern w:val="0"/>
                <w:szCs w:val="21"/>
                <w:highlight w:val="none"/>
              </w:rPr>
            </w:pPr>
            <w:r>
              <w:rPr>
                <w:rFonts w:hint="eastAsia" w:hAnsi="宋体"/>
                <w:color w:val="000000"/>
                <w:kern w:val="0"/>
                <w:szCs w:val="21"/>
                <w:highlight w:val="none"/>
                <w:lang w:val="en-US" w:eastAsia="zh-CN"/>
              </w:rPr>
              <w:t>市发改局（市国动办）</w:t>
            </w:r>
          </w:p>
        </w:tc>
        <w:tc>
          <w:tcPr>
            <w:tcW w:w="886" w:type="dxa"/>
            <w:noWrap w:val="0"/>
            <w:tcMar>
              <w:left w:w="51" w:type="dxa"/>
              <w:right w:w="51" w:type="dxa"/>
            </w:tcMar>
            <w:vAlign w:val="center"/>
          </w:tcPr>
          <w:p w14:paraId="4A11B832">
            <w:pPr>
              <w:widowControl/>
              <w:jc w:val="center"/>
              <w:rPr>
                <w:color w:val="000000"/>
                <w:kern w:val="0"/>
                <w:szCs w:val="21"/>
                <w:highlight w:val="none"/>
              </w:rPr>
            </w:pPr>
            <w:r>
              <w:rPr>
                <w:rFonts w:hint="eastAsia" w:hAnsi="宋体"/>
                <w:color w:val="000000"/>
                <w:kern w:val="0"/>
                <w:szCs w:val="21"/>
                <w:highlight w:val="none"/>
                <w:lang w:val="en-US" w:eastAsia="zh-CN" w:bidi="ar"/>
              </w:rPr>
              <w:t>工程管理与军事设施保护股</w:t>
            </w:r>
          </w:p>
        </w:tc>
        <w:tc>
          <w:tcPr>
            <w:tcW w:w="9611" w:type="dxa"/>
            <w:noWrap w:val="0"/>
            <w:tcMar>
              <w:left w:w="51" w:type="dxa"/>
              <w:right w:w="51" w:type="dxa"/>
            </w:tcMar>
            <w:vAlign w:val="center"/>
          </w:tcPr>
          <w:p w14:paraId="374FBFEE">
            <w:pPr>
              <w:widowControl/>
              <w:jc w:val="left"/>
              <w:textAlignment w:val="center"/>
              <w:rPr>
                <w:b/>
                <w:bCs/>
                <w:color w:val="000000"/>
                <w:kern w:val="0"/>
                <w:szCs w:val="21"/>
              </w:rPr>
            </w:pPr>
            <w:r>
              <w:rPr>
                <w:rFonts w:hAnsi="宋体"/>
                <w:b/>
                <w:bCs/>
                <w:color w:val="000000"/>
                <w:kern w:val="0"/>
                <w:szCs w:val="21"/>
                <w:lang w:bidi="ar"/>
              </w:rPr>
              <w:t>《湖南省人民防空通信管理办法》第二十七条</w:t>
            </w:r>
            <w:r>
              <w:rPr>
                <w:color w:val="000000"/>
                <w:kern w:val="0"/>
                <w:szCs w:val="21"/>
                <w:lang w:bidi="ar"/>
              </w:rPr>
              <w:t xml:space="preserve"> </w:t>
            </w:r>
            <w:r>
              <w:rPr>
                <w:rFonts w:hAnsi="宋体"/>
                <w:color w:val="000000"/>
                <w:kern w:val="0"/>
                <w:szCs w:val="21"/>
                <w:lang w:bidi="ar"/>
              </w:rPr>
              <w:t>有下列行为之一的，由县级以上人民防空主管部门给予警告、责令限期改正，可以并处</w:t>
            </w:r>
            <w:r>
              <w:rPr>
                <w:color w:val="000000"/>
                <w:kern w:val="0"/>
                <w:szCs w:val="21"/>
                <w:lang w:bidi="ar"/>
              </w:rPr>
              <w:t>1000</w:t>
            </w:r>
            <w:r>
              <w:rPr>
                <w:rFonts w:hAnsi="宋体"/>
                <w:color w:val="000000"/>
                <w:kern w:val="0"/>
                <w:szCs w:val="21"/>
                <w:lang w:bidi="ar"/>
              </w:rPr>
              <w:t>元以下罚款；造成损失的，应当依法赔偿损失；构成犯罪的，依法追究刑事责任：</w:t>
            </w:r>
            <w:r>
              <w:rPr>
                <w:color w:val="000000"/>
                <w:kern w:val="0"/>
                <w:szCs w:val="21"/>
                <w:lang w:bidi="ar"/>
              </w:rPr>
              <w:t>...</w:t>
            </w:r>
            <w:r>
              <w:rPr>
                <w:rFonts w:hAnsi="宋体"/>
                <w:color w:val="000000"/>
                <w:kern w:val="0"/>
                <w:szCs w:val="21"/>
                <w:lang w:bidi="ar"/>
              </w:rPr>
              <w:t>（三）阻挠或者不按规定鸣放防空警报信号的。</w:t>
            </w:r>
          </w:p>
        </w:tc>
        <w:tc>
          <w:tcPr>
            <w:tcW w:w="411" w:type="dxa"/>
            <w:noWrap/>
            <w:tcMar>
              <w:left w:w="51" w:type="dxa"/>
              <w:right w:w="51" w:type="dxa"/>
            </w:tcMar>
            <w:vAlign w:val="center"/>
          </w:tcPr>
          <w:p w14:paraId="3FBA8CBA">
            <w:pPr>
              <w:widowControl/>
              <w:jc w:val="left"/>
              <w:rPr>
                <w:color w:val="000000"/>
                <w:kern w:val="0"/>
                <w:szCs w:val="21"/>
              </w:rPr>
            </w:pPr>
          </w:p>
        </w:tc>
      </w:tr>
    </w:tbl>
    <w:p w14:paraId="51E98517">
      <w:pPr>
        <w:adjustRightInd w:val="0"/>
        <w:snapToGrid w:val="0"/>
        <w:spacing w:line="596" w:lineRule="exact"/>
        <w:rPr>
          <w:rFonts w:eastAsia="仿宋_GB2312"/>
          <w:color w:val="000000"/>
          <w:sz w:val="32"/>
        </w:rPr>
        <w:sectPr>
          <w:footerReference r:id="rId3" w:type="default"/>
          <w:footerReference r:id="rId4" w:type="even"/>
          <w:pgSz w:w="16838" w:h="11906" w:orient="landscape"/>
          <w:pgMar w:top="1474" w:right="851" w:bottom="1474" w:left="851" w:header="851" w:footer="1021" w:gutter="0"/>
          <w:lnNumType w:countBy="0"/>
          <w:cols w:space="720" w:num="1"/>
          <w:docGrid w:type="lines" w:linePitch="312" w:charSpace="0"/>
        </w:sectPr>
      </w:pPr>
    </w:p>
    <w:p w14:paraId="24EE24FF"/>
    <w:sectPr>
      <w:footerReference r:id="rId5" w:type="default"/>
      <w:footerReference r:id="rId6" w:type="even"/>
      <w:pgSz w:w="11906" w:h="16838"/>
      <w:pgMar w:top="1871" w:right="1474" w:bottom="1701" w:left="1474"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F453">
    <w:pPr>
      <w:pStyle w:val="2"/>
      <w:framePr w:wrap="around" w:vAnchor="text" w:hAnchor="margin" w:xAlign="outside" w:y="1"/>
      <w:rPr>
        <w:rStyle w:val="5"/>
        <w:sz w:val="24"/>
        <w:szCs w:val="24"/>
      </w:rPr>
    </w:pPr>
    <w:r>
      <w:rPr>
        <w:rStyle w:val="5"/>
        <w:sz w:val="24"/>
        <w:szCs w:val="24"/>
      </w:rPr>
      <w:t xml:space="preserve">— </w:t>
    </w:r>
    <w:r>
      <w:rPr>
        <w:rStyle w:val="5"/>
        <w:sz w:val="24"/>
        <w:szCs w:val="24"/>
      </w:rPr>
      <w:fldChar w:fldCharType="begin"/>
    </w:r>
    <w:r>
      <w:rPr>
        <w:rStyle w:val="5"/>
        <w:sz w:val="24"/>
        <w:szCs w:val="24"/>
      </w:rPr>
      <w:instrText xml:space="preserve">PAGE  </w:instrText>
    </w:r>
    <w:r>
      <w:rPr>
        <w:rStyle w:val="5"/>
        <w:sz w:val="24"/>
        <w:szCs w:val="24"/>
      </w:rPr>
      <w:fldChar w:fldCharType="separate"/>
    </w:r>
    <w:r>
      <w:rPr>
        <w:rStyle w:val="5"/>
        <w:sz w:val="24"/>
        <w:szCs w:val="24"/>
      </w:rPr>
      <w:t>64</w:t>
    </w:r>
    <w:r>
      <w:rPr>
        <w:rStyle w:val="5"/>
        <w:sz w:val="24"/>
        <w:szCs w:val="24"/>
      </w:rPr>
      <w:fldChar w:fldCharType="end"/>
    </w:r>
    <w:r>
      <w:rPr>
        <w:rStyle w:val="5"/>
        <w:sz w:val="24"/>
        <w:szCs w:val="24"/>
      </w:rPr>
      <w:t xml:space="preserve"> —</w:t>
    </w:r>
  </w:p>
  <w:p w14:paraId="1040947D">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0F44">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33F60ABB">
    <w:pPr>
      <w:pStyle w:val="2"/>
      <w:ind w:right="360" w:firstLine="360"/>
      <w:jc w:val="center"/>
    </w:pPr>
    <w:r>
      <w:rPr>
        <w:kern w:val="0"/>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39C7">
    <w:pPr>
      <w:pStyle w:val="2"/>
      <w:ind w:right="360" w:firstLine="360"/>
      <w:jc w:val="center"/>
      <w:rPr>
        <w:color w:val="FFFFFF"/>
        <w:sz w:val="28"/>
        <w:szCs w:val="28"/>
      </w:rPr>
    </w:pPr>
    <w:r>
      <w:rPr>
        <w:color w:val="FFFFFF"/>
        <w:kern w:val="0"/>
        <w:sz w:val="28"/>
        <w:szCs w:val="28"/>
      </w:rPr>
      <w:t xml:space="preserve">— </w:t>
    </w:r>
    <w:r>
      <w:rPr>
        <w:color w:val="FFFFFF"/>
        <w:kern w:val="0"/>
        <w:sz w:val="28"/>
        <w:szCs w:val="28"/>
      </w:rPr>
      <w:fldChar w:fldCharType="begin"/>
    </w:r>
    <w:r>
      <w:rPr>
        <w:color w:val="FFFFFF"/>
        <w:kern w:val="0"/>
        <w:sz w:val="28"/>
        <w:szCs w:val="28"/>
      </w:rPr>
      <w:instrText xml:space="preserve"> PAGE </w:instrText>
    </w:r>
    <w:r>
      <w:rPr>
        <w:color w:val="FFFFFF"/>
        <w:kern w:val="0"/>
        <w:sz w:val="28"/>
        <w:szCs w:val="28"/>
      </w:rPr>
      <w:fldChar w:fldCharType="separate"/>
    </w:r>
    <w:r>
      <w:rPr>
        <w:color w:val="FFFFFF"/>
        <w:kern w:val="0"/>
        <w:sz w:val="28"/>
        <w:szCs w:val="28"/>
      </w:rPr>
      <w:t>66</w:t>
    </w:r>
    <w:r>
      <w:rPr>
        <w:color w:val="FFFFFF"/>
        <w:kern w:val="0"/>
        <w:sz w:val="28"/>
        <w:szCs w:val="28"/>
      </w:rPr>
      <w:fldChar w:fldCharType="end"/>
    </w:r>
    <w:r>
      <w:rPr>
        <w:color w:val="FFFFFF"/>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C841">
    <w:pPr>
      <w:pStyle w:val="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11AD8"/>
    <w:rsid w:val="05382D45"/>
    <w:rsid w:val="05EA289E"/>
    <w:rsid w:val="0642064E"/>
    <w:rsid w:val="0A442534"/>
    <w:rsid w:val="11DB4B38"/>
    <w:rsid w:val="12E33347"/>
    <w:rsid w:val="14C95B3A"/>
    <w:rsid w:val="1B5A5686"/>
    <w:rsid w:val="1E284ED6"/>
    <w:rsid w:val="1EDC2127"/>
    <w:rsid w:val="1F9E584B"/>
    <w:rsid w:val="28F04AF8"/>
    <w:rsid w:val="29FA5D05"/>
    <w:rsid w:val="2A8F41DB"/>
    <w:rsid w:val="2F6B491C"/>
    <w:rsid w:val="30506A41"/>
    <w:rsid w:val="33181834"/>
    <w:rsid w:val="34DA661B"/>
    <w:rsid w:val="36616AD6"/>
    <w:rsid w:val="3D514901"/>
    <w:rsid w:val="3E73621E"/>
    <w:rsid w:val="3FAF4C21"/>
    <w:rsid w:val="40831285"/>
    <w:rsid w:val="41397843"/>
    <w:rsid w:val="499111D6"/>
    <w:rsid w:val="4A6D1B45"/>
    <w:rsid w:val="4B756BAB"/>
    <w:rsid w:val="4F0802EE"/>
    <w:rsid w:val="54973485"/>
    <w:rsid w:val="564C7C56"/>
    <w:rsid w:val="59072A66"/>
    <w:rsid w:val="5C810F26"/>
    <w:rsid w:val="5E430CFC"/>
    <w:rsid w:val="5FD45778"/>
    <w:rsid w:val="628677E9"/>
    <w:rsid w:val="63B1648C"/>
    <w:rsid w:val="654563CC"/>
    <w:rsid w:val="65D5198E"/>
    <w:rsid w:val="6AC941C4"/>
    <w:rsid w:val="6B002854"/>
    <w:rsid w:val="6CB90269"/>
    <w:rsid w:val="6E1A2554"/>
    <w:rsid w:val="6ECA1C94"/>
    <w:rsid w:val="6F7925EA"/>
    <w:rsid w:val="6FF11AD8"/>
    <w:rsid w:val="7224193D"/>
    <w:rsid w:val="72C519A8"/>
    <w:rsid w:val="73FBE951"/>
    <w:rsid w:val="77230510"/>
    <w:rsid w:val="7B9FD0E2"/>
    <w:rsid w:val="7C6474A6"/>
    <w:rsid w:val="7F261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25331</Words>
  <Characters>25609</Characters>
  <Lines>0</Lines>
  <Paragraphs>0</Paragraphs>
  <TotalTime>10</TotalTime>
  <ScaleCrop>false</ScaleCrop>
  <LinksUpToDate>false</LinksUpToDate>
  <CharactersWithSpaces>25894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2025-01-07T16:05:00Z</dcterms:created>
  <dc:creator>kylin</dc:creator>
  <cp:lastModifiedBy>七七七七七七</cp:lastModifiedBy>
  <dcterms:modified xsi:type="dcterms:W3CDTF">2025-05-26T00:52:52Z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ECBC4FFCEE934ACD8845EA17D0C4E03A_13</vt:lpwstr>
  </property>
  <property fmtid="{D5CDD505-2E9C-101B-9397-08002B2CF9AE}" pid="4" name="KSOTemplateDocerSaveRecord">
    <vt:lpwstr>eyJoZGlkIjoiNWIwOTM1MTc1YzgxNWMwZTZmZDMzMjE0MTQyMzM3ZDYiLCJ1c2VySWQiOiIzNjM2NDI3MzAifQ==</vt:lpwstr>
  </property>
</Properties>
</file>