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ACBF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黑体" w:cs="Times New Roman"/>
          <w:b w:val="0"/>
          <w:bCs w:val="0"/>
          <w:color w:val="auto"/>
          <w:spacing w:val="0"/>
          <w:w w:val="100"/>
          <w:kern w:val="2"/>
          <w:position w:val="0"/>
          <w:sz w:val="44"/>
          <w:szCs w:val="44"/>
          <w:highlight w:val="none"/>
          <w:u w:val="none"/>
          <w:shd w:val="clear" w:color="auto" w:fill="auto"/>
          <w:lang w:val="en-US" w:eastAsia="zh-Hans" w:bidi="ar-SA"/>
        </w:rPr>
      </w:pPr>
    </w:p>
    <w:p w14:paraId="618BE9D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黑体" w:cs="Times New Roman"/>
          <w:b w:val="0"/>
          <w:bCs w:val="0"/>
          <w:color w:val="auto"/>
          <w:spacing w:val="0"/>
          <w:w w:val="100"/>
          <w:kern w:val="2"/>
          <w:position w:val="0"/>
          <w:sz w:val="44"/>
          <w:szCs w:val="44"/>
          <w:highlight w:val="none"/>
          <w:u w:val="none"/>
          <w:shd w:val="clear" w:color="auto" w:fill="auto"/>
          <w:lang w:val="en-US" w:eastAsia="zh-Hans" w:bidi="ar-SA"/>
        </w:rPr>
      </w:pPr>
    </w:p>
    <w:p w14:paraId="31A0054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outlineLvl w:val="9"/>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eastAsia="zh-CN" w:bidi="ar-SA"/>
        </w:rPr>
      </w:pPr>
      <w:bookmarkStart w:id="0" w:name="_Toc19543"/>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val="en-US" w:eastAsia="zh-CN" w:bidi="ar-SA"/>
        </w:rPr>
        <w:t>津市市2025</w:t>
      </w:r>
      <w:r>
        <w:rPr>
          <w:rFonts w:hint="eastAsia" w:eastAsia="方正公文小标宋" w:cs="Times New Roman"/>
          <w:b w:val="0"/>
          <w:bCs w:val="0"/>
          <w:color w:val="auto"/>
          <w:spacing w:val="0"/>
          <w:w w:val="100"/>
          <w:kern w:val="2"/>
          <w:position w:val="0"/>
          <w:sz w:val="48"/>
          <w:szCs w:val="48"/>
          <w:highlight w:val="none"/>
          <w:shd w:val="clear" w:color="auto" w:fill="auto"/>
          <w:lang w:val="en-US" w:eastAsia="zh-CN" w:bidi="ar-SA"/>
        </w:rPr>
        <w:t>-2027</w:t>
      </w:r>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val="en-US" w:eastAsia="zh-CN" w:bidi="ar-SA"/>
        </w:rPr>
        <w:t>年省级蔬菜</w:t>
      </w:r>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eastAsia="zh-CN" w:bidi="ar-SA"/>
        </w:rPr>
        <w:t>产业集群</w:t>
      </w:r>
      <w:bookmarkEnd w:id="0"/>
    </w:p>
    <w:p w14:paraId="165A8377">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right="0"/>
        <w:jc w:val="center"/>
        <w:rPr>
          <w:rFonts w:hint="default" w:ascii="Times New Roman" w:hAnsi="Times New Roman" w:eastAsia="方正公文小标宋" w:cs="Times New Roman"/>
          <w:b w:val="0"/>
          <w:bCs w:val="0"/>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方正公文小标宋" w:cs="Times New Roman"/>
          <w:b w:val="0"/>
          <w:bCs w:val="0"/>
          <w:color w:val="auto"/>
          <w:spacing w:val="0"/>
          <w:w w:val="100"/>
          <w:kern w:val="2"/>
          <w:position w:val="0"/>
          <w:sz w:val="48"/>
          <w:szCs w:val="48"/>
          <w:highlight w:val="none"/>
          <w:shd w:val="clear" w:color="auto" w:fill="auto"/>
          <w:lang w:val="en-US" w:eastAsia="zh-CN" w:bidi="ar-SA"/>
        </w:rPr>
        <w:t>实施方案</w:t>
      </w:r>
    </w:p>
    <w:p w14:paraId="6AA3E01F">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7A98C0B3">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553E187E">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19AD1BD3">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691FA35F">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2D040248">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1CEB9ECC">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4573EADD">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right="0" w:firstLine="600" w:firstLineChars="20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21663889">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right="0" w:firstLine="600" w:firstLineChars="20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30B474C9">
      <w:pPr>
        <w:keepNext w:val="0"/>
        <w:keepLines w:val="0"/>
        <w:pageBreakBefore w:val="0"/>
        <w:widowControl w:val="0"/>
        <w:shd w:val="clear" w:color="auto" w:fill="auto"/>
        <w:kinsoku/>
        <w:wordWrap/>
        <w:overflowPunct/>
        <w:topLinePunct w:val="0"/>
        <w:autoSpaceDE/>
        <w:autoSpaceDN/>
        <w:bidi w:val="0"/>
        <w:adjustRightInd w:val="0"/>
        <w:snapToGrid/>
        <w:spacing w:before="0" w:after="0" w:line="600" w:lineRule="exact"/>
        <w:ind w:left="0" w:right="0" w:firstLine="643" w:firstLineChars="200"/>
        <w:jc w:val="center"/>
        <w:rPr>
          <w:rFonts w:hint="default" w:ascii="Times New Roman" w:hAnsi="Times New Roman" w:eastAsia="仿宋" w:cs="Times New Roman"/>
          <w:b/>
          <w:bCs/>
          <w:color w:val="auto"/>
          <w:spacing w:val="0"/>
          <w:w w:val="100"/>
          <w:kern w:val="2"/>
          <w:position w:val="0"/>
          <w:sz w:val="32"/>
          <w:szCs w:val="32"/>
          <w:highlight w:val="none"/>
          <w:shd w:val="clear" w:color="auto" w:fill="auto"/>
          <w:lang w:eastAsia="zh-CN" w:bidi="ar-SA"/>
        </w:rPr>
      </w:pPr>
    </w:p>
    <w:p w14:paraId="757D51CA">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6F510253">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both"/>
        <w:rPr>
          <w:rFonts w:hint="default" w:ascii="Times New Roman" w:hAnsi="Times New Roman" w:eastAsia="仿宋_GB2312" w:cs="Times New Roman"/>
          <w:color w:val="auto"/>
          <w:spacing w:val="0"/>
          <w:w w:val="100"/>
          <w:kern w:val="2"/>
          <w:position w:val="0"/>
          <w:sz w:val="30"/>
          <w:szCs w:val="22"/>
          <w:highlight w:val="none"/>
          <w:shd w:val="clear" w:color="auto" w:fill="auto"/>
          <w:lang w:eastAsia="zh-CN" w:bidi="ar-SA"/>
        </w:rPr>
      </w:pPr>
    </w:p>
    <w:p w14:paraId="2D762A80">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center"/>
        <w:textAlignment w:val="auto"/>
        <w:rPr>
          <w:rFonts w:hint="default" w:ascii="Times New Roman" w:hAnsi="Times New Roman" w:eastAsia="楷体_GB2312" w:cs="Times New Roman"/>
          <w:b w:val="0"/>
          <w:bCs w:val="0"/>
          <w:color w:val="auto"/>
          <w:spacing w:val="0"/>
          <w:w w:val="100"/>
          <w:kern w:val="2"/>
          <w:position w:val="0"/>
          <w:sz w:val="36"/>
          <w:szCs w:val="36"/>
          <w:highlight w:val="none"/>
          <w:shd w:val="clear" w:color="auto" w:fill="auto"/>
          <w:lang w:val="en-US" w:eastAsia="zh-CN" w:bidi="ar-SA"/>
        </w:rPr>
      </w:pPr>
    </w:p>
    <w:p w14:paraId="2B5DC2C9">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center"/>
        <w:textAlignment w:val="auto"/>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Hans" w:bidi="ar-SA"/>
        </w:rPr>
      </w:pP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CN" w:bidi="ar-SA"/>
        </w:rPr>
        <w:t>津市市农业农村局      津市市财政局</w:t>
      </w:r>
    </w:p>
    <w:p w14:paraId="433FCF0B">
      <w:pPr>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right="0"/>
        <w:jc w:val="center"/>
        <w:textAlignment w:val="auto"/>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pP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202</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val="en-US" w:eastAsia="zh-CN" w:bidi="ar-SA"/>
        </w:rPr>
        <w:t>5</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年</w:t>
      </w:r>
      <w:r>
        <w:rPr>
          <w:rFonts w:hint="eastAsia" w:eastAsia="楷体_GB2312" w:cs="Times New Roman"/>
          <w:b/>
          <w:bCs/>
          <w:color w:val="auto"/>
          <w:spacing w:val="0"/>
          <w:w w:val="100"/>
          <w:kern w:val="2"/>
          <w:position w:val="0"/>
          <w:sz w:val="36"/>
          <w:szCs w:val="36"/>
          <w:highlight w:val="none"/>
          <w:shd w:val="clear" w:color="auto" w:fill="auto"/>
          <w:lang w:val="en-US" w:eastAsia="zh-CN" w:bidi="ar-SA"/>
        </w:rPr>
        <w:t>9</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月</w:t>
      </w:r>
      <w:r>
        <w:rPr>
          <w:rFonts w:hint="eastAsia" w:eastAsia="楷体_GB2312" w:cs="Times New Roman"/>
          <w:b/>
          <w:bCs/>
          <w:color w:val="auto"/>
          <w:spacing w:val="0"/>
          <w:w w:val="100"/>
          <w:kern w:val="2"/>
          <w:position w:val="0"/>
          <w:sz w:val="36"/>
          <w:szCs w:val="36"/>
          <w:highlight w:val="none"/>
          <w:shd w:val="clear" w:color="auto" w:fill="auto"/>
          <w:lang w:val="en-US" w:eastAsia="zh-CN" w:bidi="ar-SA"/>
        </w:rPr>
        <w:t>10</w:t>
      </w:r>
      <w:r>
        <w:rPr>
          <w:rFonts w:hint="default" w:ascii="Times New Roman" w:hAnsi="Times New Roman" w:eastAsia="楷体_GB2312" w:cs="Times New Roman"/>
          <w:b/>
          <w:bCs/>
          <w:color w:val="auto"/>
          <w:spacing w:val="0"/>
          <w:w w:val="100"/>
          <w:kern w:val="2"/>
          <w:position w:val="0"/>
          <w:sz w:val="36"/>
          <w:szCs w:val="36"/>
          <w:highlight w:val="none"/>
          <w:shd w:val="clear" w:color="auto" w:fill="auto"/>
          <w:lang w:eastAsia="zh-CN" w:bidi="ar-SA"/>
        </w:rPr>
        <w:t>日</w:t>
      </w:r>
    </w:p>
    <w:p w14:paraId="60B6148B">
      <w:pPr>
        <w:bidi w:val="0"/>
        <w:jc w:val="left"/>
        <w:rPr>
          <w:rFonts w:hint="default" w:ascii="Times New Roman" w:hAnsi="Times New Roman" w:eastAsia="Times New Roman" w:cs="Times New Roman"/>
          <w:color w:val="000000"/>
          <w:spacing w:val="0"/>
          <w:w w:val="100"/>
          <w:position w:val="0"/>
          <w:sz w:val="24"/>
          <w:szCs w:val="24"/>
          <w:lang w:val="en-US" w:eastAsia="en-US" w:bidi="en-US"/>
        </w:rPr>
        <w:sectPr>
          <w:footerReference r:id="rId5" w:type="default"/>
          <w:pgSz w:w="11906" w:h="16838"/>
          <w:pgMar w:top="1440" w:right="1800" w:bottom="1440" w:left="1800" w:header="851" w:footer="397" w:gutter="0"/>
          <w:pgBorders>
            <w:top w:val="none" w:sz="0" w:space="0"/>
            <w:left w:val="none" w:sz="0" w:space="0"/>
            <w:bottom w:val="none" w:sz="0" w:space="0"/>
            <w:right w:val="none" w:sz="0" w:space="0"/>
          </w:pgBorders>
          <w:pgNumType w:fmt="upperRoman" w:start="1"/>
          <w:cols w:space="720" w:num="1"/>
          <w:docGrid w:type="lines" w:linePitch="381" w:charSpace="0"/>
        </w:sectPr>
      </w:pPr>
    </w:p>
    <w:sdt>
      <w:sdtPr>
        <w:rPr>
          <w:rFonts w:hint="default" w:ascii="Times New Roman" w:hAnsi="Times New Roman" w:eastAsia="宋体" w:cs="Times New Roman"/>
          <w:color w:val="000000"/>
          <w:spacing w:val="0"/>
          <w:w w:val="100"/>
          <w:position w:val="0"/>
          <w:sz w:val="36"/>
          <w:szCs w:val="36"/>
          <w:shd w:val="clear" w:color="auto" w:fill="auto"/>
          <w:lang w:val="en-US" w:eastAsia="en-US" w:bidi="en-US"/>
        </w:rPr>
        <w:id w:val="147474989"/>
        <w15:color w:val="DBDBDB"/>
        <w:docPartObj>
          <w:docPartGallery w:val="Table of Contents"/>
          <w:docPartUnique/>
        </w:docPartObj>
      </w:sdtPr>
      <w:sdtEndPr>
        <w:rPr>
          <w:rFonts w:hint="default" w:ascii="Times New Roman" w:hAnsi="Times New Roman" w:eastAsia="仿宋_GB2312" w:cs="Times New Roman"/>
          <w:color w:val="000000"/>
          <w:spacing w:val="0"/>
          <w:w w:val="100"/>
          <w:position w:val="0"/>
          <w:sz w:val="24"/>
          <w:szCs w:val="24"/>
          <w:shd w:val="clear" w:color="auto" w:fill="auto"/>
          <w:lang w:val="en-US" w:eastAsia="en-US" w:bidi="en-US"/>
        </w:rPr>
      </w:sdtEndPr>
      <w:sdtContent>
        <w:p w14:paraId="529978A4">
          <w:pPr>
            <w:spacing w:before="0" w:beforeLines="0" w:after="0" w:afterLines="0" w:line="240" w:lineRule="auto"/>
            <w:ind w:left="0" w:leftChars="0" w:right="0" w:rightChars="0" w:firstLine="0" w:firstLineChars="0"/>
            <w:jc w:val="center"/>
            <w:rPr>
              <w:rFonts w:hint="default" w:ascii="Times New Roman" w:hAnsi="Times New Roman" w:cs="Times New Roman"/>
              <w:sz w:val="36"/>
              <w:szCs w:val="36"/>
            </w:rPr>
          </w:pPr>
          <w:bookmarkStart w:id="1" w:name="_Toc15372"/>
          <w:bookmarkStart w:id="2" w:name="_Toc16452"/>
          <w:bookmarkStart w:id="3" w:name="_Toc9118"/>
          <w:bookmarkStart w:id="4" w:name="_Toc31578"/>
          <w:bookmarkStart w:id="5" w:name="_Toc20293"/>
          <w:bookmarkStart w:id="6" w:name="_Toc4863"/>
          <w:r>
            <w:rPr>
              <w:rFonts w:hint="default" w:ascii="Times New Roman" w:hAnsi="Times New Roman" w:eastAsia="黑体" w:cs="Times New Roman"/>
              <w:b/>
              <w:bCs/>
              <w:sz w:val="36"/>
              <w:szCs w:val="36"/>
            </w:rPr>
            <w:t>目</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录</w:t>
          </w:r>
        </w:p>
        <w:p w14:paraId="70E7D954">
          <w:pPr>
            <w:pStyle w:val="13"/>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_Toc229311772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highlight w:val="none"/>
              <w:lang w:val="en-US" w:eastAsia="zh-CN" w:bidi="ar-SA"/>
            </w:rPr>
            <w:t>一、基本情况</w:t>
          </w:r>
          <w:r>
            <w:rPr>
              <w:sz w:val="28"/>
              <w:szCs w:val="28"/>
            </w:rPr>
            <w:tab/>
          </w:r>
          <w:r>
            <w:rPr>
              <w:sz w:val="28"/>
              <w:szCs w:val="28"/>
            </w:rPr>
            <w:fldChar w:fldCharType="begin"/>
          </w:r>
          <w:r>
            <w:rPr>
              <w:sz w:val="28"/>
              <w:szCs w:val="28"/>
            </w:rPr>
            <w:instrText xml:space="preserve"> PAGEREF _Toc229311772 \h </w:instrText>
          </w:r>
          <w:r>
            <w:rPr>
              <w:sz w:val="28"/>
              <w:szCs w:val="28"/>
            </w:rPr>
            <w:fldChar w:fldCharType="separate"/>
          </w:r>
          <w:r>
            <w:rPr>
              <w:sz w:val="28"/>
              <w:szCs w:val="28"/>
            </w:rPr>
            <w:t>1</w:t>
          </w:r>
          <w:r>
            <w:rPr>
              <w:sz w:val="28"/>
              <w:szCs w:val="28"/>
            </w:rPr>
            <w:fldChar w:fldCharType="end"/>
          </w:r>
          <w:r>
            <w:rPr>
              <w:rFonts w:hint="default" w:ascii="Times New Roman" w:hAnsi="Times New Roman" w:cs="Times New Roman"/>
              <w:sz w:val="28"/>
              <w:szCs w:val="28"/>
            </w:rPr>
            <w:fldChar w:fldCharType="end"/>
          </w:r>
        </w:p>
        <w:p w14:paraId="6FADD0B0">
          <w:pPr>
            <w:pStyle w:val="13"/>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_Toc1457289286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highlight w:val="none"/>
              <w:lang w:val="en-US" w:eastAsia="zh-CN" w:bidi="ar-SA"/>
            </w:rPr>
            <w:t>二、思路目标</w:t>
          </w:r>
          <w:r>
            <w:rPr>
              <w:sz w:val="28"/>
              <w:szCs w:val="28"/>
            </w:rPr>
            <w:tab/>
          </w:r>
          <w:r>
            <w:rPr>
              <w:sz w:val="28"/>
              <w:szCs w:val="28"/>
            </w:rPr>
            <w:fldChar w:fldCharType="begin"/>
          </w:r>
          <w:r>
            <w:rPr>
              <w:sz w:val="28"/>
              <w:szCs w:val="28"/>
            </w:rPr>
            <w:instrText xml:space="preserve"> PAGEREF _Toc1457289286 \h </w:instrText>
          </w:r>
          <w:r>
            <w:rPr>
              <w:sz w:val="28"/>
              <w:szCs w:val="28"/>
            </w:rPr>
            <w:fldChar w:fldCharType="separate"/>
          </w:r>
          <w:r>
            <w:rPr>
              <w:sz w:val="28"/>
              <w:szCs w:val="28"/>
            </w:rPr>
            <w:t>3</w:t>
          </w:r>
          <w:r>
            <w:rPr>
              <w:sz w:val="28"/>
              <w:szCs w:val="28"/>
            </w:rPr>
            <w:fldChar w:fldCharType="end"/>
          </w:r>
          <w:r>
            <w:rPr>
              <w:rFonts w:hint="default" w:ascii="Times New Roman" w:hAnsi="Times New Roman" w:cs="Times New Roman"/>
              <w:sz w:val="28"/>
              <w:szCs w:val="28"/>
            </w:rPr>
            <w:fldChar w:fldCharType="end"/>
          </w:r>
        </w:p>
        <w:p w14:paraId="0187CE14">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_Toc610035767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kern w:val="2"/>
              <w:sz w:val="28"/>
              <w:szCs w:val="28"/>
              <w:highlight w:val="none"/>
              <w:lang w:val="en-US" w:eastAsia="zh-CN" w:bidi="ar-SA"/>
            </w:rPr>
            <w:t>（</w:t>
          </w:r>
          <w:r>
            <w:rPr>
              <w:rFonts w:hint="eastAsia" w:eastAsia="楷体_GB2312" w:cs="Times New Roman"/>
              <w:bCs w:val="0"/>
              <w:kern w:val="2"/>
              <w:sz w:val="28"/>
              <w:szCs w:val="28"/>
              <w:highlight w:val="none"/>
              <w:lang w:val="en-US" w:eastAsia="zh-CN" w:bidi="ar-SA"/>
            </w:rPr>
            <w:t>一</w:t>
          </w:r>
          <w:r>
            <w:rPr>
              <w:rFonts w:hint="default" w:ascii="Times New Roman" w:hAnsi="Times New Roman" w:eastAsia="楷体_GB2312" w:cs="Times New Roman"/>
              <w:bCs w:val="0"/>
              <w:kern w:val="2"/>
              <w:sz w:val="28"/>
              <w:szCs w:val="28"/>
              <w:highlight w:val="none"/>
              <w:lang w:val="en-US" w:eastAsia="zh-CN" w:bidi="ar-SA"/>
            </w:rPr>
            <w:t>）建设思路</w:t>
          </w:r>
          <w:r>
            <w:rPr>
              <w:sz w:val="28"/>
              <w:szCs w:val="28"/>
            </w:rPr>
            <w:tab/>
          </w:r>
          <w:r>
            <w:rPr>
              <w:sz w:val="28"/>
              <w:szCs w:val="28"/>
            </w:rPr>
            <w:fldChar w:fldCharType="begin"/>
          </w:r>
          <w:r>
            <w:rPr>
              <w:sz w:val="28"/>
              <w:szCs w:val="28"/>
            </w:rPr>
            <w:instrText xml:space="preserve"> PAGEREF _Toc610035767 \h </w:instrText>
          </w:r>
          <w:r>
            <w:rPr>
              <w:sz w:val="28"/>
              <w:szCs w:val="28"/>
            </w:rPr>
            <w:fldChar w:fldCharType="separate"/>
          </w:r>
          <w:r>
            <w:rPr>
              <w:sz w:val="28"/>
              <w:szCs w:val="28"/>
            </w:rPr>
            <w:t>3</w:t>
          </w:r>
          <w:r>
            <w:rPr>
              <w:sz w:val="28"/>
              <w:szCs w:val="28"/>
            </w:rPr>
            <w:fldChar w:fldCharType="end"/>
          </w:r>
          <w:r>
            <w:rPr>
              <w:rFonts w:hint="default" w:ascii="Times New Roman" w:hAnsi="Times New Roman" w:cs="Times New Roman"/>
              <w:sz w:val="28"/>
              <w:szCs w:val="28"/>
            </w:rPr>
            <w:fldChar w:fldCharType="end"/>
          </w:r>
        </w:p>
        <w:p w14:paraId="76BCFBA9">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_Toc784205191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kern w:val="2"/>
              <w:sz w:val="28"/>
              <w:szCs w:val="28"/>
              <w:highlight w:val="none"/>
              <w:lang w:val="en-US" w:eastAsia="zh-CN" w:bidi="ar-SA"/>
            </w:rPr>
            <w:t>（</w:t>
          </w:r>
          <w:r>
            <w:rPr>
              <w:rFonts w:hint="eastAsia" w:eastAsia="楷体_GB2312" w:cs="Times New Roman"/>
              <w:bCs w:val="0"/>
              <w:kern w:val="2"/>
              <w:sz w:val="28"/>
              <w:szCs w:val="28"/>
              <w:highlight w:val="none"/>
              <w:lang w:val="en-US" w:eastAsia="zh-CN" w:bidi="ar-SA"/>
            </w:rPr>
            <w:t>二</w:t>
          </w:r>
          <w:r>
            <w:rPr>
              <w:rFonts w:hint="default" w:ascii="Times New Roman" w:hAnsi="Times New Roman" w:eastAsia="楷体_GB2312" w:cs="Times New Roman"/>
              <w:bCs w:val="0"/>
              <w:kern w:val="2"/>
              <w:sz w:val="28"/>
              <w:szCs w:val="28"/>
              <w:highlight w:val="none"/>
              <w:lang w:val="en-US" w:eastAsia="zh-CN" w:bidi="ar-SA"/>
            </w:rPr>
            <w:t>）总体目标</w:t>
          </w:r>
          <w:r>
            <w:rPr>
              <w:sz w:val="28"/>
              <w:szCs w:val="28"/>
            </w:rPr>
            <w:tab/>
          </w:r>
          <w:r>
            <w:rPr>
              <w:sz w:val="28"/>
              <w:szCs w:val="28"/>
            </w:rPr>
            <w:fldChar w:fldCharType="begin"/>
          </w:r>
          <w:r>
            <w:rPr>
              <w:sz w:val="28"/>
              <w:szCs w:val="28"/>
            </w:rPr>
            <w:instrText xml:space="preserve"> PAGEREF _Toc784205191 \h </w:instrText>
          </w:r>
          <w:r>
            <w:rPr>
              <w:sz w:val="28"/>
              <w:szCs w:val="28"/>
            </w:rPr>
            <w:fldChar w:fldCharType="separate"/>
          </w:r>
          <w:r>
            <w:rPr>
              <w:sz w:val="28"/>
              <w:szCs w:val="28"/>
            </w:rPr>
            <w:t>4</w:t>
          </w:r>
          <w:r>
            <w:rPr>
              <w:sz w:val="28"/>
              <w:szCs w:val="28"/>
            </w:rPr>
            <w:fldChar w:fldCharType="end"/>
          </w:r>
          <w:r>
            <w:rPr>
              <w:rFonts w:hint="default" w:ascii="Times New Roman" w:hAnsi="Times New Roman" w:cs="Times New Roman"/>
              <w:sz w:val="28"/>
              <w:szCs w:val="28"/>
            </w:rPr>
            <w:fldChar w:fldCharType="end"/>
          </w:r>
        </w:p>
        <w:p w14:paraId="5346C738">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_Toc1029503498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kern w:val="2"/>
              <w:sz w:val="28"/>
              <w:szCs w:val="28"/>
              <w:highlight w:val="none"/>
              <w:lang w:val="en-US" w:eastAsia="zh-CN" w:bidi="ar-SA"/>
            </w:rPr>
            <w:t>（</w:t>
          </w:r>
          <w:r>
            <w:rPr>
              <w:rFonts w:hint="eastAsia" w:eastAsia="楷体_GB2312" w:cs="Times New Roman"/>
              <w:bCs w:val="0"/>
              <w:kern w:val="2"/>
              <w:sz w:val="28"/>
              <w:szCs w:val="28"/>
              <w:highlight w:val="none"/>
              <w:lang w:val="en-US" w:eastAsia="zh-CN" w:bidi="ar-SA"/>
            </w:rPr>
            <w:t>三</w:t>
          </w:r>
          <w:r>
            <w:rPr>
              <w:rFonts w:hint="default" w:ascii="Times New Roman" w:hAnsi="Times New Roman" w:eastAsia="楷体_GB2312" w:cs="Times New Roman"/>
              <w:bCs w:val="0"/>
              <w:kern w:val="2"/>
              <w:sz w:val="28"/>
              <w:szCs w:val="28"/>
              <w:highlight w:val="none"/>
              <w:lang w:val="en-US" w:eastAsia="zh-CN" w:bidi="ar-SA"/>
            </w:rPr>
            <w:t>）具体目标</w:t>
          </w:r>
          <w:r>
            <w:rPr>
              <w:sz w:val="28"/>
              <w:szCs w:val="28"/>
            </w:rPr>
            <w:tab/>
          </w:r>
          <w:r>
            <w:rPr>
              <w:sz w:val="28"/>
              <w:szCs w:val="28"/>
            </w:rPr>
            <w:fldChar w:fldCharType="begin"/>
          </w:r>
          <w:r>
            <w:rPr>
              <w:sz w:val="28"/>
              <w:szCs w:val="28"/>
            </w:rPr>
            <w:instrText xml:space="preserve"> PAGEREF _Toc1029503498 \h </w:instrText>
          </w:r>
          <w:r>
            <w:rPr>
              <w:sz w:val="28"/>
              <w:szCs w:val="28"/>
            </w:rPr>
            <w:fldChar w:fldCharType="separate"/>
          </w:r>
          <w:r>
            <w:rPr>
              <w:sz w:val="28"/>
              <w:szCs w:val="28"/>
            </w:rPr>
            <w:t>4</w:t>
          </w:r>
          <w:r>
            <w:rPr>
              <w:sz w:val="28"/>
              <w:szCs w:val="28"/>
            </w:rPr>
            <w:fldChar w:fldCharType="end"/>
          </w:r>
          <w:r>
            <w:rPr>
              <w:rFonts w:hint="default" w:ascii="Times New Roman" w:hAnsi="Times New Roman" w:cs="Times New Roman"/>
              <w:sz w:val="28"/>
              <w:szCs w:val="28"/>
            </w:rPr>
            <w:fldChar w:fldCharType="end"/>
          </w:r>
        </w:p>
        <w:p w14:paraId="339288E7">
          <w:pPr>
            <w:pStyle w:val="13"/>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_Toc589547007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highlight w:val="none"/>
              <w:lang w:val="en-US" w:eastAsia="zh-CN" w:bidi="ar-SA"/>
            </w:rPr>
            <w:t>三、建设内容</w:t>
          </w:r>
          <w:r>
            <w:rPr>
              <w:sz w:val="28"/>
              <w:szCs w:val="28"/>
            </w:rPr>
            <w:tab/>
          </w:r>
          <w:r>
            <w:rPr>
              <w:sz w:val="28"/>
              <w:szCs w:val="28"/>
            </w:rPr>
            <w:fldChar w:fldCharType="begin"/>
          </w:r>
          <w:r>
            <w:rPr>
              <w:sz w:val="28"/>
              <w:szCs w:val="28"/>
            </w:rPr>
            <w:instrText xml:space="preserve"> PAGEREF _Toc589547007 \h </w:instrText>
          </w:r>
          <w:r>
            <w:rPr>
              <w:sz w:val="28"/>
              <w:szCs w:val="28"/>
            </w:rPr>
            <w:fldChar w:fldCharType="separate"/>
          </w:r>
          <w:r>
            <w:rPr>
              <w:sz w:val="28"/>
              <w:szCs w:val="28"/>
            </w:rPr>
            <w:t>6</w:t>
          </w:r>
          <w:r>
            <w:rPr>
              <w:sz w:val="28"/>
              <w:szCs w:val="28"/>
            </w:rPr>
            <w:fldChar w:fldCharType="end"/>
          </w:r>
          <w:r>
            <w:rPr>
              <w:rFonts w:hint="default" w:ascii="Times New Roman" w:hAnsi="Times New Roman" w:cs="Times New Roman"/>
              <w:sz w:val="28"/>
              <w:szCs w:val="28"/>
            </w:rPr>
            <w:fldChar w:fldCharType="end"/>
          </w:r>
        </w:p>
        <w:p w14:paraId="52108782">
          <w:pPr>
            <w:pStyle w:val="13"/>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_Toc26999391 </w:instrText>
          </w:r>
          <w:r>
            <w:rPr>
              <w:rFonts w:hint="default" w:ascii="Times New Roman" w:hAnsi="Times New Roman" w:cs="Times New Roman"/>
              <w:sz w:val="28"/>
              <w:szCs w:val="28"/>
            </w:rPr>
            <w:fldChar w:fldCharType="separate"/>
          </w:r>
          <w:r>
            <w:rPr>
              <w:rFonts w:hint="eastAsia" w:eastAsia="黑体" w:cs="Times New Roman"/>
              <w:bCs w:val="0"/>
              <w:i w:val="0"/>
              <w:iCs w:val="0"/>
              <w:caps w:val="0"/>
              <w:smallCaps w:val="0"/>
              <w:snapToGrid w:val="0"/>
              <w:vanish w:val="0"/>
              <w:spacing w:val="0"/>
              <w:w w:val="100"/>
              <w:kern w:val="0"/>
              <w:position w:val="0"/>
              <w:sz w:val="28"/>
              <w:szCs w:val="28"/>
              <w:highlight w:val="none"/>
              <w:shd w:val="clear" w:fill="auto"/>
              <w:vertAlign w:val="baseline"/>
              <w:lang w:val="en-US" w:eastAsia="zh-CN" w:bidi="ar-SA"/>
            </w:rPr>
            <w:t>四</w:t>
          </w:r>
          <w:r>
            <w:rPr>
              <w:rFonts w:hint="default" w:ascii="Times New Roman" w:hAnsi="Times New Roman" w:eastAsia="黑体" w:cs="Times New Roman"/>
              <w:bCs w:val="0"/>
              <w:i w:val="0"/>
              <w:iCs w:val="0"/>
              <w:caps w:val="0"/>
              <w:smallCaps w:val="0"/>
              <w:snapToGrid w:val="0"/>
              <w:vanish w:val="0"/>
              <w:spacing w:val="0"/>
              <w:w w:val="100"/>
              <w:kern w:val="0"/>
              <w:position w:val="0"/>
              <w:sz w:val="28"/>
              <w:szCs w:val="28"/>
              <w:highlight w:val="none"/>
              <w:shd w:val="clear" w:fill="auto"/>
              <w:vertAlign w:val="baseline"/>
              <w:lang w:val="en-US" w:eastAsia="zh-CN" w:bidi="ar-SA"/>
            </w:rPr>
            <w:t>、</w:t>
          </w:r>
          <w:r>
            <w:rPr>
              <w:rFonts w:hint="default" w:ascii="Times New Roman" w:hAnsi="Times New Roman" w:eastAsia="黑体" w:cs="Times New Roman"/>
              <w:bCs/>
              <w:kern w:val="2"/>
              <w:sz w:val="28"/>
              <w:szCs w:val="28"/>
              <w:highlight w:val="none"/>
              <w:lang w:val="en-US" w:eastAsia="zh-CN" w:bidi="ar-SA"/>
            </w:rPr>
            <w:t>资金</w:t>
          </w:r>
          <w:r>
            <w:rPr>
              <w:rFonts w:hint="eastAsia" w:eastAsia="黑体" w:cs="Times New Roman"/>
              <w:bCs/>
              <w:kern w:val="2"/>
              <w:sz w:val="28"/>
              <w:szCs w:val="28"/>
              <w:highlight w:val="none"/>
              <w:lang w:val="en-US" w:eastAsia="zh-CN" w:bidi="ar-SA"/>
            </w:rPr>
            <w:t>估算</w:t>
          </w:r>
          <w:r>
            <w:rPr>
              <w:sz w:val="28"/>
              <w:szCs w:val="28"/>
            </w:rPr>
            <w:tab/>
          </w:r>
          <w:r>
            <w:rPr>
              <w:sz w:val="28"/>
              <w:szCs w:val="28"/>
            </w:rPr>
            <w:fldChar w:fldCharType="begin"/>
          </w:r>
          <w:r>
            <w:rPr>
              <w:sz w:val="28"/>
              <w:szCs w:val="28"/>
            </w:rPr>
            <w:instrText xml:space="preserve"> PAGEREF _Toc26999391 \h </w:instrText>
          </w:r>
          <w:r>
            <w:rPr>
              <w:sz w:val="28"/>
              <w:szCs w:val="28"/>
            </w:rPr>
            <w:fldChar w:fldCharType="separate"/>
          </w:r>
          <w:r>
            <w:rPr>
              <w:sz w:val="28"/>
              <w:szCs w:val="28"/>
            </w:rPr>
            <w:t>17</w:t>
          </w:r>
          <w:r>
            <w:rPr>
              <w:sz w:val="28"/>
              <w:szCs w:val="28"/>
            </w:rPr>
            <w:fldChar w:fldCharType="end"/>
          </w:r>
          <w:r>
            <w:rPr>
              <w:rFonts w:hint="default" w:ascii="Times New Roman" w:hAnsi="Times New Roman" w:cs="Times New Roman"/>
              <w:sz w:val="28"/>
              <w:szCs w:val="28"/>
            </w:rPr>
            <w:fldChar w:fldCharType="end"/>
          </w:r>
        </w:p>
        <w:p w14:paraId="480B8118">
          <w:pPr>
            <w:pStyle w:val="13"/>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_Toc659715020 </w:instrText>
          </w:r>
          <w:r>
            <w:rPr>
              <w:rFonts w:hint="default" w:ascii="Times New Roman" w:hAnsi="Times New Roman" w:cs="Times New Roman"/>
              <w:sz w:val="28"/>
              <w:szCs w:val="28"/>
            </w:rPr>
            <w:fldChar w:fldCharType="separate"/>
          </w:r>
          <w:r>
            <w:rPr>
              <w:rFonts w:hint="eastAsia" w:eastAsia="黑体" w:cs="Times New Roman"/>
              <w:bCs/>
              <w:kern w:val="44"/>
              <w:sz w:val="28"/>
              <w:szCs w:val="28"/>
              <w:highlight w:val="none"/>
              <w:lang w:val="en-US" w:eastAsia="zh-CN" w:bidi="ar-SA"/>
            </w:rPr>
            <w:t>五</w:t>
          </w:r>
          <w:r>
            <w:rPr>
              <w:rFonts w:hint="default" w:ascii="Times New Roman" w:hAnsi="Times New Roman" w:eastAsia="黑体" w:cs="Times New Roman"/>
              <w:bCs/>
              <w:kern w:val="44"/>
              <w:sz w:val="28"/>
              <w:szCs w:val="28"/>
              <w:highlight w:val="none"/>
              <w:lang w:val="en-US" w:eastAsia="zh-CN" w:bidi="ar-SA"/>
            </w:rPr>
            <w:t>、组织实施</w:t>
          </w:r>
          <w:r>
            <w:rPr>
              <w:sz w:val="28"/>
              <w:szCs w:val="28"/>
            </w:rPr>
            <w:tab/>
          </w:r>
          <w:r>
            <w:rPr>
              <w:sz w:val="28"/>
              <w:szCs w:val="28"/>
            </w:rPr>
            <w:fldChar w:fldCharType="begin"/>
          </w:r>
          <w:r>
            <w:rPr>
              <w:sz w:val="28"/>
              <w:szCs w:val="28"/>
            </w:rPr>
            <w:instrText xml:space="preserve"> PAGEREF _Toc659715020 \h </w:instrText>
          </w:r>
          <w:r>
            <w:rPr>
              <w:sz w:val="28"/>
              <w:szCs w:val="28"/>
            </w:rPr>
            <w:fldChar w:fldCharType="separate"/>
          </w:r>
          <w:r>
            <w:rPr>
              <w:sz w:val="28"/>
              <w:szCs w:val="28"/>
            </w:rPr>
            <w:t>18</w:t>
          </w:r>
          <w:r>
            <w:rPr>
              <w:sz w:val="28"/>
              <w:szCs w:val="28"/>
            </w:rPr>
            <w:fldChar w:fldCharType="end"/>
          </w:r>
          <w:r>
            <w:rPr>
              <w:rFonts w:hint="default" w:ascii="Times New Roman" w:hAnsi="Times New Roman" w:cs="Times New Roman"/>
              <w:sz w:val="28"/>
              <w:szCs w:val="28"/>
            </w:rPr>
            <w:fldChar w:fldCharType="end"/>
          </w:r>
        </w:p>
        <w:p w14:paraId="10E49C72">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_Toc372271679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pacing w:val="0"/>
              <w:w w:val="100"/>
              <w:kern w:val="2"/>
              <w:position w:val="0"/>
              <w:sz w:val="28"/>
              <w:szCs w:val="28"/>
              <w:highlight w:val="none"/>
              <w:shd w:val="clear" w:color="auto" w:fill="auto"/>
              <w:lang w:val="en-US" w:eastAsia="zh-CN" w:bidi="ar-SA"/>
            </w:rPr>
            <w:t>（一）强化组织领导</w:t>
          </w:r>
          <w:r>
            <w:rPr>
              <w:sz w:val="28"/>
              <w:szCs w:val="28"/>
            </w:rPr>
            <w:tab/>
          </w:r>
          <w:r>
            <w:rPr>
              <w:sz w:val="28"/>
              <w:szCs w:val="28"/>
            </w:rPr>
            <w:fldChar w:fldCharType="begin"/>
          </w:r>
          <w:r>
            <w:rPr>
              <w:sz w:val="28"/>
              <w:szCs w:val="28"/>
            </w:rPr>
            <w:instrText xml:space="preserve"> PAGEREF _Toc372271679 \h </w:instrText>
          </w:r>
          <w:r>
            <w:rPr>
              <w:sz w:val="28"/>
              <w:szCs w:val="28"/>
            </w:rPr>
            <w:fldChar w:fldCharType="separate"/>
          </w:r>
          <w:r>
            <w:rPr>
              <w:sz w:val="28"/>
              <w:szCs w:val="28"/>
            </w:rPr>
            <w:t>18</w:t>
          </w:r>
          <w:r>
            <w:rPr>
              <w:sz w:val="28"/>
              <w:szCs w:val="28"/>
            </w:rPr>
            <w:fldChar w:fldCharType="end"/>
          </w:r>
          <w:r>
            <w:rPr>
              <w:rFonts w:hint="default" w:ascii="Times New Roman" w:hAnsi="Times New Roman" w:cs="Times New Roman"/>
              <w:sz w:val="28"/>
              <w:szCs w:val="28"/>
            </w:rPr>
            <w:fldChar w:fldCharType="end"/>
          </w:r>
        </w:p>
        <w:p w14:paraId="1147B6D5">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_Toc1150245242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pacing w:val="0"/>
              <w:w w:val="100"/>
              <w:kern w:val="2"/>
              <w:position w:val="0"/>
              <w:sz w:val="28"/>
              <w:szCs w:val="28"/>
              <w:highlight w:val="none"/>
              <w:shd w:val="clear" w:color="auto" w:fill="auto"/>
              <w:lang w:val="en-US" w:eastAsia="zh-CN" w:bidi="ar-SA"/>
            </w:rPr>
            <w:t>（二）完善工作机制</w:t>
          </w:r>
          <w:r>
            <w:rPr>
              <w:sz w:val="28"/>
              <w:szCs w:val="28"/>
            </w:rPr>
            <w:tab/>
          </w:r>
          <w:r>
            <w:rPr>
              <w:sz w:val="28"/>
              <w:szCs w:val="28"/>
            </w:rPr>
            <w:fldChar w:fldCharType="begin"/>
          </w:r>
          <w:r>
            <w:rPr>
              <w:sz w:val="28"/>
              <w:szCs w:val="28"/>
            </w:rPr>
            <w:instrText xml:space="preserve"> PAGEREF _Toc1150245242 \h </w:instrText>
          </w:r>
          <w:r>
            <w:rPr>
              <w:sz w:val="28"/>
              <w:szCs w:val="28"/>
            </w:rPr>
            <w:fldChar w:fldCharType="separate"/>
          </w:r>
          <w:r>
            <w:rPr>
              <w:sz w:val="28"/>
              <w:szCs w:val="28"/>
            </w:rPr>
            <w:t>18</w:t>
          </w:r>
          <w:r>
            <w:rPr>
              <w:sz w:val="28"/>
              <w:szCs w:val="28"/>
            </w:rPr>
            <w:fldChar w:fldCharType="end"/>
          </w:r>
          <w:r>
            <w:rPr>
              <w:rFonts w:hint="default" w:ascii="Times New Roman" w:hAnsi="Times New Roman" w:cs="Times New Roman"/>
              <w:sz w:val="28"/>
              <w:szCs w:val="28"/>
            </w:rPr>
            <w:fldChar w:fldCharType="end"/>
          </w:r>
        </w:p>
        <w:p w14:paraId="4B1ADD3A">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_Toc523992000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pacing w:val="0"/>
              <w:w w:val="100"/>
              <w:kern w:val="2"/>
              <w:position w:val="0"/>
              <w:sz w:val="28"/>
              <w:szCs w:val="28"/>
              <w:highlight w:val="none"/>
              <w:shd w:val="clear" w:color="auto" w:fill="auto"/>
              <w:lang w:val="en-US" w:eastAsia="zh-CN" w:bidi="ar-SA"/>
            </w:rPr>
            <w:t>（三）强化监督监管</w:t>
          </w:r>
          <w:r>
            <w:rPr>
              <w:sz w:val="28"/>
              <w:szCs w:val="28"/>
            </w:rPr>
            <w:tab/>
          </w:r>
          <w:r>
            <w:rPr>
              <w:sz w:val="28"/>
              <w:szCs w:val="28"/>
            </w:rPr>
            <w:fldChar w:fldCharType="begin"/>
          </w:r>
          <w:r>
            <w:rPr>
              <w:sz w:val="28"/>
              <w:szCs w:val="28"/>
            </w:rPr>
            <w:instrText xml:space="preserve"> PAGEREF _Toc523992000 \h </w:instrText>
          </w:r>
          <w:r>
            <w:rPr>
              <w:sz w:val="28"/>
              <w:szCs w:val="28"/>
            </w:rPr>
            <w:fldChar w:fldCharType="separate"/>
          </w:r>
          <w:r>
            <w:rPr>
              <w:sz w:val="28"/>
              <w:szCs w:val="28"/>
            </w:rPr>
            <w:t>19</w:t>
          </w:r>
          <w:r>
            <w:rPr>
              <w:sz w:val="28"/>
              <w:szCs w:val="28"/>
            </w:rPr>
            <w:fldChar w:fldCharType="end"/>
          </w:r>
          <w:r>
            <w:rPr>
              <w:rFonts w:hint="default" w:ascii="Times New Roman" w:hAnsi="Times New Roman" w:cs="Times New Roman"/>
              <w:sz w:val="28"/>
              <w:szCs w:val="28"/>
            </w:rPr>
            <w:fldChar w:fldCharType="end"/>
          </w:r>
        </w:p>
        <w:p w14:paraId="6B1523DE">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_Toc2050591300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pacing w:val="0"/>
              <w:w w:val="100"/>
              <w:kern w:val="2"/>
              <w:position w:val="0"/>
              <w:sz w:val="28"/>
              <w:szCs w:val="28"/>
              <w:highlight w:val="none"/>
              <w:shd w:val="clear" w:color="auto" w:fill="auto"/>
              <w:lang w:val="en-US" w:eastAsia="zh-CN" w:bidi="ar-SA"/>
            </w:rPr>
            <w:t>（四）加强指导服务</w:t>
          </w:r>
          <w:r>
            <w:rPr>
              <w:sz w:val="28"/>
              <w:szCs w:val="28"/>
            </w:rPr>
            <w:tab/>
          </w:r>
          <w:r>
            <w:rPr>
              <w:sz w:val="28"/>
              <w:szCs w:val="28"/>
            </w:rPr>
            <w:fldChar w:fldCharType="begin"/>
          </w:r>
          <w:r>
            <w:rPr>
              <w:sz w:val="28"/>
              <w:szCs w:val="28"/>
            </w:rPr>
            <w:instrText xml:space="preserve"> PAGEREF _Toc2050591300 \h </w:instrText>
          </w:r>
          <w:r>
            <w:rPr>
              <w:sz w:val="28"/>
              <w:szCs w:val="28"/>
            </w:rPr>
            <w:fldChar w:fldCharType="separate"/>
          </w:r>
          <w:r>
            <w:rPr>
              <w:sz w:val="28"/>
              <w:szCs w:val="28"/>
            </w:rPr>
            <w:t>20</w:t>
          </w:r>
          <w:r>
            <w:rPr>
              <w:sz w:val="28"/>
              <w:szCs w:val="28"/>
            </w:rPr>
            <w:fldChar w:fldCharType="end"/>
          </w:r>
          <w:r>
            <w:rPr>
              <w:rFonts w:hint="default" w:ascii="Times New Roman" w:hAnsi="Times New Roman" w:cs="Times New Roman"/>
              <w:sz w:val="28"/>
              <w:szCs w:val="28"/>
            </w:rPr>
            <w:fldChar w:fldCharType="end"/>
          </w:r>
        </w:p>
        <w:p w14:paraId="343A9AD7">
          <w:pPr>
            <w:pStyle w:val="14"/>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_Toc1470412044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pacing w:val="0"/>
              <w:w w:val="100"/>
              <w:kern w:val="2"/>
              <w:position w:val="0"/>
              <w:sz w:val="28"/>
              <w:szCs w:val="28"/>
              <w:highlight w:val="none"/>
              <w:shd w:val="clear" w:color="auto" w:fill="auto"/>
              <w:lang w:val="en-US" w:eastAsia="zh-CN" w:bidi="ar-SA"/>
            </w:rPr>
            <w:t>（五）加强技术支撑</w:t>
          </w:r>
          <w:r>
            <w:rPr>
              <w:sz w:val="28"/>
              <w:szCs w:val="28"/>
            </w:rPr>
            <w:tab/>
          </w:r>
          <w:r>
            <w:rPr>
              <w:sz w:val="28"/>
              <w:szCs w:val="28"/>
            </w:rPr>
            <w:fldChar w:fldCharType="begin"/>
          </w:r>
          <w:r>
            <w:rPr>
              <w:sz w:val="28"/>
              <w:szCs w:val="28"/>
            </w:rPr>
            <w:instrText xml:space="preserve"> PAGEREF _Toc1470412044 \h </w:instrText>
          </w:r>
          <w:r>
            <w:rPr>
              <w:sz w:val="28"/>
              <w:szCs w:val="28"/>
            </w:rPr>
            <w:fldChar w:fldCharType="separate"/>
          </w:r>
          <w:r>
            <w:rPr>
              <w:sz w:val="28"/>
              <w:szCs w:val="28"/>
            </w:rPr>
            <w:t>21</w:t>
          </w:r>
          <w:r>
            <w:rPr>
              <w:sz w:val="28"/>
              <w:szCs w:val="28"/>
            </w:rPr>
            <w:fldChar w:fldCharType="end"/>
          </w:r>
          <w:r>
            <w:rPr>
              <w:rFonts w:hint="default" w:ascii="Times New Roman" w:hAnsi="Times New Roman" w:cs="Times New Roman"/>
              <w:sz w:val="28"/>
              <w:szCs w:val="28"/>
            </w:rPr>
            <w:fldChar w:fldCharType="end"/>
          </w:r>
        </w:p>
        <w:p w14:paraId="133CF774">
          <w:pPr>
            <w:pStyle w:val="13"/>
            <w:keepNext w:val="0"/>
            <w:keepLines w:val="0"/>
            <w:pageBreakBefore w:val="0"/>
            <w:widowControl w:val="0"/>
            <w:tabs>
              <w:tab w:val="right" w:leader="dot" w:pos="8504"/>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spacing w:val="0"/>
              <w:w w:val="100"/>
              <w:position w:val="0"/>
              <w:sz w:val="24"/>
              <w:szCs w:val="24"/>
              <w:shd w:val="clear" w:color="auto" w:fill="auto"/>
              <w:lang w:val="en-US" w:eastAsia="en-US" w:bidi="en-US"/>
            </w:rPr>
          </w:pPr>
          <w:r>
            <w:rPr>
              <w:rFonts w:hint="default" w:ascii="Times New Roman" w:hAnsi="Times New Roman" w:cs="Times New Roman"/>
              <w:sz w:val="28"/>
              <w:szCs w:val="28"/>
            </w:rPr>
            <w:fldChar w:fldCharType="end"/>
          </w:r>
        </w:p>
      </w:sdtContent>
    </w:sdt>
    <w:p w14:paraId="0DE5DA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0" w:firstLineChars="0"/>
        <w:jc w:val="left"/>
        <w:textAlignment w:val="auto"/>
        <w:outlineLvl w:val="9"/>
        <w:rPr>
          <w:rFonts w:hint="default" w:ascii="Times New Roman" w:hAnsi="Times New Roman" w:eastAsia="仿宋_GB2312" w:cs="Times New Roman"/>
          <w:color w:val="auto"/>
          <w:szCs w:val="28"/>
          <w:highlight w:val="none"/>
        </w:rPr>
      </w:pPr>
      <w:r>
        <w:rPr>
          <w:rFonts w:hint="default" w:ascii="Times New Roman" w:hAnsi="Times New Roman" w:eastAsia="宋体" w:cs="Times New Roman"/>
          <w:color w:val="auto"/>
          <w:spacing w:val="0"/>
          <w:w w:val="100"/>
          <w:position w:val="0"/>
          <w:sz w:val="21"/>
          <w:szCs w:val="24"/>
          <w:highlight w:val="none"/>
          <w:shd w:val="clear" w:color="auto" w:fill="auto"/>
          <w:lang w:val="en-US" w:eastAsia="zh-CN" w:bidi="en-US"/>
        </w:rPr>
        <w:t xml:space="preserve">  </w:t>
      </w:r>
      <w:bookmarkEnd w:id="1"/>
      <w:bookmarkEnd w:id="2"/>
      <w:bookmarkEnd w:id="3"/>
      <w:bookmarkEnd w:id="4"/>
      <w:bookmarkEnd w:id="5"/>
      <w:bookmarkEnd w:id="6"/>
      <w:bookmarkStart w:id="7" w:name="_Toc4560"/>
      <w:bookmarkStart w:id="8" w:name="_Toc27717"/>
      <w:bookmarkStart w:id="9" w:name="_Toc13608"/>
      <w:bookmarkStart w:id="10" w:name="_Toc3364"/>
      <w:bookmarkStart w:id="11" w:name="_Toc30147"/>
      <w:bookmarkStart w:id="12" w:name="_Toc15118"/>
    </w:p>
    <w:p w14:paraId="266DC5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0" w:firstLineChars="0"/>
        <w:jc w:val="both"/>
        <w:textAlignment w:val="auto"/>
        <w:outlineLvl w:val="0"/>
        <w:rPr>
          <w:rFonts w:hint="default" w:ascii="Times New Roman" w:hAnsi="Times New Roman" w:eastAsia="黑体" w:cs="Times New Roman"/>
          <w:bCs/>
          <w:color w:val="auto"/>
          <w:spacing w:val="0"/>
          <w:w w:val="100"/>
          <w:kern w:val="44"/>
          <w:position w:val="0"/>
          <w:sz w:val="36"/>
          <w:szCs w:val="36"/>
          <w:highlight w:val="none"/>
          <w:shd w:val="clear" w:fill="auto"/>
          <w:lang w:val="en-US" w:eastAsia="zh-CN" w:bidi="ar-SA"/>
        </w:rPr>
        <w:sectPr>
          <w:footerReference r:id="rId6" w:type="default"/>
          <w:pgSz w:w="11906" w:h="16838"/>
          <w:pgMar w:top="1587" w:right="1701" w:bottom="1587" w:left="1701" w:header="851" w:footer="624" w:gutter="0"/>
          <w:pgBorders>
            <w:top w:val="none" w:sz="0" w:space="0"/>
            <w:left w:val="none" w:sz="0" w:space="0"/>
            <w:bottom w:val="none" w:sz="0" w:space="0"/>
            <w:right w:val="none" w:sz="0" w:space="0"/>
          </w:pgBorders>
          <w:pgNumType w:fmt="upperRoman" w:start="1"/>
          <w:cols w:space="720" w:num="1"/>
          <w:rtlGutter w:val="0"/>
          <w:docGrid w:type="lines" w:linePitch="381" w:charSpace="0"/>
        </w:sectPr>
      </w:pPr>
    </w:p>
    <w:bookmarkEnd w:id="7"/>
    <w:bookmarkEnd w:id="8"/>
    <w:bookmarkEnd w:id="9"/>
    <w:bookmarkEnd w:id="10"/>
    <w:bookmarkEnd w:id="11"/>
    <w:bookmarkEnd w:id="12"/>
    <w:p w14:paraId="6B33856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360" w:lineRule="auto"/>
        <w:ind w:right="0" w:rightChars="0" w:firstLine="720" w:firstLineChars="200"/>
        <w:jc w:val="both"/>
        <w:textAlignment w:val="auto"/>
        <w:outlineLvl w:val="0"/>
        <w:rPr>
          <w:rFonts w:hint="default" w:ascii="Times New Roman" w:hAnsi="Times New Roman" w:eastAsia="黑体" w:cs="Times New Roman"/>
          <w:bCs/>
          <w:color w:val="auto"/>
          <w:kern w:val="44"/>
          <w:sz w:val="36"/>
          <w:szCs w:val="44"/>
          <w:highlight w:val="none"/>
          <w:lang w:val="en-US" w:eastAsia="zh-CN" w:bidi="ar-SA"/>
        </w:rPr>
      </w:pPr>
      <w:bookmarkStart w:id="13" w:name="_Toc17913"/>
      <w:bookmarkStart w:id="14" w:name="_Toc27260"/>
      <w:bookmarkStart w:id="15" w:name="_Toc32206"/>
      <w:bookmarkStart w:id="16" w:name="_Toc229311772"/>
      <w:bookmarkStart w:id="17" w:name="_Toc20311"/>
      <w:bookmarkStart w:id="18" w:name="_Toc29289"/>
      <w:r>
        <w:rPr>
          <w:rFonts w:hint="default" w:ascii="Times New Roman" w:hAnsi="Times New Roman" w:eastAsia="黑体" w:cs="Times New Roman"/>
          <w:bCs/>
          <w:color w:val="auto"/>
          <w:kern w:val="44"/>
          <w:sz w:val="36"/>
          <w:szCs w:val="44"/>
          <w:highlight w:val="none"/>
          <w:lang w:val="en-US" w:eastAsia="zh-CN" w:bidi="ar-SA"/>
        </w:rPr>
        <w:t>一、基本情况</w:t>
      </w:r>
      <w:bookmarkEnd w:id="13"/>
      <w:bookmarkEnd w:id="14"/>
      <w:bookmarkEnd w:id="15"/>
      <w:bookmarkEnd w:id="16"/>
      <w:bookmarkEnd w:id="17"/>
      <w:bookmarkEnd w:id="18"/>
    </w:p>
    <w:p w14:paraId="39EE5F9D">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rPr>
      </w:pPr>
      <w:bookmarkStart w:id="19" w:name="_Toc27887"/>
      <w:bookmarkStart w:id="20" w:name="_Toc4120"/>
      <w:bookmarkStart w:id="21" w:name="_Toc13077"/>
      <w:bookmarkStart w:id="22" w:name="_Toc10486"/>
      <w:bookmarkStart w:id="23" w:name="_Toc7273"/>
      <w:bookmarkStart w:id="24" w:name="_Toc27965"/>
      <w:bookmarkStart w:id="25" w:name="_Toc8107"/>
      <w:bookmarkStart w:id="26" w:name="_Toc1509762648"/>
      <w:bookmarkStart w:id="27" w:name="_Toc32736"/>
      <w:bookmarkStart w:id="28" w:name="_Toc30282"/>
      <w:r>
        <w:rPr>
          <w:rFonts w:hint="default" w:ascii="Times New Roman" w:hAnsi="Times New Roman" w:eastAsia="仿宋_GB2312" w:cs="Times New Roman"/>
          <w:bCs/>
          <w:color w:val="auto"/>
          <w:kern w:val="0"/>
          <w:sz w:val="32"/>
          <w:szCs w:val="32"/>
          <w:highlight w:val="none"/>
          <w:lang w:val="en-US" w:eastAsia="zh-CN"/>
        </w:rPr>
        <w:t>津市市地处湘北，依澧水而生，傍津设市而名，历史上是一座知名的码头商埠城市和重要的轻工业城市。现辖5个街道、4个乡镇，其中含1个省级高新区，总面积557.19平方千米，总人口28万。津市先后荣获国家卫生城市、全国平安县市、全国营商环境质量十佳县市、全国科技进步先进县市、全国村庄清洁行动先进县市等国家级荣誉和湖南省级文明城市、湖南省科技成果转移转化示范县、湖南省可持续发展实验区、湖南省生态文明建设示范县市、湖南省知识产权强县等省级荣誉。2019年、2020年农村人居环境整治工作获评省政府真抓实干激励，2021年被省政府推荐为全国先进。</w:t>
      </w:r>
    </w:p>
    <w:p w14:paraId="52873317">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津市市历来重视蔬菜产业发展，</w:t>
      </w:r>
      <w:r>
        <w:rPr>
          <w:rFonts w:hint="default" w:ascii="Times New Roman" w:hAnsi="Times New Roman" w:eastAsia="仿宋_GB2312" w:cs="Times New Roman"/>
          <w:color w:val="auto"/>
          <w:spacing w:val="9"/>
          <w:kern w:val="2"/>
          <w:sz w:val="32"/>
          <w:szCs w:val="32"/>
          <w:highlight w:val="none"/>
          <w:lang w:val="en-US" w:eastAsia="zh-CN" w:bidi="ar-SA"/>
        </w:rPr>
        <w:t>《全国蔬菜产业发展规划（2011-2020年）》中将津市列为湖南省蔬菜产业重点县。2024年，全市蔬菜（含食用菌）播种面积8.2万亩，年产量16.24万吨，全产业链总产值达11.5亿元。“津市藠果”为津市特有品种，是国家地理标志登记农产品，种植面积2.5万亩以上，获评“中国藠果之乡”、中国乡村特色农产品、全国特色农产品重要产业基地、国家绿色食品A级产品等国家级认证，产品享誉国内外。津市编制完成了</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《津市市“十四五”一特两辅脱贫主导特色产业发展规划》</w:t>
      </w:r>
      <w:r>
        <w:rPr>
          <w:rFonts w:hint="default" w:ascii="Times New Roman" w:hAnsi="Times New Roman" w:eastAsia="仿宋_GB2312" w:cs="Times New Roman"/>
          <w:color w:val="auto"/>
          <w:spacing w:val="9"/>
          <w:kern w:val="2"/>
          <w:sz w:val="32"/>
          <w:szCs w:val="32"/>
          <w:highlight w:val="none"/>
          <w:lang w:val="en-US" w:eastAsia="zh-CN" w:bidi="ar-SA"/>
        </w:rPr>
        <w:t>和《津市市藠果特色产业发展规划》，出台了一系列支持蔬菜等特色产业发展的配套政策。全市共有蔬菜规上企业9家（其中省级龙头企业4家，市级龙头企业5家），农民合作社81家，家庭农场79家，组织化程度高。全市拥有全国最大的乡镇藠果生产区和国内领先的藠果分级选果生产线，建成了湘西北最大的藠果洗果交易市场和冷链仓储中心和全省最大的藠果良繁基地，一二三产业深度融合，具有较为完善的产业链条。</w:t>
      </w:r>
    </w:p>
    <w:bookmarkEnd w:id="19"/>
    <w:bookmarkEnd w:id="20"/>
    <w:bookmarkEnd w:id="21"/>
    <w:bookmarkEnd w:id="22"/>
    <w:bookmarkEnd w:id="23"/>
    <w:bookmarkEnd w:id="24"/>
    <w:bookmarkEnd w:id="25"/>
    <w:bookmarkEnd w:id="26"/>
    <w:bookmarkEnd w:id="27"/>
    <w:bookmarkEnd w:id="28"/>
    <w:p w14:paraId="3F7A0E1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2"/>
        <w:rPr>
          <w:rFonts w:hint="default" w:ascii="Times New Roman" w:hAnsi="Times New Roman" w:eastAsia="仿宋_GB2312" w:cs="Times New Roman"/>
          <w:b/>
          <w:color w:val="auto"/>
          <w:sz w:val="32"/>
          <w:szCs w:val="32"/>
          <w:highlight w:val="none"/>
          <w:lang w:val="en-US" w:eastAsia="zh-CN"/>
        </w:rPr>
      </w:pPr>
      <w:bookmarkStart w:id="29" w:name="_Toc31367"/>
      <w:r>
        <w:rPr>
          <w:rFonts w:hint="default" w:ascii="Times New Roman" w:hAnsi="Times New Roman" w:eastAsia="仿宋_GB2312" w:cs="Times New Roman"/>
          <w:b/>
          <w:color w:val="auto"/>
          <w:sz w:val="32"/>
          <w:szCs w:val="32"/>
          <w:highlight w:val="none"/>
          <w:lang w:val="en-US" w:eastAsia="zh-CN"/>
        </w:rPr>
        <w:t>1.</w:t>
      </w:r>
      <w:r>
        <w:rPr>
          <w:rFonts w:hint="default" w:ascii="Times New Roman" w:hAnsi="Times New Roman" w:eastAsia="仿宋_GB2312" w:cs="Times New Roman"/>
          <w:b/>
          <w:color w:val="auto"/>
          <w:sz w:val="32"/>
          <w:szCs w:val="32"/>
          <w:highlight w:val="none"/>
          <w:lang w:val="en-US" w:eastAsia="zh-Hans"/>
        </w:rPr>
        <w:t>蔬菜</w:t>
      </w:r>
      <w:r>
        <w:rPr>
          <w:rFonts w:hint="default" w:ascii="Times New Roman" w:hAnsi="Times New Roman" w:eastAsia="仿宋_GB2312" w:cs="Times New Roman"/>
          <w:b/>
          <w:color w:val="auto"/>
          <w:sz w:val="32"/>
          <w:szCs w:val="32"/>
          <w:highlight w:val="none"/>
          <w:lang w:val="en-US" w:eastAsia="zh-CN"/>
        </w:rPr>
        <w:t>生产特色鲜明</w:t>
      </w:r>
      <w:bookmarkEnd w:id="29"/>
    </w:p>
    <w:p w14:paraId="776D160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0" w:firstLineChars="200"/>
        <w:jc w:val="both"/>
        <w:textAlignment w:val="auto"/>
        <w:outlineLvl w:val="9"/>
        <w:rPr>
          <w:rFonts w:hint="default" w:ascii="Times New Roman" w:hAnsi="Times New Roman" w:eastAsia="仿宋_GB2312" w:cs="Times New Roman"/>
          <w:bCs/>
          <w:color w:val="auto"/>
          <w:spacing w:val="0"/>
          <w:w w:val="100"/>
          <w:kern w:val="0"/>
          <w:position w:val="0"/>
          <w:sz w:val="32"/>
          <w:szCs w:val="32"/>
          <w:highlight w:val="none"/>
          <w:shd w:val="clear" w:fill="auto"/>
          <w:lang w:val="en-US" w:eastAsia="zh-CN" w:bidi="en-US"/>
        </w:rPr>
      </w:pPr>
      <w:r>
        <w:rPr>
          <w:rFonts w:hint="default" w:ascii="Times New Roman" w:hAnsi="Times New Roman" w:eastAsia="仿宋_GB2312" w:cs="Times New Roman"/>
          <w:bCs/>
          <w:color w:val="auto"/>
          <w:kern w:val="0"/>
          <w:sz w:val="32"/>
          <w:szCs w:val="32"/>
          <w:highlight w:val="none"/>
          <w:lang w:val="en-US" w:eastAsia="zh-CN"/>
        </w:rPr>
        <w:t>津市市委、市政府严格落实耕地保护制度，通过发展旱作蔬菜、稻-菜、稻-稻-菜等模式避免与水稻争田，同时积极推进土地适度规模经营和集约化生产，引导土地向蔬菜大户、家庭农场及合作社集中，全市适度规模经营占比达66%以上。2024年，全市蔬菜播种面积达8.2万亩，</w:t>
      </w:r>
      <w:r>
        <w:rPr>
          <w:rFonts w:hint="default" w:ascii="Times New Roman" w:hAnsi="Times New Roman" w:eastAsia="仿宋_GB2312" w:cs="Times New Roman"/>
          <w:bCs/>
          <w:color w:val="auto"/>
          <w:spacing w:val="0"/>
          <w:w w:val="100"/>
          <w:kern w:val="0"/>
          <w:position w:val="0"/>
          <w:sz w:val="32"/>
          <w:szCs w:val="32"/>
          <w:highlight w:val="none"/>
          <w:shd w:val="clear" w:fill="auto"/>
          <w:lang w:val="en-US" w:eastAsia="zh-CN" w:bidi="en-US"/>
        </w:rPr>
        <w:t>形成了以白衣镇为中心的藠果生产基地、毛里湖镇为中心的叶类菜生产基地、新洲镇为中心的食用菌和设施蔬菜生产基地，襄阳街街道为中心的城镇蔬菜生产基地</w:t>
      </w:r>
      <w:r>
        <w:rPr>
          <w:rFonts w:hint="default" w:ascii="Times New Roman" w:hAnsi="Times New Roman" w:eastAsia="仿宋_GB2312" w:cs="Times New Roman"/>
          <w:bCs/>
          <w:color w:val="auto"/>
          <w:kern w:val="0"/>
          <w:sz w:val="32"/>
          <w:szCs w:val="32"/>
          <w:highlight w:val="none"/>
          <w:lang w:val="en-US" w:eastAsia="zh-CN"/>
        </w:rPr>
        <w:t>；全市蔬菜总产量16.24万吨，综合产值11.5亿元。</w:t>
      </w:r>
    </w:p>
    <w:p w14:paraId="7C94D4F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2"/>
        <w:rPr>
          <w:rFonts w:hint="default" w:ascii="Times New Roman" w:hAnsi="Times New Roman" w:eastAsia="仿宋_GB2312" w:cs="Times New Roman"/>
          <w:b/>
          <w:color w:val="auto"/>
          <w:sz w:val="32"/>
          <w:szCs w:val="32"/>
          <w:highlight w:val="none"/>
          <w:lang w:val="en-US" w:eastAsia="zh-CN"/>
        </w:rPr>
      </w:pPr>
      <w:bookmarkStart w:id="30" w:name="_Toc32395"/>
      <w:r>
        <w:rPr>
          <w:rFonts w:hint="default" w:ascii="Times New Roman" w:hAnsi="Times New Roman" w:eastAsia="仿宋_GB2312" w:cs="Times New Roman"/>
          <w:b/>
          <w:color w:val="auto"/>
          <w:sz w:val="32"/>
          <w:szCs w:val="32"/>
          <w:highlight w:val="none"/>
          <w:lang w:val="en-US" w:eastAsia="zh-CN"/>
        </w:rPr>
        <w:t>2.产业延链全省前列</w:t>
      </w:r>
      <w:bookmarkEnd w:id="30"/>
    </w:p>
    <w:p w14:paraId="5A3FDB5D">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pPr>
      <w:r>
        <w:rPr>
          <w:rFonts w:hint="default" w:ascii="Times New Roman" w:hAnsi="Times New Roman" w:eastAsia="仿宋_GB2312" w:cs="Times New Roman"/>
          <w:bCs/>
          <w:color w:val="auto"/>
          <w:spacing w:val="0"/>
          <w:w w:val="100"/>
          <w:kern w:val="0"/>
          <w:position w:val="0"/>
          <w:sz w:val="32"/>
          <w:szCs w:val="32"/>
          <w:highlight w:val="none"/>
          <w:shd w:val="clear" w:color="auto" w:fill="auto"/>
          <w:lang w:val="en-US" w:eastAsia="zh-CN" w:bidi="en-US"/>
        </w:rPr>
        <w:t>市内蔬菜主产区均建有村级蔬菜产地初加工车间，配备清洗、分拣、预冷等初加工设施，实现本地蔬菜统一包装、分级销售，降低运输成本并保障产品附加值；建成1.4万立方米冷链物流集配中心和日处理500吨的藠果清洗平台，有效解决存储损耗问题。全市有蔬菜规上加工加工企业8家，年加工能力达10万吨以上，产业基本实现从种植、清洗、分拣、预冷到集中销售的全链条发展。2024年，全市蔬菜产地分级、分拣、包装等比例高达85%，净菜加工、预制菜等精深加工达到5万吨以上，蔬菜产业加工产值6.57亿元，农产品加工规模位居全省前列。</w:t>
      </w:r>
    </w:p>
    <w:p w14:paraId="6E3B0D3B">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648"/>
        <w:jc w:val="both"/>
        <w:textAlignment w:val="auto"/>
        <w:outlineLvl w:val="2"/>
        <w:rPr>
          <w:rFonts w:hint="default" w:ascii="Times New Roman" w:hAnsi="Times New Roman" w:eastAsia="仿宋_GB2312" w:cs="Times New Roman"/>
          <w:b/>
          <w:color w:val="auto"/>
          <w:spacing w:val="0"/>
          <w:sz w:val="32"/>
          <w:szCs w:val="32"/>
          <w:highlight w:val="none"/>
          <w:lang w:val="en-US" w:eastAsia="zh-CN"/>
        </w:rPr>
      </w:pPr>
      <w:bookmarkStart w:id="31" w:name="_Toc18221"/>
      <w:bookmarkStart w:id="32" w:name="_Toc10350"/>
      <w:bookmarkStart w:id="33" w:name="_Toc7721"/>
      <w:bookmarkStart w:id="34" w:name="_Toc26744"/>
      <w:bookmarkStart w:id="35" w:name="_Toc17074"/>
      <w:bookmarkStart w:id="36" w:name="_Toc1873"/>
      <w:bookmarkStart w:id="37" w:name="_Toc2061535631"/>
      <w:bookmarkStart w:id="38" w:name="_Toc16585"/>
      <w:bookmarkStart w:id="39" w:name="_Toc12389"/>
      <w:bookmarkStart w:id="40" w:name="_Toc16839"/>
      <w:bookmarkStart w:id="41" w:name="_Toc4800"/>
      <w:bookmarkStart w:id="42" w:name="_Toc20115"/>
      <w:r>
        <w:rPr>
          <w:rFonts w:hint="eastAsia" w:eastAsia="仿宋_GB2312" w:cs="Times New Roman"/>
          <w:b/>
          <w:color w:val="auto"/>
          <w:spacing w:val="0"/>
          <w:sz w:val="32"/>
          <w:szCs w:val="32"/>
          <w:highlight w:val="none"/>
          <w:lang w:val="en-US" w:eastAsia="zh-CN"/>
        </w:rPr>
        <w:t>3</w:t>
      </w:r>
      <w:r>
        <w:rPr>
          <w:rFonts w:hint="default" w:ascii="Times New Roman" w:hAnsi="Times New Roman" w:eastAsia="仿宋_GB2312" w:cs="Times New Roman"/>
          <w:b/>
          <w:color w:val="auto"/>
          <w:spacing w:val="0"/>
          <w:sz w:val="32"/>
          <w:szCs w:val="32"/>
          <w:highlight w:val="none"/>
          <w:lang w:val="en-US" w:eastAsia="zh-CN"/>
        </w:rPr>
        <w:t>.综合产值稳步提升</w:t>
      </w:r>
      <w:bookmarkEnd w:id="31"/>
      <w:bookmarkEnd w:id="32"/>
    </w:p>
    <w:p w14:paraId="1BB9FF8A">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648"/>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截至2024年底，津市蔬菜产业全产业链总产值达</w:t>
      </w:r>
      <w:r>
        <w:rPr>
          <w:rFonts w:hint="default" w:ascii="Times New Roman" w:hAnsi="Times New Roman" w:eastAsia="仿宋_GB2312" w:cs="Times New Roman"/>
          <w:color w:val="auto"/>
          <w:spacing w:val="0"/>
          <w:sz w:val="32"/>
          <w:szCs w:val="32"/>
          <w:highlight w:val="none"/>
          <w:lang w:val="en-US" w:eastAsia="zh-CN"/>
        </w:rPr>
        <w:t>11.5</w:t>
      </w:r>
      <w:r>
        <w:rPr>
          <w:rFonts w:hint="default" w:ascii="Times New Roman" w:hAnsi="Times New Roman" w:eastAsia="仿宋_GB2312" w:cs="Times New Roman"/>
          <w:color w:val="auto"/>
          <w:spacing w:val="0"/>
          <w:sz w:val="32"/>
          <w:szCs w:val="32"/>
          <w:highlight w:val="none"/>
          <w:lang w:eastAsia="zh-CN"/>
        </w:rPr>
        <w:t>亿元，其中：一产产值</w:t>
      </w:r>
      <w:r>
        <w:rPr>
          <w:rFonts w:hint="default" w:ascii="Times New Roman" w:hAnsi="Times New Roman" w:eastAsia="仿宋_GB2312" w:cs="Times New Roman"/>
          <w:color w:val="auto"/>
          <w:spacing w:val="0"/>
          <w:sz w:val="32"/>
          <w:szCs w:val="32"/>
          <w:highlight w:val="none"/>
          <w:lang w:val="en-US" w:eastAsia="zh-CN"/>
        </w:rPr>
        <w:t>3.25</w:t>
      </w:r>
      <w:r>
        <w:rPr>
          <w:rFonts w:hint="default" w:ascii="Times New Roman" w:hAnsi="Times New Roman" w:eastAsia="仿宋_GB2312" w:cs="Times New Roman"/>
          <w:color w:val="auto"/>
          <w:spacing w:val="0"/>
          <w:sz w:val="32"/>
          <w:szCs w:val="32"/>
          <w:highlight w:val="none"/>
          <w:lang w:eastAsia="zh-CN"/>
        </w:rPr>
        <w:t>亿元，二产产值</w:t>
      </w:r>
      <w:r>
        <w:rPr>
          <w:rFonts w:hint="default" w:ascii="Times New Roman" w:hAnsi="Times New Roman" w:eastAsia="仿宋_GB2312" w:cs="Times New Roman"/>
          <w:color w:val="auto"/>
          <w:spacing w:val="0"/>
          <w:sz w:val="32"/>
          <w:szCs w:val="32"/>
          <w:highlight w:val="none"/>
          <w:lang w:val="en-US" w:eastAsia="zh-CN"/>
        </w:rPr>
        <w:t>6.57</w:t>
      </w:r>
      <w:r>
        <w:rPr>
          <w:rFonts w:hint="default" w:ascii="Times New Roman" w:hAnsi="Times New Roman" w:eastAsia="仿宋_GB2312" w:cs="Times New Roman"/>
          <w:color w:val="auto"/>
          <w:spacing w:val="0"/>
          <w:sz w:val="32"/>
          <w:szCs w:val="32"/>
          <w:highlight w:val="none"/>
          <w:lang w:eastAsia="zh-CN"/>
        </w:rPr>
        <w:t>亿元，三产产值</w:t>
      </w:r>
      <w:r>
        <w:rPr>
          <w:rFonts w:hint="default" w:ascii="Times New Roman" w:hAnsi="Times New Roman" w:eastAsia="仿宋_GB2312" w:cs="Times New Roman"/>
          <w:color w:val="auto"/>
          <w:spacing w:val="0"/>
          <w:sz w:val="32"/>
          <w:szCs w:val="32"/>
          <w:highlight w:val="none"/>
          <w:lang w:val="en-US" w:eastAsia="zh-CN"/>
        </w:rPr>
        <w:t>1.68</w:t>
      </w:r>
      <w:r>
        <w:rPr>
          <w:rFonts w:hint="default" w:ascii="Times New Roman" w:hAnsi="Times New Roman" w:eastAsia="仿宋_GB2312" w:cs="Times New Roman"/>
          <w:color w:val="auto"/>
          <w:spacing w:val="0"/>
          <w:sz w:val="32"/>
          <w:szCs w:val="32"/>
          <w:highlight w:val="none"/>
          <w:lang w:eastAsia="zh-CN"/>
        </w:rPr>
        <w:t>亿元。</w:t>
      </w:r>
    </w:p>
    <w:bookmarkEnd w:id="33"/>
    <w:bookmarkEnd w:id="34"/>
    <w:bookmarkEnd w:id="35"/>
    <w:bookmarkEnd w:id="36"/>
    <w:bookmarkEnd w:id="37"/>
    <w:bookmarkEnd w:id="38"/>
    <w:bookmarkEnd w:id="39"/>
    <w:bookmarkEnd w:id="40"/>
    <w:bookmarkEnd w:id="41"/>
    <w:bookmarkEnd w:id="42"/>
    <w:p w14:paraId="691816CC">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0"/>
        <w:rPr>
          <w:rFonts w:hint="default" w:ascii="Times New Roman" w:hAnsi="Times New Roman" w:eastAsia="黑体" w:cs="Times New Roman"/>
          <w:bCs/>
          <w:color w:val="auto"/>
          <w:kern w:val="44"/>
          <w:sz w:val="32"/>
          <w:szCs w:val="32"/>
          <w:highlight w:val="none"/>
          <w:lang w:val="en-US" w:eastAsia="zh-CN" w:bidi="ar-SA"/>
        </w:rPr>
      </w:pPr>
      <w:bookmarkStart w:id="43" w:name="_Toc8671"/>
      <w:bookmarkStart w:id="44" w:name="_Toc25020"/>
      <w:bookmarkStart w:id="45" w:name="_Toc15987"/>
      <w:bookmarkStart w:id="46" w:name="_Toc17806"/>
      <w:bookmarkStart w:id="47" w:name="_Toc14979"/>
      <w:bookmarkStart w:id="48" w:name="_Toc4443"/>
      <w:bookmarkStart w:id="49" w:name="_Toc18087"/>
      <w:bookmarkStart w:id="50" w:name="_Toc1457289286"/>
      <w:r>
        <w:rPr>
          <w:rFonts w:hint="default" w:ascii="Times New Roman" w:hAnsi="Times New Roman" w:eastAsia="黑体" w:cs="Times New Roman"/>
          <w:bCs/>
          <w:color w:val="auto"/>
          <w:kern w:val="44"/>
          <w:sz w:val="32"/>
          <w:szCs w:val="32"/>
          <w:highlight w:val="none"/>
          <w:lang w:val="en-US" w:eastAsia="zh-CN" w:bidi="ar-SA"/>
        </w:rPr>
        <w:t>二、思路目标</w:t>
      </w:r>
      <w:bookmarkEnd w:id="43"/>
      <w:bookmarkEnd w:id="44"/>
      <w:bookmarkEnd w:id="45"/>
      <w:bookmarkEnd w:id="46"/>
      <w:bookmarkEnd w:id="47"/>
      <w:bookmarkEnd w:id="48"/>
      <w:bookmarkEnd w:id="49"/>
      <w:bookmarkEnd w:id="50"/>
    </w:p>
    <w:p w14:paraId="4D077C6A">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51" w:name="_Toc3583"/>
      <w:bookmarkStart w:id="52" w:name="_Toc8224"/>
      <w:bookmarkStart w:id="53" w:name="_Toc4971"/>
      <w:bookmarkStart w:id="54" w:name="_Toc11701"/>
      <w:bookmarkStart w:id="55" w:name="_Toc610035767"/>
      <w:bookmarkStart w:id="56" w:name="_Toc18140"/>
      <w:bookmarkStart w:id="57" w:name="_Toc9023"/>
      <w:bookmarkStart w:id="58" w:name="_Toc6828"/>
      <w:bookmarkStart w:id="59" w:name="_Toc3531"/>
      <w:bookmarkStart w:id="60" w:name="_Toc1392"/>
      <w:bookmarkStart w:id="61" w:name="_Toc18836"/>
      <w:r>
        <w:rPr>
          <w:rFonts w:hint="default" w:ascii="Times New Roman" w:hAnsi="Times New Roman" w:eastAsia="楷体_GB2312" w:cs="Times New Roman"/>
          <w:b/>
          <w:bCs w:val="0"/>
          <w:color w:val="auto"/>
          <w:kern w:val="2"/>
          <w:sz w:val="32"/>
          <w:szCs w:val="32"/>
          <w:highlight w:val="none"/>
          <w:lang w:val="en-US" w:eastAsia="zh-CN" w:bidi="ar-SA"/>
        </w:rPr>
        <w:t>（</w:t>
      </w:r>
      <w:r>
        <w:rPr>
          <w:rFonts w:hint="eastAsia" w:eastAsia="楷体_GB2312" w:cs="Times New Roman"/>
          <w:b/>
          <w:bCs w:val="0"/>
          <w:color w:val="auto"/>
          <w:kern w:val="2"/>
          <w:sz w:val="32"/>
          <w:szCs w:val="32"/>
          <w:highlight w:val="none"/>
          <w:lang w:val="en-US" w:eastAsia="zh-CN" w:bidi="ar-SA"/>
        </w:rPr>
        <w:t>一</w:t>
      </w:r>
      <w:r>
        <w:rPr>
          <w:rFonts w:hint="default" w:ascii="Times New Roman" w:hAnsi="Times New Roman" w:eastAsia="楷体_GB2312" w:cs="Times New Roman"/>
          <w:b/>
          <w:bCs w:val="0"/>
          <w:color w:val="auto"/>
          <w:kern w:val="2"/>
          <w:sz w:val="32"/>
          <w:szCs w:val="32"/>
          <w:highlight w:val="none"/>
          <w:lang w:val="en-US" w:eastAsia="zh-CN" w:bidi="ar-SA"/>
        </w:rPr>
        <w:t>）建设思路</w:t>
      </w:r>
      <w:bookmarkEnd w:id="51"/>
      <w:bookmarkEnd w:id="52"/>
      <w:bookmarkEnd w:id="53"/>
      <w:bookmarkEnd w:id="54"/>
      <w:bookmarkEnd w:id="55"/>
    </w:p>
    <w:p w14:paraId="7B13325C">
      <w:pPr>
        <w:keepNext w:val="0"/>
        <w:keepLines w:val="0"/>
        <w:pageBreakBefore w:val="0"/>
        <w:widowControl w:val="0"/>
        <w:suppressLineNumbers w:val="0"/>
        <w:kinsoku/>
        <w:wordWrap/>
        <w:overflowPunct/>
        <w:topLinePunct w:val="0"/>
        <w:autoSpaceDE/>
        <w:autoSpaceDN/>
        <w:bidi w:val="0"/>
        <w:adjustRightInd w:val="0"/>
        <w:snapToGrid w:val="0"/>
        <w:spacing w:before="0" w:line="360" w:lineRule="auto"/>
        <w:ind w:left="0" w:firstLine="640" w:firstLineChars="200"/>
        <w:jc w:val="both"/>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以习近平新时代中国特色社会主义思想为指导，全面贯彻党的二十大及二十届二中、三中全会精神，锚定“三个高地”、推进“二次创业”，践行绿色发展理念，实施“蔬菜加工领航、三产深度融合”战略，推进“科技赋能、全链升级”。按照“巩固成果、有效衔接、推进振兴”要求，秉持“稳面积、强加工、拓流通、创品牌”思路，聚焦“三品三化”，构建集生产、加工、物流于一体的蔬菜产业新格局。以“津市藠果”地标产品为核心引擎，推动规模化、标准化</w:t>
      </w:r>
      <w:r>
        <w:rPr>
          <w:rFonts w:hint="eastAsia" w:ascii="Times New Roman" w:hAnsi="Times New Roman" w:eastAsia="仿宋_GB2312" w:cs="Times New Roman"/>
          <w:b w:val="0"/>
          <w:bCs w:val="0"/>
          <w:color w:val="auto"/>
          <w:sz w:val="32"/>
          <w:szCs w:val="32"/>
          <w:highlight w:val="none"/>
          <w:shd w:val="clear" w:color="auto" w:fill="FFFFFF"/>
          <w:lang w:val="en-US" w:eastAsia="zh-CN"/>
        </w:rPr>
        <w:t>生产</w:t>
      </w:r>
      <w:r>
        <w:rPr>
          <w:rFonts w:hint="default" w:ascii="Times New Roman" w:hAnsi="Times New Roman" w:eastAsia="仿宋_GB2312" w:cs="Times New Roman"/>
          <w:b w:val="0"/>
          <w:bCs w:val="0"/>
          <w:color w:val="auto"/>
          <w:sz w:val="32"/>
          <w:szCs w:val="32"/>
          <w:highlight w:val="none"/>
          <w:shd w:val="clear" w:color="auto" w:fill="FFFFFF"/>
          <w:lang w:val="en-US" w:eastAsia="zh-CN"/>
        </w:rPr>
        <w:t>，确保原料供应稳定优质，筑牢“中国藠果之乡”根基。发挥食品加工优势，持续推进蔬菜产地初加工发展，大力提升蔬菜精深加工水平，开发类别多样、品质优良的加工产品，持续打造推广“兰津有礼”区域品牌；</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依托澧水“黄金水道”优势</w:t>
      </w:r>
      <w:r>
        <w:rPr>
          <w:rFonts w:hint="default" w:ascii="Times New Roman" w:hAnsi="Times New Roman" w:eastAsia="仿宋_GB2312" w:cs="Times New Roman"/>
          <w:b w:val="0"/>
          <w:bCs w:val="0"/>
          <w:color w:val="auto"/>
          <w:sz w:val="32"/>
          <w:szCs w:val="32"/>
          <w:highlight w:val="none"/>
          <w:shd w:val="clear" w:color="auto" w:fill="FFFFFF"/>
          <w:lang w:val="en-US" w:eastAsia="zh-CN"/>
        </w:rPr>
        <w:t>，完善冷藏物流体系，构建多元化、立体化市场营销网络，打造洞庭湖区域性农副产品加工物流贸易中心。以增加农民收入为核心，积极探索蔬菜优势特色产业与联农带农有机衔接新模式，让产业集群建设成果更多更公平惠及农民，全力打造结构合理、链条完整、联农带农的蔬菜优势特色产业集群。</w:t>
      </w:r>
    </w:p>
    <w:p w14:paraId="0E55B137">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62" w:name="_Toc13867"/>
      <w:bookmarkStart w:id="63" w:name="_Toc784205191"/>
      <w:r>
        <w:rPr>
          <w:rFonts w:hint="default" w:ascii="Times New Roman" w:hAnsi="Times New Roman" w:eastAsia="楷体_GB2312" w:cs="Times New Roman"/>
          <w:b/>
          <w:bCs w:val="0"/>
          <w:color w:val="auto"/>
          <w:kern w:val="2"/>
          <w:sz w:val="32"/>
          <w:szCs w:val="32"/>
          <w:highlight w:val="none"/>
          <w:lang w:val="en-US" w:eastAsia="zh-CN" w:bidi="ar-SA"/>
        </w:rPr>
        <w:t>（</w:t>
      </w:r>
      <w:r>
        <w:rPr>
          <w:rFonts w:hint="eastAsia" w:eastAsia="楷体_GB2312" w:cs="Times New Roman"/>
          <w:b/>
          <w:bCs w:val="0"/>
          <w:color w:val="auto"/>
          <w:kern w:val="2"/>
          <w:sz w:val="32"/>
          <w:szCs w:val="32"/>
          <w:highlight w:val="none"/>
          <w:lang w:val="en-US" w:eastAsia="zh-CN" w:bidi="ar-SA"/>
        </w:rPr>
        <w:t>二</w:t>
      </w:r>
      <w:r>
        <w:rPr>
          <w:rFonts w:hint="default" w:ascii="Times New Roman" w:hAnsi="Times New Roman" w:eastAsia="楷体_GB2312" w:cs="Times New Roman"/>
          <w:b/>
          <w:bCs w:val="0"/>
          <w:color w:val="auto"/>
          <w:kern w:val="2"/>
          <w:sz w:val="32"/>
          <w:szCs w:val="32"/>
          <w:highlight w:val="none"/>
          <w:lang w:val="en-US" w:eastAsia="zh-CN" w:bidi="ar-SA"/>
        </w:rPr>
        <w:t>）总体目标</w:t>
      </w:r>
      <w:bookmarkEnd w:id="62"/>
      <w:bookmarkEnd w:id="63"/>
    </w:p>
    <w:p w14:paraId="3985F62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围绕“稳面积、拓流通、提品质、创品牌”思路，聚焦“三品三化”建设，稳定蔬菜播种面积9万亩，打造年产值超15亿元的蔬菜产业集群。其中，作为核心特色的藠果产业，建成全国最大的藠果标准化种植与精深加工基地，进一步擦亮“中国藠果之乡”金字招牌。推动生产基地标准化、加工链条高端化、流通网络全球化、品牌影响全国化，构建涵盖生产种植、精深加工、冷链物流、电商销售的全产业链体系。同时，深化利益联结机制，带动</w:t>
      </w:r>
      <w:r>
        <w:rPr>
          <w:rFonts w:hint="eastAsia" w:ascii="Times New Roman" w:hAnsi="Times New Roman" w:eastAsia="仿宋_GB2312" w:cs="Times New Roman"/>
          <w:b w:val="0"/>
          <w:bCs/>
          <w:color w:val="auto"/>
          <w:spacing w:val="0"/>
          <w:w w:val="100"/>
          <w:position w:val="0"/>
          <w:sz w:val="32"/>
          <w:szCs w:val="32"/>
          <w:highlight w:val="none"/>
          <w:shd w:val="clear" w:fill="auto"/>
          <w:lang w:val="en-US" w:eastAsia="zh-CN" w:bidi="en-US"/>
        </w:rPr>
        <w:t>更多</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农户参与产业发展，最终形成产业特色鲜明、辐射带动强劲的蔬菜产业集群发展样板，成为湖南省乃至全国蔬菜产业高质量发展的标杆。</w:t>
      </w:r>
    </w:p>
    <w:p w14:paraId="721A705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643" w:firstLineChars="200"/>
        <w:jc w:val="both"/>
        <w:textAlignment w:val="auto"/>
        <w:outlineLvl w:val="1"/>
        <w:rPr>
          <w:rFonts w:hint="default" w:ascii="Times New Roman" w:hAnsi="Times New Roman" w:eastAsia="楷体_GB2312" w:cs="Times New Roman"/>
          <w:b/>
          <w:bCs w:val="0"/>
          <w:color w:val="auto"/>
          <w:kern w:val="2"/>
          <w:sz w:val="32"/>
          <w:szCs w:val="32"/>
          <w:highlight w:val="none"/>
          <w:lang w:val="en-US" w:eastAsia="zh-CN" w:bidi="ar-SA"/>
        </w:rPr>
      </w:pPr>
      <w:bookmarkStart w:id="64" w:name="_Toc28170"/>
      <w:bookmarkStart w:id="65" w:name="_Toc1029503498"/>
      <w:r>
        <w:rPr>
          <w:rFonts w:hint="default" w:ascii="Times New Roman" w:hAnsi="Times New Roman" w:eastAsia="楷体_GB2312" w:cs="Times New Roman"/>
          <w:b/>
          <w:bCs w:val="0"/>
          <w:color w:val="auto"/>
          <w:kern w:val="2"/>
          <w:sz w:val="32"/>
          <w:szCs w:val="32"/>
          <w:highlight w:val="none"/>
          <w:lang w:val="en-US" w:eastAsia="zh-CN" w:bidi="ar-SA"/>
        </w:rPr>
        <w:t>（</w:t>
      </w:r>
      <w:r>
        <w:rPr>
          <w:rFonts w:hint="eastAsia" w:eastAsia="楷体_GB2312" w:cs="Times New Roman"/>
          <w:b/>
          <w:bCs w:val="0"/>
          <w:color w:val="auto"/>
          <w:kern w:val="2"/>
          <w:sz w:val="32"/>
          <w:szCs w:val="32"/>
          <w:highlight w:val="none"/>
          <w:lang w:val="en-US" w:eastAsia="zh-CN" w:bidi="ar-SA"/>
        </w:rPr>
        <w:t>三</w:t>
      </w:r>
      <w:r>
        <w:rPr>
          <w:rFonts w:hint="default" w:ascii="Times New Roman" w:hAnsi="Times New Roman" w:eastAsia="楷体_GB2312" w:cs="Times New Roman"/>
          <w:b/>
          <w:bCs w:val="0"/>
          <w:color w:val="auto"/>
          <w:kern w:val="2"/>
          <w:sz w:val="32"/>
          <w:szCs w:val="32"/>
          <w:highlight w:val="none"/>
          <w:lang w:val="en-US" w:eastAsia="zh-CN" w:bidi="ar-SA"/>
        </w:rPr>
        <w:t>）具体目标</w:t>
      </w:r>
      <w:bookmarkEnd w:id="64"/>
      <w:bookmarkEnd w:id="65"/>
    </w:p>
    <w:p w14:paraId="02D1A58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bookmarkStart w:id="66" w:name="_Toc32595"/>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1.扩链强产，产业升级提效能</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w:t>
      </w:r>
      <w:bookmarkEnd w:id="66"/>
    </w:p>
    <w:p w14:paraId="01DF74C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到2027年，全市</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蔬菜播种面积稳定在9万亩，蔬菜总产量达18万吨以上。蔬菜</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加工转化率</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提升，加工产值达9.2亿元以上，</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三产产值跃至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2.2</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亿元，全产业链产值达15.02亿元，年均增长9.31%。</w:t>
      </w:r>
    </w:p>
    <w:p w14:paraId="22E0549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pPr>
      <w:bookmarkStart w:id="67" w:name="_Toc23225"/>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2.育企壮社，经营主体增活力​</w:t>
      </w:r>
      <w:bookmarkEnd w:id="67"/>
    </w:p>
    <w:p w14:paraId="5DAD55F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积极培育农业产业化新型经营主体，到202</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7</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年底，</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规模以上企业</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增至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11</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家，合作社发展到</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90</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个，政策赋能、资源整合，提升主体竞争力与带动力，激活产业集群活力。​</w:t>
      </w:r>
    </w:p>
    <w:p w14:paraId="7978136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pPr>
      <w:bookmarkStart w:id="68" w:name="_Toc11514"/>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3.联农促富，惠民增收显实效​</w:t>
      </w:r>
      <w:bookmarkEnd w:id="68"/>
    </w:p>
    <w:p w14:paraId="4ECACA2D">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通过签订订单、</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吸纳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就业等方式，</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带农农户2.76万户，</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吸纳农村劳动力就业</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1.92人以上，</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农村居民人均可支配收入增至</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2.98万</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元，增速高于全省平均增速。​</w:t>
      </w:r>
    </w:p>
    <w:p w14:paraId="38B7C6BA">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2"/>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pPr>
      <w:bookmarkStart w:id="69" w:name="_Toc4682"/>
      <w:r>
        <w:rPr>
          <w:rFonts w:hint="default" w:ascii="Times New Roman" w:hAnsi="Times New Roman" w:eastAsia="仿宋_GB2312" w:cs="Times New Roman"/>
          <w:b/>
          <w:color w:val="auto"/>
          <w:spacing w:val="0"/>
          <w:w w:val="100"/>
          <w:position w:val="0"/>
          <w:sz w:val="32"/>
          <w:szCs w:val="32"/>
          <w:highlight w:val="none"/>
          <w:shd w:val="clear" w:fill="auto"/>
          <w:lang w:val="en-US" w:eastAsia="zh-CN" w:bidi="en-US"/>
        </w:rPr>
        <w:t>塑标创牌，品质赋能拓市场​</w:t>
      </w:r>
      <w:bookmarkEnd w:id="69"/>
    </w:p>
    <w:p w14:paraId="604C483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rightChars="0" w:firstLine="640" w:firstLineChars="200"/>
        <w:jc w:val="both"/>
        <w:textAlignment w:val="auto"/>
        <w:outlineLvl w:val="9"/>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pP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到2027年，</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Hans" w:bidi="en-US"/>
        </w:rPr>
        <w:t>通过严格把控产品质量，</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认证</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“三品一标”9个，其中绿色食品</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5</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个、有机农产品</w:t>
      </w:r>
      <w:r>
        <w:rPr>
          <w:rFonts w:hint="default" w:ascii="Times New Roman" w:hAnsi="Times New Roman" w:eastAsia="仿宋_GB2312" w:cs="Times New Roman"/>
          <w:b w:val="0"/>
          <w:bCs w:val="0"/>
          <w:color w:val="auto"/>
          <w:spacing w:val="0"/>
          <w:w w:val="100"/>
          <w:position w:val="0"/>
          <w:sz w:val="32"/>
          <w:szCs w:val="32"/>
          <w:highlight w:val="none"/>
          <w:shd w:val="clear" w:color="auto" w:fill="FFFFFF"/>
          <w:lang w:val="en-US" w:eastAsia="zh-CN" w:bidi="en-US"/>
        </w:rPr>
        <w:t>1</w:t>
      </w:r>
      <w:r>
        <w:rPr>
          <w:rFonts w:hint="default" w:ascii="Times New Roman" w:hAnsi="Times New Roman" w:eastAsia="仿宋_GB2312" w:cs="Times New Roman"/>
          <w:b w:val="0"/>
          <w:bCs/>
          <w:color w:val="auto"/>
          <w:spacing w:val="0"/>
          <w:w w:val="100"/>
          <w:position w:val="0"/>
          <w:sz w:val="32"/>
          <w:szCs w:val="32"/>
          <w:highlight w:val="none"/>
          <w:shd w:val="clear" w:fill="auto"/>
          <w:lang w:val="en-US" w:eastAsia="zh-CN" w:bidi="en-US"/>
        </w:rPr>
        <w:t>个，质量监测合格率稳稳定在99%以上。开展推广活动，打造“兰津有礼”区域公用品牌，提升品牌溢价与市场影响力。</w:t>
      </w:r>
    </w:p>
    <w:p w14:paraId="706C602A">
      <w:pPr>
        <w:pStyle w:val="17"/>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eastAsia="楷体_GB2312" w:cs="Times New Roman"/>
          <w:b/>
          <w:bCs w:val="0"/>
          <w:color w:val="auto"/>
          <w:kern w:val="2"/>
          <w:sz w:val="30"/>
          <w:szCs w:val="30"/>
          <w:highlight w:val="none"/>
          <w:lang w:eastAsia="zh-CN" w:bidi="ar-SA"/>
        </w:rPr>
      </w:pPr>
      <w:r>
        <w:rPr>
          <w:rFonts w:hint="default" w:ascii="Times New Roman" w:hAnsi="Times New Roman" w:eastAsia="楷体_GB2312" w:cs="Times New Roman"/>
          <w:b/>
          <w:bCs w:val="0"/>
          <w:color w:val="auto"/>
          <w:kern w:val="2"/>
          <w:sz w:val="30"/>
          <w:szCs w:val="30"/>
          <w:highlight w:val="none"/>
          <w:lang w:eastAsia="zh-CN" w:bidi="ar-SA"/>
        </w:rPr>
        <w:t>表</w:t>
      </w:r>
      <w:r>
        <w:rPr>
          <w:rFonts w:hint="default" w:ascii="Times New Roman" w:hAnsi="Times New Roman" w:eastAsia="楷体_GB2312" w:cs="Times New Roman"/>
          <w:b/>
          <w:bCs w:val="0"/>
          <w:color w:val="auto"/>
          <w:kern w:val="2"/>
          <w:sz w:val="30"/>
          <w:szCs w:val="30"/>
          <w:highlight w:val="none"/>
          <w:lang w:val="en-US" w:eastAsia="zh-Hans" w:bidi="ar-SA"/>
        </w:rPr>
        <w:t>2</w:t>
      </w:r>
      <w:r>
        <w:rPr>
          <w:rFonts w:hint="default" w:ascii="Times New Roman" w:hAnsi="Times New Roman" w:eastAsia="楷体_GB2312" w:cs="Times New Roman"/>
          <w:b/>
          <w:bCs w:val="0"/>
          <w:color w:val="auto"/>
          <w:kern w:val="2"/>
          <w:sz w:val="30"/>
          <w:szCs w:val="30"/>
          <w:highlight w:val="none"/>
          <w:lang w:eastAsia="zh-CN" w:bidi="ar-SA"/>
        </w:rPr>
        <w:t xml:space="preserve">-1 </w:t>
      </w:r>
      <w:r>
        <w:rPr>
          <w:rFonts w:hint="default" w:ascii="Times New Roman" w:hAnsi="Times New Roman" w:eastAsia="楷体_GB2312" w:cs="Times New Roman"/>
          <w:b/>
          <w:bCs w:val="0"/>
          <w:color w:val="auto"/>
          <w:spacing w:val="0"/>
          <w:w w:val="100"/>
          <w:kern w:val="2"/>
          <w:position w:val="0"/>
          <w:sz w:val="30"/>
          <w:szCs w:val="30"/>
          <w:highlight w:val="none"/>
          <w:shd w:val="clear" w:color="auto" w:fill="auto"/>
          <w:lang w:val="en-US" w:eastAsia="zh-CN" w:bidi="ar-SA"/>
        </w:rPr>
        <w:t>津市市省级蔬菜</w:t>
      </w:r>
      <w:r>
        <w:rPr>
          <w:rFonts w:hint="default" w:ascii="Times New Roman" w:hAnsi="Times New Roman" w:eastAsia="楷体_GB2312" w:cs="Times New Roman"/>
          <w:b/>
          <w:bCs w:val="0"/>
          <w:color w:val="auto"/>
          <w:spacing w:val="0"/>
          <w:w w:val="100"/>
          <w:kern w:val="2"/>
          <w:position w:val="0"/>
          <w:sz w:val="30"/>
          <w:szCs w:val="30"/>
          <w:highlight w:val="none"/>
          <w:shd w:val="clear" w:color="auto" w:fill="auto"/>
          <w:lang w:val="en-US" w:eastAsia="zh-Hans" w:bidi="ar-SA"/>
        </w:rPr>
        <w:t>产业集群项目建设</w:t>
      </w:r>
      <w:r>
        <w:rPr>
          <w:rFonts w:hint="default" w:ascii="Times New Roman" w:hAnsi="Times New Roman" w:eastAsia="楷体_GB2312" w:cs="Times New Roman"/>
          <w:b/>
          <w:bCs w:val="0"/>
          <w:color w:val="auto"/>
          <w:kern w:val="2"/>
          <w:sz w:val="30"/>
          <w:szCs w:val="30"/>
          <w:highlight w:val="none"/>
          <w:lang w:val="en-US" w:eastAsia="zh-Hans" w:bidi="ar-SA"/>
        </w:rPr>
        <w:t>目标</w:t>
      </w:r>
      <w:r>
        <w:rPr>
          <w:rFonts w:hint="default" w:ascii="Times New Roman" w:hAnsi="Times New Roman" w:eastAsia="楷体_GB2312" w:cs="Times New Roman"/>
          <w:b/>
          <w:bCs w:val="0"/>
          <w:color w:val="auto"/>
          <w:kern w:val="2"/>
          <w:sz w:val="30"/>
          <w:szCs w:val="30"/>
          <w:highlight w:val="none"/>
          <w:lang w:eastAsia="zh-CN" w:bidi="ar-SA"/>
        </w:rPr>
        <w:t>表</w:t>
      </w:r>
    </w:p>
    <w:tbl>
      <w:tblPr>
        <w:tblStyle w:val="19"/>
        <w:tblW w:w="905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0"/>
        <w:gridCol w:w="3920"/>
        <w:gridCol w:w="964"/>
        <w:gridCol w:w="1281"/>
        <w:gridCol w:w="1203"/>
        <w:gridCol w:w="1205"/>
      </w:tblGrid>
      <w:tr w14:paraId="09DE39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blHeader/>
          <w:jc w:val="center"/>
        </w:trPr>
        <w:tc>
          <w:tcPr>
            <w:tcW w:w="4207" w:type="dxa"/>
            <w:gridSpan w:val="2"/>
            <w:tcBorders>
              <w:tl2br w:val="nil"/>
              <w:tr2bl w:val="nil"/>
            </w:tcBorders>
            <w:shd w:val="clear" w:color="auto" w:fill="auto"/>
            <w:vAlign w:val="center"/>
          </w:tcPr>
          <w:p w14:paraId="5586AEE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指标名称</w:t>
            </w:r>
          </w:p>
        </w:tc>
        <w:tc>
          <w:tcPr>
            <w:tcW w:w="994" w:type="dxa"/>
            <w:tcBorders>
              <w:tl2br w:val="nil"/>
              <w:tr2bl w:val="nil"/>
            </w:tcBorders>
            <w:shd w:val="clear" w:color="auto" w:fill="auto"/>
            <w:vAlign w:val="center"/>
          </w:tcPr>
          <w:p w14:paraId="3B7F7A4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2024年</w:t>
            </w:r>
          </w:p>
        </w:tc>
        <w:tc>
          <w:tcPr>
            <w:tcW w:w="1343" w:type="dxa"/>
            <w:tcBorders>
              <w:tl2br w:val="nil"/>
              <w:tr2bl w:val="nil"/>
            </w:tcBorders>
            <w:shd w:val="clear" w:color="auto" w:fill="auto"/>
            <w:vAlign w:val="center"/>
          </w:tcPr>
          <w:p w14:paraId="5859770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2025年</w:t>
            </w: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br w:type="textWrapping"/>
            </w: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预期目标</w:t>
            </w:r>
          </w:p>
        </w:tc>
        <w:tc>
          <w:tcPr>
            <w:tcW w:w="1257" w:type="dxa"/>
            <w:tcBorders>
              <w:tl2br w:val="nil"/>
              <w:tr2bl w:val="nil"/>
            </w:tcBorders>
            <w:shd w:val="clear" w:color="auto" w:fill="auto"/>
            <w:vAlign w:val="center"/>
          </w:tcPr>
          <w:p w14:paraId="4D909B7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2026年</w:t>
            </w: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br w:type="textWrapping"/>
            </w: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预期目标</w:t>
            </w:r>
          </w:p>
        </w:tc>
        <w:tc>
          <w:tcPr>
            <w:tcW w:w="1257" w:type="dxa"/>
            <w:tcBorders>
              <w:tl2br w:val="nil"/>
              <w:tr2bl w:val="nil"/>
            </w:tcBorders>
            <w:shd w:val="clear" w:color="auto" w:fill="auto"/>
            <w:vAlign w:val="center"/>
          </w:tcPr>
          <w:p w14:paraId="01E30DE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2027年</w:t>
            </w: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br w:type="textWrapping"/>
            </w:r>
            <w:r>
              <w:rPr>
                <w:rFonts w:hint="default" w:ascii="Times New Roman" w:hAnsi="Times New Roman" w:eastAsia="宋体" w:cs="Times New Roman"/>
                <w:b/>
                <w:bCs/>
                <w:i w:val="0"/>
                <w:iCs w:val="0"/>
                <w:color w:val="auto"/>
                <w:spacing w:val="0"/>
                <w:w w:val="100"/>
                <w:kern w:val="0"/>
                <w:position w:val="0"/>
                <w:sz w:val="20"/>
                <w:szCs w:val="20"/>
                <w:highlight w:val="none"/>
                <w:u w:val="none"/>
                <w:shd w:val="clear" w:color="auto" w:fill="auto"/>
                <w:lang w:val="en-US" w:eastAsia="zh-CN" w:bidi="ar"/>
              </w:rPr>
              <w:t>预期目标</w:t>
            </w:r>
          </w:p>
        </w:tc>
      </w:tr>
      <w:tr w14:paraId="4385E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restart"/>
            <w:tcBorders>
              <w:tl2br w:val="nil"/>
              <w:tr2bl w:val="nil"/>
            </w:tcBorders>
            <w:shd w:val="clear" w:color="auto" w:fill="auto"/>
            <w:vAlign w:val="center"/>
          </w:tcPr>
          <w:p w14:paraId="4D0D34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产业融合</w:t>
            </w:r>
          </w:p>
        </w:tc>
        <w:tc>
          <w:tcPr>
            <w:tcW w:w="0" w:type="auto"/>
            <w:tcBorders>
              <w:tl2br w:val="nil"/>
              <w:tr2bl w:val="nil"/>
            </w:tcBorders>
            <w:shd w:val="clear" w:color="auto" w:fill="auto"/>
            <w:noWrap/>
            <w:vAlign w:val="center"/>
          </w:tcPr>
          <w:p w14:paraId="2BD50E4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全产业链产值</w:t>
            </w:r>
          </w:p>
        </w:tc>
        <w:tc>
          <w:tcPr>
            <w:tcW w:w="0" w:type="auto"/>
            <w:tcBorders>
              <w:tl2br w:val="nil"/>
              <w:tr2bl w:val="nil"/>
            </w:tcBorders>
            <w:shd w:val="clear" w:color="auto" w:fill="auto"/>
            <w:noWrap/>
            <w:vAlign w:val="center"/>
          </w:tcPr>
          <w:p w14:paraId="0E4BCD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11.5</w:t>
            </w:r>
          </w:p>
        </w:tc>
        <w:tc>
          <w:tcPr>
            <w:tcW w:w="0" w:type="auto"/>
            <w:tcBorders>
              <w:tl2br w:val="nil"/>
              <w:tr2bl w:val="nil"/>
            </w:tcBorders>
            <w:shd w:val="clear" w:color="auto" w:fill="auto"/>
            <w:noWrap/>
            <w:vAlign w:val="center"/>
          </w:tcPr>
          <w:p w14:paraId="25EF98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12.6</w:t>
            </w:r>
          </w:p>
        </w:tc>
        <w:tc>
          <w:tcPr>
            <w:tcW w:w="0" w:type="auto"/>
            <w:tcBorders>
              <w:tl2br w:val="nil"/>
              <w:tr2bl w:val="nil"/>
            </w:tcBorders>
            <w:shd w:val="clear" w:color="auto" w:fill="auto"/>
            <w:noWrap/>
            <w:vAlign w:val="center"/>
          </w:tcPr>
          <w:p w14:paraId="66855B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13.25</w:t>
            </w:r>
          </w:p>
        </w:tc>
        <w:tc>
          <w:tcPr>
            <w:tcW w:w="0" w:type="auto"/>
            <w:tcBorders>
              <w:tl2br w:val="nil"/>
              <w:tr2bl w:val="nil"/>
            </w:tcBorders>
            <w:shd w:val="clear" w:color="auto" w:fill="auto"/>
            <w:noWrap/>
            <w:vAlign w:val="center"/>
          </w:tcPr>
          <w:p w14:paraId="513D47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15.02</w:t>
            </w:r>
          </w:p>
        </w:tc>
      </w:tr>
      <w:tr w14:paraId="4DC07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07" w:type="dxa"/>
            <w:vMerge w:val="continue"/>
            <w:tcBorders>
              <w:tl2br w:val="nil"/>
              <w:tr2bl w:val="nil"/>
            </w:tcBorders>
            <w:shd w:val="clear" w:color="auto" w:fill="auto"/>
            <w:vAlign w:val="center"/>
          </w:tcPr>
          <w:p w14:paraId="4CF6CE11">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05358D1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一产产值（亿元）</w:t>
            </w:r>
          </w:p>
        </w:tc>
        <w:tc>
          <w:tcPr>
            <w:tcW w:w="0" w:type="auto"/>
            <w:tcBorders>
              <w:tl2br w:val="nil"/>
              <w:tr2bl w:val="nil"/>
            </w:tcBorders>
            <w:shd w:val="clear" w:color="auto" w:fill="auto"/>
            <w:noWrap/>
            <w:vAlign w:val="center"/>
          </w:tcPr>
          <w:p w14:paraId="76166C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3.25</w:t>
            </w:r>
          </w:p>
        </w:tc>
        <w:tc>
          <w:tcPr>
            <w:tcW w:w="0" w:type="auto"/>
            <w:tcBorders>
              <w:tl2br w:val="nil"/>
              <w:tr2bl w:val="nil"/>
            </w:tcBorders>
            <w:shd w:val="clear" w:color="auto" w:fill="auto"/>
            <w:noWrap/>
            <w:vAlign w:val="center"/>
          </w:tcPr>
          <w:p w14:paraId="13CFF3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3.38</w:t>
            </w:r>
          </w:p>
        </w:tc>
        <w:tc>
          <w:tcPr>
            <w:tcW w:w="0" w:type="auto"/>
            <w:tcBorders>
              <w:tl2br w:val="nil"/>
              <w:tr2bl w:val="nil"/>
            </w:tcBorders>
            <w:shd w:val="clear" w:color="auto" w:fill="auto"/>
            <w:noWrap/>
            <w:vAlign w:val="center"/>
          </w:tcPr>
          <w:p w14:paraId="63AB70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3.47</w:t>
            </w:r>
          </w:p>
        </w:tc>
        <w:tc>
          <w:tcPr>
            <w:tcW w:w="0" w:type="auto"/>
            <w:tcBorders>
              <w:tl2br w:val="nil"/>
              <w:tr2bl w:val="nil"/>
            </w:tcBorders>
            <w:shd w:val="clear" w:color="auto" w:fill="auto"/>
            <w:noWrap/>
            <w:vAlign w:val="center"/>
          </w:tcPr>
          <w:p w14:paraId="30D14D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3.62</w:t>
            </w:r>
          </w:p>
        </w:tc>
      </w:tr>
      <w:tr w14:paraId="02076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1DABA715">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776FE51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蔬菜种植面积（万亩）</w:t>
            </w:r>
          </w:p>
        </w:tc>
        <w:tc>
          <w:tcPr>
            <w:tcW w:w="0" w:type="auto"/>
            <w:tcBorders>
              <w:tl2br w:val="nil"/>
              <w:tr2bl w:val="nil"/>
            </w:tcBorders>
            <w:shd w:val="clear" w:color="auto" w:fill="auto"/>
            <w:noWrap/>
            <w:vAlign w:val="center"/>
          </w:tcPr>
          <w:p w14:paraId="382EB3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8.2</w:t>
            </w:r>
          </w:p>
        </w:tc>
        <w:tc>
          <w:tcPr>
            <w:tcW w:w="0" w:type="auto"/>
            <w:tcBorders>
              <w:tl2br w:val="nil"/>
              <w:tr2bl w:val="nil"/>
            </w:tcBorders>
            <w:shd w:val="clear" w:color="auto" w:fill="auto"/>
            <w:noWrap/>
            <w:vAlign w:val="center"/>
          </w:tcPr>
          <w:p w14:paraId="7D963E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8.5</w:t>
            </w:r>
          </w:p>
        </w:tc>
        <w:tc>
          <w:tcPr>
            <w:tcW w:w="0" w:type="auto"/>
            <w:tcBorders>
              <w:tl2br w:val="nil"/>
              <w:tr2bl w:val="nil"/>
            </w:tcBorders>
            <w:shd w:val="clear" w:color="auto" w:fill="auto"/>
            <w:noWrap/>
            <w:vAlign w:val="center"/>
          </w:tcPr>
          <w:p w14:paraId="5D0F55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8.7</w:t>
            </w:r>
          </w:p>
        </w:tc>
        <w:tc>
          <w:tcPr>
            <w:tcW w:w="0" w:type="auto"/>
            <w:tcBorders>
              <w:tl2br w:val="nil"/>
              <w:tr2bl w:val="nil"/>
            </w:tcBorders>
            <w:shd w:val="clear" w:color="auto" w:fill="auto"/>
            <w:noWrap/>
            <w:vAlign w:val="center"/>
          </w:tcPr>
          <w:p w14:paraId="1B8AE6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r>
      <w:tr w14:paraId="62D517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080D68F4">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484F1B9B">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其中：标准化种植基地面积（万亩）</w:t>
            </w:r>
          </w:p>
        </w:tc>
        <w:tc>
          <w:tcPr>
            <w:tcW w:w="0" w:type="auto"/>
            <w:tcBorders>
              <w:tl2br w:val="nil"/>
              <w:tr2bl w:val="nil"/>
            </w:tcBorders>
            <w:shd w:val="clear" w:color="auto" w:fill="auto"/>
            <w:noWrap/>
            <w:vAlign w:val="center"/>
          </w:tcPr>
          <w:p w14:paraId="1AE093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c>
          <w:tcPr>
            <w:tcW w:w="0" w:type="auto"/>
            <w:tcBorders>
              <w:tl2br w:val="nil"/>
              <w:tr2bl w:val="nil"/>
            </w:tcBorders>
            <w:shd w:val="clear" w:color="auto" w:fill="auto"/>
            <w:noWrap/>
            <w:vAlign w:val="center"/>
          </w:tcPr>
          <w:p w14:paraId="6C031E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5.1</w:t>
            </w:r>
          </w:p>
        </w:tc>
        <w:tc>
          <w:tcPr>
            <w:tcW w:w="0" w:type="auto"/>
            <w:tcBorders>
              <w:tl2br w:val="nil"/>
              <w:tr2bl w:val="nil"/>
            </w:tcBorders>
            <w:shd w:val="clear" w:color="auto" w:fill="auto"/>
            <w:noWrap/>
            <w:vAlign w:val="center"/>
          </w:tcPr>
          <w:p w14:paraId="6FB7FD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5.2</w:t>
            </w:r>
          </w:p>
        </w:tc>
        <w:tc>
          <w:tcPr>
            <w:tcW w:w="0" w:type="auto"/>
            <w:tcBorders>
              <w:tl2br w:val="nil"/>
              <w:tr2bl w:val="nil"/>
            </w:tcBorders>
            <w:shd w:val="clear" w:color="auto" w:fill="auto"/>
            <w:noWrap/>
            <w:vAlign w:val="center"/>
          </w:tcPr>
          <w:p w14:paraId="5616E6F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5.3</w:t>
            </w:r>
          </w:p>
        </w:tc>
      </w:tr>
      <w:tr w14:paraId="576DC1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7BED3705">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614AD8E6">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藠果种植面积（万亩）</w:t>
            </w:r>
          </w:p>
        </w:tc>
        <w:tc>
          <w:tcPr>
            <w:tcW w:w="0" w:type="auto"/>
            <w:tcBorders>
              <w:tl2br w:val="nil"/>
              <w:tr2bl w:val="nil"/>
            </w:tcBorders>
            <w:shd w:val="clear" w:color="auto" w:fill="auto"/>
            <w:noWrap/>
            <w:vAlign w:val="center"/>
          </w:tcPr>
          <w:p w14:paraId="169BBF6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2.5</w:t>
            </w:r>
          </w:p>
        </w:tc>
        <w:tc>
          <w:tcPr>
            <w:tcW w:w="0" w:type="auto"/>
            <w:tcBorders>
              <w:tl2br w:val="nil"/>
              <w:tr2bl w:val="nil"/>
            </w:tcBorders>
            <w:shd w:val="clear" w:color="auto" w:fill="auto"/>
            <w:noWrap/>
            <w:vAlign w:val="center"/>
          </w:tcPr>
          <w:p w14:paraId="38DBBF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2.6</w:t>
            </w:r>
          </w:p>
        </w:tc>
        <w:tc>
          <w:tcPr>
            <w:tcW w:w="0" w:type="auto"/>
            <w:tcBorders>
              <w:tl2br w:val="nil"/>
              <w:tr2bl w:val="nil"/>
            </w:tcBorders>
            <w:shd w:val="clear" w:color="auto" w:fill="auto"/>
            <w:noWrap/>
            <w:vAlign w:val="center"/>
          </w:tcPr>
          <w:p w14:paraId="04785C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2.8</w:t>
            </w:r>
          </w:p>
        </w:tc>
        <w:tc>
          <w:tcPr>
            <w:tcW w:w="0" w:type="auto"/>
            <w:tcBorders>
              <w:tl2br w:val="nil"/>
              <w:tr2bl w:val="nil"/>
            </w:tcBorders>
            <w:shd w:val="clear" w:color="auto" w:fill="auto"/>
            <w:noWrap/>
            <w:vAlign w:val="center"/>
          </w:tcPr>
          <w:p w14:paraId="59DB12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r>
      <w:tr w14:paraId="5C7B7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2B37ECA3">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3F7AC36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农产品产量（万吨）</w:t>
            </w:r>
          </w:p>
        </w:tc>
        <w:tc>
          <w:tcPr>
            <w:tcW w:w="0" w:type="auto"/>
            <w:tcBorders>
              <w:tl2br w:val="nil"/>
              <w:tr2bl w:val="nil"/>
            </w:tcBorders>
            <w:shd w:val="clear" w:color="auto" w:fill="auto"/>
            <w:noWrap/>
            <w:vAlign w:val="center"/>
          </w:tcPr>
          <w:p w14:paraId="058810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16.24</w:t>
            </w:r>
          </w:p>
        </w:tc>
        <w:tc>
          <w:tcPr>
            <w:tcW w:w="0" w:type="auto"/>
            <w:tcBorders>
              <w:tl2br w:val="nil"/>
              <w:tr2bl w:val="nil"/>
            </w:tcBorders>
            <w:shd w:val="clear" w:color="auto" w:fill="auto"/>
            <w:noWrap/>
            <w:vAlign w:val="center"/>
          </w:tcPr>
          <w:p w14:paraId="14DFF4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16.87</w:t>
            </w:r>
          </w:p>
        </w:tc>
        <w:tc>
          <w:tcPr>
            <w:tcW w:w="0" w:type="auto"/>
            <w:tcBorders>
              <w:tl2br w:val="nil"/>
              <w:tr2bl w:val="nil"/>
            </w:tcBorders>
            <w:shd w:val="clear" w:color="auto" w:fill="auto"/>
            <w:noWrap/>
            <w:vAlign w:val="center"/>
          </w:tcPr>
          <w:p w14:paraId="1A1BB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17.31</w:t>
            </w:r>
          </w:p>
        </w:tc>
        <w:tc>
          <w:tcPr>
            <w:tcW w:w="0" w:type="auto"/>
            <w:tcBorders>
              <w:tl2br w:val="nil"/>
              <w:tr2bl w:val="nil"/>
            </w:tcBorders>
            <w:shd w:val="clear" w:color="auto" w:fill="auto"/>
            <w:noWrap/>
            <w:vAlign w:val="center"/>
          </w:tcPr>
          <w:p w14:paraId="0526C6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18</w:t>
            </w:r>
          </w:p>
        </w:tc>
      </w:tr>
      <w:tr w14:paraId="7D2F99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272C47E6">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541BEC0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二产产值（亿元）</w:t>
            </w:r>
          </w:p>
        </w:tc>
        <w:tc>
          <w:tcPr>
            <w:tcW w:w="0" w:type="auto"/>
            <w:tcBorders>
              <w:tl2br w:val="nil"/>
              <w:tr2bl w:val="nil"/>
            </w:tcBorders>
            <w:shd w:val="clear" w:color="auto" w:fill="auto"/>
            <w:noWrap/>
            <w:vAlign w:val="center"/>
          </w:tcPr>
          <w:p w14:paraId="2D32BC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6.57</w:t>
            </w:r>
          </w:p>
        </w:tc>
        <w:tc>
          <w:tcPr>
            <w:tcW w:w="0" w:type="auto"/>
            <w:tcBorders>
              <w:tl2br w:val="nil"/>
              <w:tr2bl w:val="nil"/>
            </w:tcBorders>
            <w:shd w:val="clear" w:color="auto" w:fill="auto"/>
            <w:noWrap/>
            <w:vAlign w:val="center"/>
          </w:tcPr>
          <w:p w14:paraId="59F805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7.5</w:t>
            </w:r>
          </w:p>
        </w:tc>
        <w:tc>
          <w:tcPr>
            <w:tcW w:w="0" w:type="auto"/>
            <w:tcBorders>
              <w:tl2br w:val="nil"/>
              <w:tr2bl w:val="nil"/>
            </w:tcBorders>
            <w:shd w:val="clear" w:color="auto" w:fill="auto"/>
            <w:noWrap/>
            <w:vAlign w:val="center"/>
          </w:tcPr>
          <w:p w14:paraId="2ABDB7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0" w:type="auto"/>
            <w:tcBorders>
              <w:tl2br w:val="nil"/>
              <w:tr2bl w:val="nil"/>
            </w:tcBorders>
            <w:shd w:val="clear" w:color="auto" w:fill="auto"/>
            <w:noWrap/>
            <w:vAlign w:val="center"/>
          </w:tcPr>
          <w:p w14:paraId="79334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9.2</w:t>
            </w:r>
          </w:p>
        </w:tc>
      </w:tr>
      <w:tr w14:paraId="271733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607" w:type="dxa"/>
            <w:vMerge w:val="continue"/>
            <w:tcBorders>
              <w:tl2br w:val="nil"/>
              <w:tr2bl w:val="nil"/>
            </w:tcBorders>
            <w:shd w:val="clear" w:color="auto" w:fill="auto"/>
            <w:vAlign w:val="center"/>
          </w:tcPr>
          <w:p w14:paraId="60AD35A8">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3FF1557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规模以上加工企业数量</w:t>
            </w: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vertAlign w:val="superscript"/>
                <w:lang w:val="en-US" w:eastAsia="zh-CN" w:bidi="ar"/>
              </w:rPr>
              <w:t>①</w:t>
            </w: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（家）</w:t>
            </w:r>
          </w:p>
        </w:tc>
        <w:tc>
          <w:tcPr>
            <w:tcW w:w="0" w:type="auto"/>
            <w:tcBorders>
              <w:tl2br w:val="nil"/>
              <w:tr2bl w:val="nil"/>
            </w:tcBorders>
            <w:shd w:val="clear" w:color="auto" w:fill="auto"/>
            <w:noWrap/>
            <w:vAlign w:val="center"/>
          </w:tcPr>
          <w:p w14:paraId="724331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0" w:type="auto"/>
            <w:tcBorders>
              <w:tl2br w:val="nil"/>
              <w:tr2bl w:val="nil"/>
            </w:tcBorders>
            <w:shd w:val="clear" w:color="auto" w:fill="auto"/>
            <w:noWrap/>
            <w:vAlign w:val="center"/>
          </w:tcPr>
          <w:p w14:paraId="027D67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w:t>
            </w:r>
          </w:p>
        </w:tc>
        <w:tc>
          <w:tcPr>
            <w:tcW w:w="0" w:type="auto"/>
            <w:tcBorders>
              <w:tl2br w:val="nil"/>
              <w:tr2bl w:val="nil"/>
            </w:tcBorders>
            <w:shd w:val="clear" w:color="auto" w:fill="auto"/>
            <w:noWrap/>
            <w:vAlign w:val="center"/>
          </w:tcPr>
          <w:p w14:paraId="6E6E1C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0" w:type="auto"/>
            <w:tcBorders>
              <w:tl2br w:val="nil"/>
              <w:tr2bl w:val="nil"/>
            </w:tcBorders>
            <w:shd w:val="clear" w:color="auto" w:fill="auto"/>
            <w:noWrap/>
            <w:vAlign w:val="center"/>
          </w:tcPr>
          <w:p w14:paraId="4E9397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10</w:t>
            </w:r>
          </w:p>
        </w:tc>
      </w:tr>
      <w:tr w14:paraId="600DA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006F9840">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2CE94DD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三产产值（亿元）</w:t>
            </w:r>
          </w:p>
        </w:tc>
        <w:tc>
          <w:tcPr>
            <w:tcW w:w="0" w:type="auto"/>
            <w:tcBorders>
              <w:tl2br w:val="nil"/>
              <w:tr2bl w:val="nil"/>
            </w:tcBorders>
            <w:shd w:val="clear" w:color="auto" w:fill="auto"/>
            <w:noWrap/>
            <w:vAlign w:val="center"/>
          </w:tcPr>
          <w:p w14:paraId="4220C1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1.68</w:t>
            </w:r>
          </w:p>
        </w:tc>
        <w:tc>
          <w:tcPr>
            <w:tcW w:w="0" w:type="auto"/>
            <w:tcBorders>
              <w:tl2br w:val="nil"/>
              <w:tr2bl w:val="nil"/>
            </w:tcBorders>
            <w:shd w:val="clear" w:color="auto" w:fill="auto"/>
            <w:noWrap/>
            <w:vAlign w:val="center"/>
          </w:tcPr>
          <w:p w14:paraId="5EDB81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1.72</w:t>
            </w:r>
          </w:p>
        </w:tc>
        <w:tc>
          <w:tcPr>
            <w:tcW w:w="0" w:type="auto"/>
            <w:tcBorders>
              <w:tl2br w:val="nil"/>
              <w:tr2bl w:val="nil"/>
            </w:tcBorders>
            <w:shd w:val="clear" w:color="auto" w:fill="auto"/>
            <w:noWrap/>
            <w:vAlign w:val="center"/>
          </w:tcPr>
          <w:p w14:paraId="15F0CE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1.78</w:t>
            </w:r>
          </w:p>
        </w:tc>
        <w:tc>
          <w:tcPr>
            <w:tcW w:w="0" w:type="auto"/>
            <w:tcBorders>
              <w:tl2br w:val="nil"/>
              <w:tr2bl w:val="nil"/>
            </w:tcBorders>
            <w:shd w:val="clear" w:color="auto" w:fill="auto"/>
            <w:noWrap/>
            <w:vAlign w:val="center"/>
          </w:tcPr>
          <w:p w14:paraId="2F9CA6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2.2</w:t>
            </w:r>
          </w:p>
        </w:tc>
      </w:tr>
      <w:tr w14:paraId="749DE3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restart"/>
            <w:tcBorders>
              <w:tl2br w:val="nil"/>
              <w:tr2bl w:val="nil"/>
            </w:tcBorders>
            <w:shd w:val="clear" w:color="auto" w:fill="auto"/>
            <w:vAlign w:val="center"/>
          </w:tcPr>
          <w:p w14:paraId="374CE4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经营主体</w:t>
            </w:r>
          </w:p>
        </w:tc>
        <w:tc>
          <w:tcPr>
            <w:tcW w:w="3600" w:type="dxa"/>
            <w:tcBorders>
              <w:tl2br w:val="nil"/>
              <w:tr2bl w:val="nil"/>
            </w:tcBorders>
            <w:shd w:val="clear" w:color="auto" w:fill="auto"/>
            <w:vAlign w:val="center"/>
          </w:tcPr>
          <w:p w14:paraId="0CF9C7D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从事申报产业规模以上企业（家）</w:t>
            </w:r>
          </w:p>
        </w:tc>
        <w:tc>
          <w:tcPr>
            <w:tcW w:w="949" w:type="dxa"/>
            <w:tcBorders>
              <w:tl2br w:val="nil"/>
              <w:tr2bl w:val="nil"/>
            </w:tcBorders>
            <w:shd w:val="clear" w:color="auto" w:fill="auto"/>
            <w:noWrap/>
            <w:vAlign w:val="center"/>
          </w:tcPr>
          <w:p w14:paraId="6A54F25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1250" w:type="dxa"/>
            <w:tcBorders>
              <w:tl2br w:val="nil"/>
              <w:tr2bl w:val="nil"/>
            </w:tcBorders>
            <w:shd w:val="clear" w:color="auto" w:fill="auto"/>
            <w:noWrap/>
            <w:vAlign w:val="center"/>
          </w:tcPr>
          <w:p w14:paraId="62A357A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c>
          <w:tcPr>
            <w:tcW w:w="1176" w:type="dxa"/>
            <w:tcBorders>
              <w:tl2br w:val="nil"/>
              <w:tr2bl w:val="nil"/>
            </w:tcBorders>
            <w:shd w:val="clear" w:color="auto" w:fill="auto"/>
            <w:noWrap/>
            <w:vAlign w:val="center"/>
          </w:tcPr>
          <w:p w14:paraId="4F3161D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w:t>
            </w:r>
          </w:p>
        </w:tc>
        <w:tc>
          <w:tcPr>
            <w:tcW w:w="1177" w:type="dxa"/>
            <w:tcBorders>
              <w:tl2br w:val="nil"/>
              <w:tr2bl w:val="nil"/>
            </w:tcBorders>
            <w:shd w:val="clear" w:color="auto" w:fill="auto"/>
            <w:noWrap/>
            <w:vAlign w:val="center"/>
          </w:tcPr>
          <w:p w14:paraId="19CF469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11</w:t>
            </w:r>
          </w:p>
        </w:tc>
      </w:tr>
      <w:tr w14:paraId="26C712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6E2FA21F">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7B6F6F13">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其中：国家级龙头企业（家）</w:t>
            </w:r>
          </w:p>
        </w:tc>
        <w:tc>
          <w:tcPr>
            <w:tcW w:w="0" w:type="auto"/>
            <w:tcBorders>
              <w:tl2br w:val="nil"/>
              <w:tr2bl w:val="nil"/>
            </w:tcBorders>
            <w:shd w:val="clear" w:color="auto" w:fill="auto"/>
            <w:noWrap/>
            <w:vAlign w:val="center"/>
          </w:tcPr>
          <w:p w14:paraId="5E10FA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0" w:type="auto"/>
            <w:tcBorders>
              <w:tl2br w:val="nil"/>
              <w:tr2bl w:val="nil"/>
            </w:tcBorders>
            <w:shd w:val="clear" w:color="auto" w:fill="auto"/>
            <w:noWrap/>
            <w:vAlign w:val="center"/>
          </w:tcPr>
          <w:p w14:paraId="6C3CF7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0" w:type="auto"/>
            <w:tcBorders>
              <w:tl2br w:val="nil"/>
              <w:tr2bl w:val="nil"/>
            </w:tcBorders>
            <w:shd w:val="clear" w:color="auto" w:fill="auto"/>
            <w:noWrap/>
            <w:vAlign w:val="center"/>
          </w:tcPr>
          <w:p w14:paraId="227C6B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3B6F22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061B2A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725AB3CF">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1351DEA1">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省级龙头企业（家）</w:t>
            </w:r>
          </w:p>
        </w:tc>
        <w:tc>
          <w:tcPr>
            <w:tcW w:w="0" w:type="auto"/>
            <w:tcBorders>
              <w:tl2br w:val="nil"/>
              <w:tr2bl w:val="nil"/>
            </w:tcBorders>
            <w:shd w:val="clear" w:color="auto" w:fill="auto"/>
            <w:noWrap/>
            <w:vAlign w:val="center"/>
          </w:tcPr>
          <w:p w14:paraId="1790F6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4</w:t>
            </w:r>
          </w:p>
        </w:tc>
        <w:tc>
          <w:tcPr>
            <w:tcW w:w="0" w:type="auto"/>
            <w:tcBorders>
              <w:tl2br w:val="nil"/>
              <w:tr2bl w:val="nil"/>
            </w:tcBorders>
            <w:shd w:val="clear" w:color="auto" w:fill="auto"/>
            <w:noWrap/>
            <w:vAlign w:val="center"/>
          </w:tcPr>
          <w:p w14:paraId="550604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4</w:t>
            </w:r>
          </w:p>
        </w:tc>
        <w:tc>
          <w:tcPr>
            <w:tcW w:w="0" w:type="auto"/>
            <w:tcBorders>
              <w:tl2br w:val="nil"/>
              <w:tr2bl w:val="nil"/>
            </w:tcBorders>
            <w:shd w:val="clear" w:color="auto" w:fill="auto"/>
            <w:noWrap/>
            <w:vAlign w:val="center"/>
          </w:tcPr>
          <w:p w14:paraId="129FF8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c>
          <w:tcPr>
            <w:tcW w:w="0" w:type="auto"/>
            <w:tcBorders>
              <w:tl2br w:val="nil"/>
              <w:tr2bl w:val="nil"/>
            </w:tcBorders>
            <w:shd w:val="clear" w:color="auto" w:fill="auto"/>
            <w:noWrap/>
            <w:vAlign w:val="center"/>
          </w:tcPr>
          <w:p w14:paraId="5ADC9F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r>
      <w:tr w14:paraId="041B7D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7" w:type="dxa"/>
            <w:vMerge w:val="continue"/>
            <w:tcBorders>
              <w:tl2br w:val="nil"/>
              <w:tr2bl w:val="nil"/>
            </w:tcBorders>
            <w:shd w:val="clear" w:color="auto" w:fill="auto"/>
            <w:vAlign w:val="center"/>
          </w:tcPr>
          <w:p w14:paraId="055ED870">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6274A11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从事申报产业农民专业合作社（个）</w:t>
            </w:r>
          </w:p>
        </w:tc>
        <w:tc>
          <w:tcPr>
            <w:tcW w:w="0" w:type="auto"/>
            <w:tcBorders>
              <w:tl2br w:val="nil"/>
              <w:tr2bl w:val="nil"/>
            </w:tcBorders>
            <w:shd w:val="clear" w:color="auto" w:fill="auto"/>
            <w:noWrap/>
            <w:vAlign w:val="center"/>
          </w:tcPr>
          <w:p w14:paraId="637D24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79</w:t>
            </w:r>
          </w:p>
        </w:tc>
        <w:tc>
          <w:tcPr>
            <w:tcW w:w="0" w:type="auto"/>
            <w:tcBorders>
              <w:tl2br w:val="nil"/>
              <w:tr2bl w:val="nil"/>
            </w:tcBorders>
            <w:shd w:val="clear" w:color="auto" w:fill="auto"/>
            <w:noWrap/>
            <w:vAlign w:val="center"/>
          </w:tcPr>
          <w:p w14:paraId="33C6E9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82</w:t>
            </w:r>
          </w:p>
        </w:tc>
        <w:tc>
          <w:tcPr>
            <w:tcW w:w="0" w:type="auto"/>
            <w:tcBorders>
              <w:tl2br w:val="nil"/>
              <w:tr2bl w:val="nil"/>
            </w:tcBorders>
            <w:shd w:val="clear" w:color="auto" w:fill="auto"/>
            <w:noWrap/>
            <w:vAlign w:val="center"/>
          </w:tcPr>
          <w:p w14:paraId="540AAF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85</w:t>
            </w:r>
          </w:p>
        </w:tc>
        <w:tc>
          <w:tcPr>
            <w:tcW w:w="0" w:type="auto"/>
            <w:tcBorders>
              <w:tl2br w:val="nil"/>
              <w:tr2bl w:val="nil"/>
            </w:tcBorders>
            <w:shd w:val="clear" w:color="auto" w:fill="auto"/>
            <w:noWrap/>
            <w:vAlign w:val="center"/>
          </w:tcPr>
          <w:p w14:paraId="356583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90</w:t>
            </w:r>
          </w:p>
        </w:tc>
      </w:tr>
      <w:tr w14:paraId="641761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restart"/>
            <w:tcBorders>
              <w:tl2br w:val="nil"/>
              <w:tr2bl w:val="nil"/>
            </w:tcBorders>
            <w:shd w:val="clear" w:color="auto" w:fill="auto"/>
            <w:vAlign w:val="center"/>
          </w:tcPr>
          <w:p w14:paraId="781D2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联农带农</w:t>
            </w:r>
          </w:p>
        </w:tc>
        <w:tc>
          <w:tcPr>
            <w:tcW w:w="3600" w:type="dxa"/>
            <w:tcBorders>
              <w:tl2br w:val="nil"/>
              <w:tr2bl w:val="nil"/>
            </w:tcBorders>
            <w:shd w:val="clear" w:color="auto" w:fill="auto"/>
            <w:vAlign w:val="center"/>
          </w:tcPr>
          <w:p w14:paraId="142B0B4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申报产业涉及的农户数量（万户）</w:t>
            </w:r>
          </w:p>
        </w:tc>
        <w:tc>
          <w:tcPr>
            <w:tcW w:w="0" w:type="auto"/>
            <w:tcBorders>
              <w:tl2br w:val="nil"/>
              <w:tr2bl w:val="nil"/>
            </w:tcBorders>
            <w:shd w:val="clear" w:color="auto" w:fill="auto"/>
            <w:noWrap/>
            <w:vAlign w:val="center"/>
          </w:tcPr>
          <w:p w14:paraId="507166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2.73</w:t>
            </w:r>
          </w:p>
        </w:tc>
        <w:tc>
          <w:tcPr>
            <w:tcW w:w="0" w:type="auto"/>
            <w:tcBorders>
              <w:tl2br w:val="nil"/>
              <w:tr2bl w:val="nil"/>
            </w:tcBorders>
            <w:shd w:val="clear" w:color="auto" w:fill="auto"/>
            <w:noWrap/>
            <w:vAlign w:val="center"/>
          </w:tcPr>
          <w:p w14:paraId="0818FF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2.74</w:t>
            </w:r>
          </w:p>
        </w:tc>
        <w:tc>
          <w:tcPr>
            <w:tcW w:w="0" w:type="auto"/>
            <w:tcBorders>
              <w:tl2br w:val="nil"/>
              <w:tr2bl w:val="nil"/>
            </w:tcBorders>
            <w:shd w:val="clear" w:color="auto" w:fill="auto"/>
            <w:noWrap/>
            <w:vAlign w:val="center"/>
          </w:tcPr>
          <w:p w14:paraId="08489F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2.75</w:t>
            </w:r>
          </w:p>
        </w:tc>
        <w:tc>
          <w:tcPr>
            <w:tcW w:w="0" w:type="auto"/>
            <w:tcBorders>
              <w:tl2br w:val="nil"/>
              <w:tr2bl w:val="nil"/>
            </w:tcBorders>
            <w:shd w:val="clear" w:color="auto" w:fill="auto"/>
            <w:noWrap/>
            <w:vAlign w:val="center"/>
          </w:tcPr>
          <w:p w14:paraId="28F5F3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2.76</w:t>
            </w:r>
          </w:p>
        </w:tc>
      </w:tr>
      <w:tr w14:paraId="344DA4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57C356DF">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67EDF33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申报产业带动就业人数（万人）</w:t>
            </w:r>
          </w:p>
        </w:tc>
        <w:tc>
          <w:tcPr>
            <w:tcW w:w="0" w:type="auto"/>
            <w:tcBorders>
              <w:tl2br w:val="nil"/>
              <w:tr2bl w:val="nil"/>
            </w:tcBorders>
            <w:shd w:val="clear" w:color="auto" w:fill="auto"/>
            <w:noWrap/>
            <w:vAlign w:val="center"/>
          </w:tcPr>
          <w:p w14:paraId="488DF1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1.89</w:t>
            </w:r>
          </w:p>
        </w:tc>
        <w:tc>
          <w:tcPr>
            <w:tcW w:w="0" w:type="auto"/>
            <w:tcBorders>
              <w:tl2br w:val="nil"/>
              <w:tr2bl w:val="nil"/>
            </w:tcBorders>
            <w:shd w:val="clear" w:color="auto" w:fill="auto"/>
            <w:noWrap/>
            <w:vAlign w:val="center"/>
          </w:tcPr>
          <w:p w14:paraId="7A5E9C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w:t>
            </w:r>
          </w:p>
        </w:tc>
        <w:tc>
          <w:tcPr>
            <w:tcW w:w="0" w:type="auto"/>
            <w:tcBorders>
              <w:tl2br w:val="nil"/>
              <w:tr2bl w:val="nil"/>
            </w:tcBorders>
            <w:shd w:val="clear" w:color="auto" w:fill="auto"/>
            <w:noWrap/>
            <w:vAlign w:val="center"/>
          </w:tcPr>
          <w:p w14:paraId="22C0B3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1.91</w:t>
            </w:r>
          </w:p>
        </w:tc>
        <w:tc>
          <w:tcPr>
            <w:tcW w:w="0" w:type="auto"/>
            <w:tcBorders>
              <w:tl2br w:val="nil"/>
              <w:tr2bl w:val="nil"/>
            </w:tcBorders>
            <w:shd w:val="clear" w:color="auto" w:fill="auto"/>
            <w:noWrap/>
            <w:vAlign w:val="center"/>
          </w:tcPr>
          <w:p w14:paraId="55D8FE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1.92</w:t>
            </w:r>
          </w:p>
        </w:tc>
      </w:tr>
      <w:tr w14:paraId="69CB23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76B1B06C">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67D10C6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农村居民人均可支配收入（万元）</w:t>
            </w:r>
          </w:p>
        </w:tc>
        <w:tc>
          <w:tcPr>
            <w:tcW w:w="0" w:type="auto"/>
            <w:tcBorders>
              <w:tl2br w:val="nil"/>
              <w:tr2bl w:val="nil"/>
            </w:tcBorders>
            <w:shd w:val="clear" w:color="auto" w:fill="auto"/>
            <w:noWrap/>
            <w:vAlign w:val="center"/>
          </w:tcPr>
          <w:p w14:paraId="08A084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2.44</w:t>
            </w:r>
          </w:p>
        </w:tc>
        <w:tc>
          <w:tcPr>
            <w:tcW w:w="0" w:type="auto"/>
            <w:tcBorders>
              <w:tl2br w:val="nil"/>
              <w:tr2bl w:val="nil"/>
            </w:tcBorders>
            <w:shd w:val="clear" w:color="auto" w:fill="auto"/>
            <w:noWrap/>
            <w:vAlign w:val="center"/>
          </w:tcPr>
          <w:p w14:paraId="51A463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2.61</w:t>
            </w:r>
          </w:p>
        </w:tc>
        <w:tc>
          <w:tcPr>
            <w:tcW w:w="0" w:type="auto"/>
            <w:tcBorders>
              <w:tl2br w:val="nil"/>
              <w:tr2bl w:val="nil"/>
            </w:tcBorders>
            <w:shd w:val="clear" w:color="auto" w:fill="auto"/>
            <w:noWrap/>
            <w:vAlign w:val="center"/>
          </w:tcPr>
          <w:p w14:paraId="11470B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2.79</w:t>
            </w:r>
          </w:p>
        </w:tc>
        <w:tc>
          <w:tcPr>
            <w:tcW w:w="0" w:type="auto"/>
            <w:tcBorders>
              <w:tl2br w:val="nil"/>
              <w:tr2bl w:val="nil"/>
            </w:tcBorders>
            <w:shd w:val="clear" w:color="auto" w:fill="auto"/>
            <w:noWrap/>
            <w:vAlign w:val="center"/>
          </w:tcPr>
          <w:p w14:paraId="01DDD4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2.98</w:t>
            </w:r>
          </w:p>
        </w:tc>
      </w:tr>
      <w:tr w14:paraId="3B7641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restart"/>
            <w:tcBorders>
              <w:tl2br w:val="nil"/>
              <w:tr2bl w:val="nil"/>
            </w:tcBorders>
            <w:shd w:val="clear" w:color="auto" w:fill="auto"/>
            <w:vAlign w:val="center"/>
          </w:tcPr>
          <w:p w14:paraId="01698D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品牌建设</w:t>
            </w:r>
          </w:p>
        </w:tc>
        <w:tc>
          <w:tcPr>
            <w:tcW w:w="3600" w:type="dxa"/>
            <w:tcBorders>
              <w:tl2br w:val="nil"/>
              <w:tr2bl w:val="nil"/>
            </w:tcBorders>
            <w:shd w:val="clear" w:color="auto" w:fill="auto"/>
            <w:vAlign w:val="center"/>
          </w:tcPr>
          <w:p w14:paraId="2BE85BF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“三品一标”（个）</w:t>
            </w:r>
          </w:p>
        </w:tc>
        <w:tc>
          <w:tcPr>
            <w:tcW w:w="0" w:type="auto"/>
            <w:tcBorders>
              <w:tl2br w:val="nil"/>
              <w:tr2bl w:val="nil"/>
            </w:tcBorders>
            <w:shd w:val="clear" w:color="auto" w:fill="auto"/>
            <w:noWrap/>
            <w:vAlign w:val="center"/>
          </w:tcPr>
          <w:p w14:paraId="473016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0" w:type="auto"/>
            <w:tcBorders>
              <w:tl2br w:val="nil"/>
              <w:tr2bl w:val="nil"/>
            </w:tcBorders>
            <w:shd w:val="clear" w:color="auto" w:fill="auto"/>
            <w:noWrap/>
            <w:vAlign w:val="center"/>
          </w:tcPr>
          <w:p w14:paraId="565552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c>
          <w:tcPr>
            <w:tcW w:w="0" w:type="auto"/>
            <w:tcBorders>
              <w:tl2br w:val="nil"/>
              <w:tr2bl w:val="nil"/>
            </w:tcBorders>
            <w:shd w:val="clear" w:color="auto" w:fill="auto"/>
            <w:noWrap/>
            <w:vAlign w:val="center"/>
          </w:tcPr>
          <w:p w14:paraId="622372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6</w:t>
            </w:r>
          </w:p>
        </w:tc>
        <w:tc>
          <w:tcPr>
            <w:tcW w:w="0" w:type="auto"/>
            <w:tcBorders>
              <w:tl2br w:val="nil"/>
              <w:tr2bl w:val="nil"/>
            </w:tcBorders>
            <w:shd w:val="clear" w:color="auto" w:fill="auto"/>
            <w:noWrap/>
            <w:vAlign w:val="center"/>
          </w:tcPr>
          <w:p w14:paraId="16CBF8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w:t>
            </w:r>
          </w:p>
        </w:tc>
      </w:tr>
      <w:tr w14:paraId="6873CD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04DFC3E1">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10287D5E">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其中：有效期有机农产品认证（个）</w:t>
            </w:r>
          </w:p>
        </w:tc>
        <w:tc>
          <w:tcPr>
            <w:tcW w:w="0" w:type="auto"/>
            <w:tcBorders>
              <w:tl2br w:val="nil"/>
              <w:tr2bl w:val="nil"/>
            </w:tcBorders>
            <w:shd w:val="clear" w:color="auto" w:fill="auto"/>
            <w:noWrap/>
            <w:vAlign w:val="center"/>
          </w:tcPr>
          <w:p w14:paraId="462427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0" w:type="auto"/>
            <w:tcBorders>
              <w:tl2br w:val="nil"/>
              <w:tr2bl w:val="nil"/>
            </w:tcBorders>
            <w:shd w:val="clear" w:color="auto" w:fill="auto"/>
            <w:noWrap/>
            <w:vAlign w:val="center"/>
          </w:tcPr>
          <w:p w14:paraId="6ED416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0" w:type="auto"/>
            <w:tcBorders>
              <w:tl2br w:val="nil"/>
              <w:tr2bl w:val="nil"/>
            </w:tcBorders>
            <w:shd w:val="clear" w:color="auto" w:fill="auto"/>
            <w:noWrap/>
            <w:vAlign w:val="center"/>
          </w:tcPr>
          <w:p w14:paraId="0CB0EF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3F1E5D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2</w:t>
            </w:r>
          </w:p>
        </w:tc>
      </w:tr>
      <w:tr w14:paraId="24535A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0F2B36E2">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176E6EE2">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有效期绿色食品认证（个）</w:t>
            </w:r>
          </w:p>
        </w:tc>
        <w:tc>
          <w:tcPr>
            <w:tcW w:w="0" w:type="auto"/>
            <w:tcBorders>
              <w:tl2br w:val="nil"/>
              <w:tr2bl w:val="nil"/>
            </w:tcBorders>
            <w:shd w:val="clear" w:color="auto" w:fill="auto"/>
            <w:noWrap/>
            <w:vAlign w:val="center"/>
          </w:tcPr>
          <w:p w14:paraId="05059A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0A7BE9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7441FB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3</w:t>
            </w:r>
          </w:p>
        </w:tc>
        <w:tc>
          <w:tcPr>
            <w:tcW w:w="0" w:type="auto"/>
            <w:tcBorders>
              <w:tl2br w:val="nil"/>
              <w:tr2bl w:val="nil"/>
            </w:tcBorders>
            <w:shd w:val="clear" w:color="auto" w:fill="auto"/>
            <w:noWrap/>
            <w:vAlign w:val="center"/>
          </w:tcPr>
          <w:p w14:paraId="53623C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5</w:t>
            </w:r>
          </w:p>
        </w:tc>
      </w:tr>
      <w:tr w14:paraId="24119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2A9CDB6D">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0DA316FF">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有效期名特优新产品认证数（个）</w:t>
            </w:r>
          </w:p>
        </w:tc>
        <w:tc>
          <w:tcPr>
            <w:tcW w:w="0" w:type="auto"/>
            <w:tcBorders>
              <w:tl2br w:val="nil"/>
              <w:tr2bl w:val="nil"/>
            </w:tcBorders>
            <w:shd w:val="clear" w:color="auto" w:fill="auto"/>
            <w:noWrap/>
            <w:vAlign w:val="center"/>
          </w:tcPr>
          <w:p w14:paraId="04A9DC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0" w:type="auto"/>
            <w:tcBorders>
              <w:tl2br w:val="nil"/>
              <w:tr2bl w:val="nil"/>
            </w:tcBorders>
            <w:shd w:val="clear" w:color="auto" w:fill="auto"/>
            <w:noWrap/>
            <w:vAlign w:val="center"/>
          </w:tcPr>
          <w:p w14:paraId="2453F9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0</w:t>
            </w:r>
          </w:p>
        </w:tc>
        <w:tc>
          <w:tcPr>
            <w:tcW w:w="0" w:type="auto"/>
            <w:tcBorders>
              <w:tl2br w:val="nil"/>
              <w:tr2bl w:val="nil"/>
            </w:tcBorders>
            <w:shd w:val="clear" w:color="auto" w:fill="auto"/>
            <w:noWrap/>
            <w:vAlign w:val="center"/>
          </w:tcPr>
          <w:p w14:paraId="480E03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5E7CCC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3439D1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293B01DF">
            <w:pPr>
              <w:jc w:val="center"/>
              <w:rPr>
                <w:rFonts w:hint="default" w:ascii="Times New Roman" w:hAnsi="Times New Roman" w:eastAsia="宋体" w:cs="Times New Roman"/>
                <w:i w:val="0"/>
                <w:iCs w:val="0"/>
                <w:color w:val="auto"/>
                <w:sz w:val="20"/>
                <w:szCs w:val="20"/>
                <w:highlight w:val="none"/>
                <w:u w:val="none"/>
              </w:rPr>
            </w:pPr>
          </w:p>
        </w:tc>
        <w:tc>
          <w:tcPr>
            <w:tcW w:w="3600" w:type="dxa"/>
            <w:tcBorders>
              <w:tl2br w:val="nil"/>
              <w:tr2bl w:val="nil"/>
            </w:tcBorders>
            <w:shd w:val="clear" w:color="auto" w:fill="auto"/>
            <w:vAlign w:val="center"/>
          </w:tcPr>
          <w:p w14:paraId="49EA1E11">
            <w:pPr>
              <w:keepNext w:val="0"/>
              <w:keepLines w:val="0"/>
              <w:widowControl/>
              <w:suppressLineNumbers w:val="0"/>
              <w:jc w:val="righ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农产品地理标志数（个）</w:t>
            </w:r>
          </w:p>
        </w:tc>
        <w:tc>
          <w:tcPr>
            <w:tcW w:w="0" w:type="auto"/>
            <w:tcBorders>
              <w:tl2br w:val="nil"/>
              <w:tr2bl w:val="nil"/>
            </w:tcBorders>
            <w:shd w:val="clear" w:color="auto" w:fill="auto"/>
            <w:noWrap/>
            <w:vAlign w:val="center"/>
          </w:tcPr>
          <w:p w14:paraId="73FDA0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6CB5E3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5B6A63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c>
          <w:tcPr>
            <w:tcW w:w="0" w:type="auto"/>
            <w:tcBorders>
              <w:tl2br w:val="nil"/>
              <w:tr2bl w:val="nil"/>
            </w:tcBorders>
            <w:shd w:val="clear" w:color="auto" w:fill="auto"/>
            <w:noWrap/>
            <w:vAlign w:val="center"/>
          </w:tcPr>
          <w:p w14:paraId="7161DF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1</w:t>
            </w:r>
          </w:p>
        </w:tc>
      </w:tr>
      <w:tr w14:paraId="0D7B2E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07" w:type="dxa"/>
            <w:vMerge w:val="continue"/>
            <w:tcBorders>
              <w:tl2br w:val="nil"/>
              <w:tr2bl w:val="nil"/>
            </w:tcBorders>
            <w:shd w:val="clear" w:color="auto" w:fill="auto"/>
            <w:vAlign w:val="center"/>
          </w:tcPr>
          <w:p w14:paraId="3B4A6FE9">
            <w:pPr>
              <w:jc w:val="center"/>
              <w:rPr>
                <w:rFonts w:hint="default" w:ascii="Times New Roman" w:hAnsi="Times New Roman" w:eastAsia="宋体" w:cs="Times New Roman"/>
                <w:i w:val="0"/>
                <w:iCs w:val="0"/>
                <w:color w:val="auto"/>
                <w:sz w:val="20"/>
                <w:szCs w:val="20"/>
                <w:highlight w:val="none"/>
                <w:u w:val="none"/>
              </w:rPr>
            </w:pPr>
          </w:p>
        </w:tc>
        <w:tc>
          <w:tcPr>
            <w:tcW w:w="0" w:type="auto"/>
            <w:tcBorders>
              <w:tl2br w:val="nil"/>
              <w:tr2bl w:val="nil"/>
            </w:tcBorders>
            <w:shd w:val="clear" w:color="auto" w:fill="auto"/>
            <w:noWrap/>
            <w:vAlign w:val="center"/>
          </w:tcPr>
          <w:p w14:paraId="1637492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spacing w:val="0"/>
                <w:w w:val="100"/>
                <w:kern w:val="0"/>
                <w:position w:val="0"/>
                <w:sz w:val="22"/>
                <w:szCs w:val="22"/>
                <w:highlight w:val="none"/>
                <w:u w:val="none"/>
                <w:shd w:val="clear" w:color="auto" w:fill="auto"/>
                <w:lang w:val="en-US" w:eastAsia="zh-CN" w:bidi="ar"/>
              </w:rPr>
              <w:t>农产品质量安全例行监测合格率（%）</w:t>
            </w:r>
          </w:p>
        </w:tc>
        <w:tc>
          <w:tcPr>
            <w:tcW w:w="0" w:type="auto"/>
            <w:tcBorders>
              <w:tl2br w:val="nil"/>
              <w:tr2bl w:val="nil"/>
            </w:tcBorders>
            <w:shd w:val="clear" w:color="auto" w:fill="auto"/>
            <w:noWrap/>
            <w:vAlign w:val="center"/>
          </w:tcPr>
          <w:p w14:paraId="796827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98</w:t>
            </w:r>
          </w:p>
        </w:tc>
        <w:tc>
          <w:tcPr>
            <w:tcW w:w="0" w:type="auto"/>
            <w:tcBorders>
              <w:tl2br w:val="nil"/>
              <w:tr2bl w:val="nil"/>
            </w:tcBorders>
            <w:shd w:val="clear" w:color="auto" w:fill="auto"/>
            <w:noWrap/>
            <w:vAlign w:val="center"/>
          </w:tcPr>
          <w:p w14:paraId="68747F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98.5</w:t>
            </w:r>
          </w:p>
        </w:tc>
        <w:tc>
          <w:tcPr>
            <w:tcW w:w="0" w:type="auto"/>
            <w:tcBorders>
              <w:tl2br w:val="nil"/>
              <w:tr2bl w:val="nil"/>
            </w:tcBorders>
            <w:shd w:val="clear" w:color="auto" w:fill="auto"/>
            <w:noWrap/>
            <w:vAlign w:val="center"/>
          </w:tcPr>
          <w:p w14:paraId="6723FE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99</w:t>
            </w:r>
          </w:p>
        </w:tc>
        <w:tc>
          <w:tcPr>
            <w:tcW w:w="0" w:type="auto"/>
            <w:tcBorders>
              <w:tl2br w:val="nil"/>
              <w:tr2bl w:val="nil"/>
            </w:tcBorders>
            <w:shd w:val="clear" w:color="auto" w:fill="auto"/>
            <w:noWrap/>
            <w:vAlign w:val="center"/>
          </w:tcPr>
          <w:p w14:paraId="6ACBD5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pacing w:val="0"/>
                <w:w w:val="100"/>
                <w:kern w:val="0"/>
                <w:position w:val="0"/>
                <w:sz w:val="20"/>
                <w:szCs w:val="20"/>
                <w:highlight w:val="none"/>
                <w:u w:val="none"/>
                <w:shd w:val="clear" w:color="auto" w:fill="auto"/>
                <w:lang w:val="en-US" w:eastAsia="zh-CN" w:bidi="ar"/>
              </w:rPr>
              <w:t>99</w:t>
            </w:r>
          </w:p>
        </w:tc>
      </w:tr>
    </w:tbl>
    <w:p w14:paraId="3415E56F">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firstLine="602" w:firstLineChars="200"/>
        <w:jc w:val="both"/>
        <w:rPr>
          <w:rFonts w:hint="default" w:ascii="Times New Roman" w:hAnsi="Times New Roman" w:eastAsia="仿宋_GB2312" w:cs="Times New Roman"/>
          <w:b/>
          <w:bCs w:val="0"/>
          <w:color w:val="auto"/>
          <w:kern w:val="2"/>
          <w:sz w:val="30"/>
          <w:szCs w:val="30"/>
          <w:highlight w:val="none"/>
          <w:lang w:eastAsia="zh-CN" w:bidi="ar-SA"/>
        </w:rPr>
      </w:pPr>
    </w:p>
    <w:p w14:paraId="7BA425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default" w:ascii="Times New Roman" w:hAnsi="Times New Roman" w:cs="Times New Roman"/>
          <w:color w:val="auto"/>
          <w:sz w:val="32"/>
          <w:szCs w:val="32"/>
          <w:highlight w:val="none"/>
          <w:lang w:val="en-US" w:eastAsia="zh-CN"/>
        </w:rPr>
      </w:pPr>
      <w:bookmarkStart w:id="70" w:name="_Toc19143"/>
      <w:bookmarkStart w:id="71" w:name="_Toc30259207"/>
      <w:bookmarkStart w:id="72" w:name="_Toc29131"/>
      <w:bookmarkStart w:id="73" w:name="_Toc5800"/>
      <w:bookmarkStart w:id="74" w:name="_Toc14513"/>
      <w:bookmarkStart w:id="75" w:name="_Toc983661534"/>
      <w:bookmarkStart w:id="76" w:name="_Toc589547007"/>
      <w:r>
        <w:rPr>
          <w:rFonts w:hint="default" w:ascii="Times New Roman" w:hAnsi="Times New Roman" w:eastAsia="黑体" w:cs="Times New Roman"/>
          <w:bCs/>
          <w:color w:val="auto"/>
          <w:kern w:val="44"/>
          <w:sz w:val="32"/>
          <w:szCs w:val="32"/>
          <w:highlight w:val="none"/>
          <w:lang w:val="en-US" w:eastAsia="zh-CN" w:bidi="ar-SA"/>
        </w:rPr>
        <w:t>三、建设</w:t>
      </w:r>
      <w:bookmarkEnd w:id="70"/>
      <w:bookmarkEnd w:id="71"/>
      <w:r>
        <w:rPr>
          <w:rFonts w:hint="default" w:ascii="Times New Roman" w:hAnsi="Times New Roman" w:eastAsia="黑体" w:cs="Times New Roman"/>
          <w:bCs/>
          <w:color w:val="auto"/>
          <w:kern w:val="44"/>
          <w:sz w:val="32"/>
          <w:szCs w:val="32"/>
          <w:highlight w:val="none"/>
          <w:lang w:val="en-US" w:eastAsia="zh-CN" w:bidi="ar-SA"/>
        </w:rPr>
        <w:t>内容</w:t>
      </w:r>
      <w:bookmarkEnd w:id="72"/>
      <w:bookmarkEnd w:id="73"/>
      <w:bookmarkEnd w:id="74"/>
      <w:bookmarkEnd w:id="75"/>
      <w:bookmarkEnd w:id="76"/>
    </w:p>
    <w:p w14:paraId="473C25F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640" w:firstLineChars="200"/>
        <w:jc w:val="both"/>
        <w:textAlignment w:val="auto"/>
        <w:rPr>
          <w:rFonts w:hint="default" w:ascii="Times New Roman" w:hAnsi="Times New Roman" w:eastAsia="仿宋_GB2312" w:cs="Times New Roman"/>
          <w:b w:val="0"/>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b w:val="0"/>
          <w:color w:val="auto"/>
          <w:spacing w:val="0"/>
          <w:w w:val="100"/>
          <w:kern w:val="2"/>
          <w:position w:val="0"/>
          <w:sz w:val="32"/>
          <w:szCs w:val="32"/>
          <w:highlight w:val="none"/>
          <w:shd w:val="clear" w:color="auto" w:fill="auto"/>
          <w:lang w:val="en-US" w:eastAsia="zh-CN" w:bidi="ar-SA"/>
        </w:rPr>
        <w:t>津市市省级蔬菜产业集群项目重点推进以藠果商品化处理与精深加工建设以及生产设施化与机械化升级，推进标准化、智能化生产，延伸预制菜等精深加工产业链，全面提升产品附加值，推动津市市蔬菜产业全产业链实现高质量发展。</w:t>
      </w:r>
    </w:p>
    <w:p w14:paraId="48508B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1.津市市平和食品有限公司</w:t>
      </w:r>
      <w:r>
        <w:rPr>
          <w:rFonts w:hint="default" w:ascii="Times New Roman" w:hAnsi="Times New Roman" w:eastAsia="仿宋_GB2312" w:cs="Times New Roman"/>
          <w:b/>
          <w:bCs/>
          <w:color w:val="auto"/>
          <w:sz w:val="32"/>
          <w:szCs w:val="32"/>
          <w:highlight w:val="none"/>
          <w:lang w:val="en-US" w:eastAsia="zh-CN"/>
        </w:rPr>
        <w:t>蔬菜商品化处理与精深加工建设项目</w:t>
      </w:r>
    </w:p>
    <w:p w14:paraId="66256B1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bCs/>
          <w:color w:val="auto"/>
          <w:sz w:val="32"/>
          <w:szCs w:val="32"/>
          <w:highlight w:val="none"/>
          <w:lang w:val="en-US" w:eastAsia="zh-CN"/>
        </w:rPr>
        <w:t>津市市平和食品有限公司</w:t>
      </w:r>
    </w:p>
    <w:p w14:paraId="2079D9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color w:val="auto"/>
          <w:sz w:val="32"/>
          <w:szCs w:val="32"/>
          <w:highlight w:val="none"/>
          <w:lang w:val="en-US" w:eastAsia="zh-CN"/>
        </w:rPr>
        <w:t>公司为市级龙头企业，2001年成立，现有员工300人，注册资本800万元，主营蔬菜、果品加工销售及进出口贸易，有自营进出口权。依托“田家山”藠果地理标志优势，产品盐渍藠果品质优，深加工的甜酸藠果口感好，具保健功效，畅销日本、韩国等国际市场。基地位于毛里湖周边乡镇，常年播种面积2万亩，年产藠果4万吨。2017年搬迁新址后进行技术改造，年产盐渍菜1500吨，腌渍能力4500吨，2023年销售收入3600多万元。藠果种植带动农户致富，提供大量就业机会，带动运输、餐饮等行业发展。“津市藠果”已获农产品地理标志登记，公司将打造“津市藠果”品牌，推进乡村振兴。</w:t>
      </w:r>
    </w:p>
    <w:p w14:paraId="1824D2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毛里湖镇中心村</w:t>
      </w:r>
    </w:p>
    <w:p w14:paraId="09C3F8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新建仓库3000平方米，购置藠果清洗去皮机3台、无人植保机5台、运输带4条、高脚打药拖拉机5台、叉车2台、铲车2台。</w:t>
      </w:r>
    </w:p>
    <w:p w14:paraId="051F97E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70</w:t>
      </w:r>
      <w:r>
        <w:rPr>
          <w:rFonts w:hint="default" w:ascii="Times New Roman" w:hAnsi="Times New Roman" w:eastAsia="仿宋_GB2312" w:cs="Times New Roman"/>
          <w:b w:val="0"/>
          <w:bCs w:val="0"/>
          <w:color w:val="auto"/>
          <w:sz w:val="32"/>
          <w:szCs w:val="32"/>
          <w:highlight w:val="none"/>
          <w:lang w:val="en-US" w:eastAsia="zh-CN"/>
        </w:rPr>
        <w:t>人（含35名脱贫劳动力），发放工资105万元（含脱贫户5</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万元）；订单收购带动农户收益70万元（含脱贫户35万元）；流转农户闲置水面，实行实物计租货币结算，保障农户稳定租金收入。</w:t>
      </w:r>
    </w:p>
    <w:p w14:paraId="1A837A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2.湖南和平生物科技有限公司生物生产设施化与机械化升级项目</w:t>
      </w:r>
    </w:p>
    <w:p w14:paraId="4C20FA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湖南和平生物科技有限公司</w:t>
      </w:r>
    </w:p>
    <w:p w14:paraId="6FC9E3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bCs w:val="0"/>
          <w:color w:val="auto"/>
          <w:sz w:val="32"/>
          <w:szCs w:val="32"/>
          <w:highlight w:val="none"/>
          <w:lang w:eastAsia="zh-CN"/>
        </w:rPr>
        <w:t>公司成立于2012年，为省级龙头企业，主营业务为利用农作物废弃生物开发、种植、销售食用菌，拥有“和越”牌商标，杏鲍菇获国家绿色食品认证。公司占地100亩，建筑面积28363平方米，采用固液制种技术及“温控菇房、无菌净化”智能化设备，日产食用菌14吨，二期工程完成后年产鲜菇1.2万吨，可实现年销售收入9000万元。未来规划发展为品种多样化的大型食用菌生产企业并力争上市，联农带农方面采用委托帮扶模式，</w:t>
      </w:r>
      <w:r>
        <w:rPr>
          <w:rFonts w:hint="default" w:ascii="Times New Roman" w:hAnsi="Times New Roman" w:eastAsia="仿宋_GB2312" w:cs="Times New Roman"/>
          <w:b w:val="0"/>
          <w:bCs w:val="0"/>
          <w:color w:val="auto"/>
          <w:sz w:val="32"/>
          <w:szCs w:val="32"/>
          <w:highlight w:val="none"/>
          <w:lang w:val="en-US" w:eastAsia="zh-CN"/>
        </w:rPr>
        <w:t>到2027</w:t>
      </w:r>
      <w:r>
        <w:rPr>
          <w:rFonts w:hint="default" w:ascii="Times New Roman" w:hAnsi="Times New Roman" w:eastAsia="仿宋_GB2312" w:cs="Times New Roman"/>
          <w:b w:val="0"/>
          <w:bCs w:val="0"/>
          <w:color w:val="auto"/>
          <w:sz w:val="32"/>
          <w:szCs w:val="32"/>
          <w:highlight w:val="none"/>
          <w:lang w:eastAsia="zh-CN"/>
        </w:rPr>
        <w:t>年按不低于8%年利率为贫困户保底分红。</w:t>
      </w:r>
    </w:p>
    <w:p w14:paraId="0892F2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151CCB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升级改造出菇房网格架8套、改造原料仓库1000平方米、升级改造出菇房1600平方米、培养房15000平方米、升级培养房及净化系统6台、升级出菇房控温系统16套、新增培养架100个、新建预冷库400立方米。</w:t>
      </w:r>
    </w:p>
    <w:p w14:paraId="6E8C965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128</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64</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192</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96</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128</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64</w:t>
      </w:r>
      <w:r>
        <w:rPr>
          <w:rFonts w:hint="default" w:ascii="Times New Roman" w:hAnsi="Times New Roman" w:eastAsia="仿宋_GB2312" w:cs="Times New Roman"/>
          <w:b w:val="0"/>
          <w:bCs w:val="0"/>
          <w:color w:val="auto"/>
          <w:sz w:val="32"/>
          <w:szCs w:val="32"/>
          <w:highlight w:val="none"/>
          <w:lang w:val="en-US" w:eastAsia="zh-CN"/>
        </w:rPr>
        <w:t>万元）；流转农户闲置水面，实行实物计租货币结算，保障农户稳定租金收入。</w:t>
      </w:r>
    </w:p>
    <w:p w14:paraId="66D440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3.湖南省浩瀚食品科技有限公司蔬菜商品化处理与精深加工建设项目</w:t>
      </w:r>
    </w:p>
    <w:p w14:paraId="201008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湖南省浩瀚食品科技有限公司</w:t>
      </w:r>
    </w:p>
    <w:p w14:paraId="0EE57E7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bCs w:val="0"/>
          <w:color w:val="auto"/>
          <w:sz w:val="32"/>
          <w:szCs w:val="32"/>
          <w:highlight w:val="none"/>
          <w:lang w:eastAsia="zh-CN"/>
        </w:rPr>
        <w:t>公司2016年成立，位于津市市工业集中区，是酱腌菜研发产销及农业种植、初加工的市级农业产业化龙头企业。现具备领先工艺技术和品质保障体系，获“湖南省知名品牌”等称号，通过ISO9001、ISO22000认证，为国家高新技术企业，“浩瀚”商标受好评，产品销全国20多省，与多家知名企业合作。公司采用“公司+基地+农户+市场”模式，2024年自有蔬菜种植基地达3000多亩，2025年预计增至6000亩以上，惠及上千种植户，签订保底价收购合同。未来将扩大种植面积，推进基地管理，加强与农村经济实体结合，带动农户致富，振兴乡村经济。</w:t>
      </w:r>
    </w:p>
    <w:p w14:paraId="17C290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60C831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bCs w:val="0"/>
          <w:color w:val="auto"/>
          <w:sz w:val="32"/>
          <w:szCs w:val="32"/>
          <w:highlight w:val="none"/>
          <w:lang w:val="en-US" w:eastAsia="zh-CN"/>
        </w:rPr>
        <w:t>外墙围护及墙面檩条加固</w:t>
      </w:r>
      <w:r>
        <w:rPr>
          <w:rFonts w:hint="default" w:ascii="Times New Roman" w:hAnsi="Times New Roman" w:eastAsia="仿宋_GB2312" w:cs="Times New Roman"/>
          <w:b w:val="0"/>
          <w:color w:val="auto"/>
          <w:sz w:val="32"/>
          <w:szCs w:val="32"/>
          <w:highlight w:val="none"/>
          <w:lang w:val="en-US" w:eastAsia="zh-CN"/>
        </w:rPr>
        <w:t>10800平方米，安装卸货雨棚800平方米，屋面维修换瓦4500平方米，杀菌生产线（含巴氏杀菌、预冷、风干、传送）1条，建设腌制池40个，购置腌制发酵坛（千斤坛）750个。装修钢结构生产车间7700平方米，新建预冷库5000立方米，购置不锈钢蔬菜分拣线4条、蔬菜清洗线5条，新购置航吊浸泡桶24个、全自动真空包装机（大包装）3台、全自动真空包装机（小包装）2台、蔬菜烘干设备机组1套，杀菌生产线41米、300kg不锈钢搅拌机2台、色选机1台、带式压滤机1台、腌渍池40个、振动筛4台、X光视觉一体机1台、激光喷码机5台、套袋机2台、比亚迪电动叉车2台，配套购置日处理500吨污水的污水处理设备2套。</w:t>
      </w:r>
    </w:p>
    <w:p w14:paraId="7C22472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楷体_GB2312" w:cs="Times New Roman"/>
          <w:b/>
          <w:bCs/>
          <w:color w:val="auto"/>
          <w:kern w:val="0"/>
          <w:sz w:val="30"/>
          <w:szCs w:val="30"/>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color w:val="auto"/>
          <w:sz w:val="32"/>
          <w:szCs w:val="32"/>
          <w:highlight w:val="none"/>
          <w:lang w:val="en-US" w:eastAsia="zh-CN"/>
        </w:rPr>
        <w:t>年吸纳就业</w:t>
      </w:r>
      <w:r>
        <w:rPr>
          <w:rFonts w:hint="eastAsia" w:eastAsia="仿宋_GB2312" w:cs="Times New Roman"/>
          <w:b w:val="0"/>
          <w:color w:val="auto"/>
          <w:sz w:val="32"/>
          <w:szCs w:val="32"/>
          <w:highlight w:val="none"/>
          <w:lang w:val="en-US" w:eastAsia="zh-CN"/>
        </w:rPr>
        <w:t>292</w:t>
      </w:r>
      <w:r>
        <w:rPr>
          <w:rFonts w:hint="default" w:ascii="Times New Roman" w:hAnsi="Times New Roman" w:eastAsia="仿宋_GB2312" w:cs="Times New Roman"/>
          <w:b w:val="0"/>
          <w:color w:val="auto"/>
          <w:sz w:val="32"/>
          <w:szCs w:val="32"/>
          <w:highlight w:val="none"/>
          <w:lang w:val="en-US" w:eastAsia="zh-CN"/>
        </w:rPr>
        <w:t>人以上（含</w:t>
      </w:r>
      <w:r>
        <w:rPr>
          <w:rFonts w:hint="eastAsia" w:eastAsia="仿宋_GB2312" w:cs="Times New Roman"/>
          <w:b w:val="0"/>
          <w:color w:val="auto"/>
          <w:sz w:val="32"/>
          <w:szCs w:val="32"/>
          <w:highlight w:val="none"/>
          <w:lang w:val="en-US" w:eastAsia="zh-CN"/>
        </w:rPr>
        <w:t>146</w:t>
      </w:r>
      <w:r>
        <w:rPr>
          <w:rFonts w:hint="default" w:ascii="Times New Roman" w:hAnsi="Times New Roman" w:eastAsia="仿宋_GB2312" w:cs="Times New Roman"/>
          <w:b w:val="0"/>
          <w:color w:val="auto"/>
          <w:sz w:val="32"/>
          <w:szCs w:val="32"/>
          <w:highlight w:val="none"/>
          <w:lang w:val="en-US" w:eastAsia="zh-CN"/>
        </w:rPr>
        <w:t>名脱贫劳动力），发放</w:t>
      </w:r>
      <w:r>
        <w:rPr>
          <w:rFonts w:hint="eastAsia" w:eastAsia="仿宋_GB2312" w:cs="Times New Roman"/>
          <w:b w:val="0"/>
          <w:color w:val="auto"/>
          <w:sz w:val="32"/>
          <w:szCs w:val="32"/>
          <w:highlight w:val="none"/>
          <w:lang w:val="en-US" w:eastAsia="zh-CN"/>
        </w:rPr>
        <w:t>工资438</w:t>
      </w:r>
      <w:r>
        <w:rPr>
          <w:rFonts w:hint="default" w:ascii="Times New Roman" w:hAnsi="Times New Roman" w:eastAsia="仿宋_GB2312" w:cs="Times New Roman"/>
          <w:b w:val="0"/>
          <w:color w:val="auto"/>
          <w:sz w:val="32"/>
          <w:szCs w:val="32"/>
          <w:highlight w:val="none"/>
          <w:lang w:val="en-US" w:eastAsia="zh-CN"/>
        </w:rPr>
        <w:t>万元（其中脱贫劳动力工资</w:t>
      </w:r>
      <w:r>
        <w:rPr>
          <w:rFonts w:hint="eastAsia" w:eastAsia="仿宋_GB2312" w:cs="Times New Roman"/>
          <w:b w:val="0"/>
          <w:color w:val="auto"/>
          <w:sz w:val="32"/>
          <w:szCs w:val="32"/>
          <w:highlight w:val="none"/>
          <w:lang w:val="en-US" w:eastAsia="zh-CN"/>
        </w:rPr>
        <w:t>220</w:t>
      </w:r>
      <w:r>
        <w:rPr>
          <w:rFonts w:hint="default" w:ascii="Times New Roman" w:hAnsi="Times New Roman" w:eastAsia="仿宋_GB2312" w:cs="Times New Roman"/>
          <w:b w:val="0"/>
          <w:color w:val="auto"/>
          <w:sz w:val="32"/>
          <w:szCs w:val="32"/>
          <w:highlight w:val="none"/>
          <w:lang w:val="en-US" w:eastAsia="zh-CN"/>
        </w:rPr>
        <w:t>万元）；</w:t>
      </w:r>
      <w:r>
        <w:rPr>
          <w:rFonts w:hint="default" w:ascii="Times New Roman" w:hAnsi="Times New Roman" w:eastAsia="仿宋_GB2312" w:cs="Times New Roman"/>
          <w:color w:val="auto"/>
          <w:spacing w:val="7"/>
          <w:sz w:val="32"/>
          <w:szCs w:val="32"/>
          <w:highlight w:val="none"/>
        </w:rPr>
        <w:t>为有生产经营服务需求的农户（优先 服务脱贫户、监测户）</w:t>
      </w:r>
      <w:r>
        <w:rPr>
          <w:rFonts w:hint="default" w:ascii="Times New Roman" w:hAnsi="Times New Roman" w:eastAsia="仿宋_GB2312" w:cs="Times New Roman"/>
          <w:color w:val="auto"/>
          <w:spacing w:val="9"/>
          <w:sz w:val="32"/>
          <w:szCs w:val="32"/>
          <w:highlight w:val="none"/>
          <w:lang w:val="en-US" w:eastAsia="zh-CN"/>
        </w:rPr>
        <w:t>开展产前、产中、产后免费规范化的培训服务和指导</w:t>
      </w:r>
      <w:r>
        <w:rPr>
          <w:rFonts w:hint="eastAsia" w:ascii="Times New Roman" w:hAnsi="Times New Roman" w:eastAsia="仿宋_GB2312" w:cs="Times New Roman"/>
          <w:color w:val="auto"/>
          <w:spacing w:val="9"/>
          <w:sz w:val="32"/>
          <w:szCs w:val="32"/>
          <w:highlight w:val="none"/>
          <w:lang w:val="en-US" w:eastAsia="zh-CN"/>
        </w:rPr>
        <w:t>2次</w:t>
      </w:r>
      <w:r>
        <w:rPr>
          <w:rFonts w:hint="default" w:ascii="Times New Roman" w:hAnsi="Times New Roman" w:eastAsia="仿宋_GB2312" w:cs="Times New Roman"/>
          <w:color w:val="auto"/>
          <w:spacing w:val="9"/>
          <w:sz w:val="32"/>
          <w:szCs w:val="32"/>
          <w:highlight w:val="none"/>
          <w:lang w:val="en-US" w:eastAsia="zh-CN"/>
        </w:rPr>
        <w:t>，提升技术水平，增加经营性收入。</w:t>
      </w:r>
    </w:p>
    <w:p w14:paraId="3FAF7D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4.津市市盈昇蔬菜专业合作社蔬菜商品化处理与精深加工建设项目</w:t>
      </w:r>
    </w:p>
    <w:p w14:paraId="7A07DB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bCs w:val="0"/>
          <w:color w:val="auto"/>
          <w:sz w:val="32"/>
          <w:szCs w:val="32"/>
          <w:highlight w:val="none"/>
          <w:lang w:val="en-US" w:eastAsia="zh-CN"/>
        </w:rPr>
        <w:t>津市市盈昇蔬菜专业合作社</w:t>
      </w:r>
    </w:p>
    <w:p w14:paraId="6E3394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color w:val="auto"/>
          <w:sz w:val="32"/>
          <w:szCs w:val="32"/>
          <w:highlight w:val="none"/>
          <w:lang w:val="en-US" w:eastAsia="zh-CN"/>
        </w:rPr>
        <w:t>合作社2016年成立，位于津市市毛里湖镇，法人代表郭斌，主营红、白莱苔和薄荷种植，社员50户。基地总投资300余万元，实现耕、种、收等全程机械化，配备冷链运输、烘干等设备，固定资产近300万元。合作社种植面积超千亩，解决周边劳动力就业，获镇政府表彰。截至2022年底，合作社资产总额36.78万元，主营业务收入38.92万元，净利润10.16万元。合作社采用“合作社+基地+农户”模式，提供种子种苗、技术培训及产品收购。</w:t>
      </w:r>
    </w:p>
    <w:p w14:paraId="11B83F4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毛里湖镇中心村</w:t>
      </w:r>
    </w:p>
    <w:p w14:paraId="32A128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新建钢构大棚600平方米，配套新建</w:t>
      </w:r>
      <w:r>
        <w:rPr>
          <w:rFonts w:hint="eastAsia" w:eastAsia="仿宋_GB2312" w:cs="Times New Roman"/>
          <w:b w:val="0"/>
          <w:color w:val="auto"/>
          <w:sz w:val="32"/>
          <w:szCs w:val="32"/>
          <w:highlight w:val="none"/>
          <w:lang w:val="en-US" w:eastAsia="zh-CN"/>
        </w:rPr>
        <w:t>低</w:t>
      </w:r>
      <w:r>
        <w:rPr>
          <w:rFonts w:hint="default" w:ascii="Times New Roman" w:hAnsi="Times New Roman" w:eastAsia="仿宋_GB2312" w:cs="Times New Roman"/>
          <w:b w:val="0"/>
          <w:color w:val="auto"/>
          <w:sz w:val="32"/>
          <w:szCs w:val="32"/>
          <w:highlight w:val="none"/>
          <w:lang w:val="en-US" w:eastAsia="zh-CN"/>
        </w:rPr>
        <w:t>冷库500立方米、高温库500立方米，并配备冷链运输车台。</w:t>
      </w:r>
    </w:p>
    <w:p w14:paraId="77F509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楷体_GB2312" w:cs="Times New Roman"/>
          <w:b/>
          <w:bCs/>
          <w:color w:val="auto"/>
          <w:kern w:val="0"/>
          <w:sz w:val="30"/>
          <w:szCs w:val="30"/>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34</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51</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26</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34</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lang w:val="en-US" w:eastAsia="zh-CN"/>
        </w:rPr>
        <w:t>万元）；流转农户闲置水面，实行实物计租货币结算，保障农户稳定租金收入。</w:t>
      </w:r>
    </w:p>
    <w:p w14:paraId="11726E8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5.湖南台龙食品科技有限公司蔬菜商品化处理与精深加工建设项目</w:t>
      </w:r>
    </w:p>
    <w:p w14:paraId="4E169E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湖南台龙食品科技有限公司</w:t>
      </w:r>
    </w:p>
    <w:p w14:paraId="2DAB4D4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color w:val="auto"/>
          <w:sz w:val="32"/>
          <w:szCs w:val="32"/>
          <w:highlight w:val="none"/>
          <w:lang w:val="en-US" w:eastAsia="zh-CN"/>
        </w:rPr>
        <w:t>公司为省级龙头企业，位于津市市高新创业园，注册资本2000万元，主营藠果技术研发、种植、储藏、深加工及销售，产品为“津市藠果”地理标志产品，加工成休闲食品，拥有现代化标准加工厂房、车间及设备。2019年申报的星创天地获省科技厅备案，2022年获常德市农业产业化龙头企业称号，2023年获第八届中国国际食品餐饮博览会最受消费者喜爱品牌等多项荣誉。公司与3家合作社、4个乡镇、17个村和368户签订种植收购合同，组织专家开展技术培训，带动藠农致富及三产融合。现申请纳入省级重点农业产业化龙头企业，以发挥深加工优势，推动当地经济发展。</w:t>
      </w:r>
    </w:p>
    <w:p w14:paraId="19EB4FE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1ADC01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新建预冷库5000立方米，</w:t>
      </w:r>
      <w:r>
        <w:rPr>
          <w:rFonts w:hint="eastAsia" w:eastAsia="仿宋_GB2312" w:cs="Times New Roman"/>
          <w:b w:val="0"/>
          <w:color w:val="auto"/>
          <w:sz w:val="32"/>
          <w:szCs w:val="32"/>
          <w:highlight w:val="none"/>
          <w:lang w:val="en-US" w:eastAsia="zh-CN"/>
        </w:rPr>
        <w:t>腌制池44个，</w:t>
      </w:r>
      <w:r>
        <w:rPr>
          <w:rFonts w:hint="default" w:ascii="Times New Roman" w:hAnsi="Times New Roman" w:eastAsia="仿宋_GB2312" w:cs="Times New Roman"/>
          <w:b w:val="0"/>
          <w:color w:val="auto"/>
          <w:sz w:val="32"/>
          <w:szCs w:val="32"/>
          <w:highlight w:val="none"/>
          <w:lang w:val="en-US" w:eastAsia="zh-CN"/>
        </w:rPr>
        <w:t>成品仓库3500平方米。</w:t>
      </w:r>
    </w:p>
    <w:p w14:paraId="629B2E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154</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77</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231</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116</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154</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77</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color w:val="auto"/>
          <w:spacing w:val="7"/>
          <w:sz w:val="32"/>
          <w:szCs w:val="32"/>
          <w:highlight w:val="none"/>
        </w:rPr>
        <w:t>为有生产经营服务需求的农户（优先 服务脱贫户、监测户）</w:t>
      </w:r>
      <w:r>
        <w:rPr>
          <w:rFonts w:hint="default" w:ascii="Times New Roman" w:hAnsi="Times New Roman" w:eastAsia="仿宋_GB2312" w:cs="Times New Roman"/>
          <w:color w:val="auto"/>
          <w:spacing w:val="9"/>
          <w:sz w:val="32"/>
          <w:szCs w:val="32"/>
          <w:highlight w:val="none"/>
          <w:lang w:val="en-US" w:eastAsia="zh-CN"/>
        </w:rPr>
        <w:t>开展产前、产中、产后免费规范化的培训服务和指导</w:t>
      </w:r>
      <w:r>
        <w:rPr>
          <w:rFonts w:hint="eastAsia" w:ascii="Times New Roman" w:hAnsi="Times New Roman" w:eastAsia="仿宋_GB2312" w:cs="Times New Roman"/>
          <w:color w:val="auto"/>
          <w:spacing w:val="9"/>
          <w:sz w:val="32"/>
          <w:szCs w:val="32"/>
          <w:highlight w:val="none"/>
          <w:lang w:val="en-US" w:eastAsia="zh-CN"/>
        </w:rPr>
        <w:t>2次</w:t>
      </w:r>
      <w:r>
        <w:rPr>
          <w:rFonts w:hint="default" w:ascii="Times New Roman" w:hAnsi="Times New Roman" w:eastAsia="仿宋_GB2312" w:cs="Times New Roman"/>
          <w:color w:val="auto"/>
          <w:spacing w:val="9"/>
          <w:sz w:val="32"/>
          <w:szCs w:val="32"/>
          <w:highlight w:val="none"/>
          <w:lang w:val="en-US" w:eastAsia="zh-CN"/>
        </w:rPr>
        <w:t>，提升技术水平，增加经营性收入</w:t>
      </w:r>
      <w:r>
        <w:rPr>
          <w:rFonts w:hint="default" w:ascii="Times New Roman" w:hAnsi="Times New Roman" w:eastAsia="仿宋_GB2312" w:cs="Times New Roman"/>
          <w:b w:val="0"/>
          <w:bCs w:val="0"/>
          <w:color w:val="auto"/>
          <w:sz w:val="32"/>
          <w:szCs w:val="32"/>
          <w:highlight w:val="none"/>
          <w:lang w:val="en-US" w:eastAsia="zh-CN"/>
        </w:rPr>
        <w:t>。</w:t>
      </w:r>
    </w:p>
    <w:p w14:paraId="72AEAC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6.津市市白衣镇荣贵藠果专业合作社蔬菜商品化处理与精深加工建设项目</w:t>
      </w:r>
    </w:p>
    <w:p w14:paraId="167CA4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津市市白衣镇荣贵藠果专业合作社</w:t>
      </w:r>
    </w:p>
    <w:p w14:paraId="3A0080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合作社简介：</w:t>
      </w:r>
      <w:r>
        <w:rPr>
          <w:rFonts w:hint="default" w:ascii="Times New Roman" w:hAnsi="Times New Roman" w:eastAsia="仿宋_GB2312" w:cs="Times New Roman"/>
          <w:b w:val="0"/>
          <w:bCs w:val="0"/>
          <w:color w:val="auto"/>
          <w:sz w:val="32"/>
          <w:szCs w:val="32"/>
          <w:highlight w:val="none"/>
          <w:lang w:val="en-US" w:eastAsia="zh-CN"/>
        </w:rPr>
        <w:t>合作社</w:t>
      </w:r>
      <w:r>
        <w:rPr>
          <w:rFonts w:hint="default" w:ascii="Times New Roman" w:hAnsi="Times New Roman" w:eastAsia="仿宋_GB2312" w:cs="Times New Roman"/>
          <w:b w:val="0"/>
          <w:bCs w:val="0"/>
          <w:color w:val="auto"/>
          <w:sz w:val="32"/>
          <w:szCs w:val="32"/>
          <w:highlight w:val="none"/>
          <w:lang w:eastAsia="zh-CN"/>
        </w:rPr>
        <w:t>为省级合作示范社，位于津市市白衣镇，由胡晓红等15人发起设立，现有社员108人，基地面积1500亩，带动全镇种植超1.8万亩。合作社示范区在白衣镇钟灵村、建国村，土壤、空气等无污染，符合无公害藠果生产条件，交通便利。津市藠果早在2010年获农产品地理标志登记。当地藠果种植历史久，产品个大、肉白、皮多、味鲜，有药用保健作用，远销日本、韩国等。2020年成员种植超千亩，鲜藠果超两千吨，营收648万元，利润67.5万元，40万元用于帮扶275户贫困户。当年新建两座保鲜库，库容3000立方，固定资产668万元。</w:t>
      </w:r>
    </w:p>
    <w:p w14:paraId="332F766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白衣镇钟灵村</w:t>
      </w:r>
    </w:p>
    <w:p w14:paraId="64EC74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新建钢结构分选车间300平方米，新建预冷库2000立方米，并配备设施设备（周转箱）1套。</w:t>
      </w:r>
    </w:p>
    <w:p w14:paraId="4D8E65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64</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96</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48</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64</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lang w:val="en-US" w:eastAsia="zh-CN"/>
        </w:rPr>
        <w:t>万元）；流转农户闲置水面，实行实物计租货币结算，保障农户稳定租金收入。</w:t>
      </w:r>
    </w:p>
    <w:p w14:paraId="4CCD4B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7.湖南创奇食品有限公司商品化处理与精深加工建设项目</w:t>
      </w:r>
    </w:p>
    <w:p w14:paraId="7C1325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湖南创奇食品有限公司</w:t>
      </w:r>
    </w:p>
    <w:p w14:paraId="067FA90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合作社简介：</w:t>
      </w:r>
      <w:r>
        <w:rPr>
          <w:rFonts w:hint="default" w:ascii="Times New Roman" w:hAnsi="Times New Roman" w:eastAsia="仿宋_GB2312" w:cs="Times New Roman"/>
          <w:b w:val="0"/>
          <w:color w:val="auto"/>
          <w:sz w:val="32"/>
          <w:szCs w:val="32"/>
          <w:highlight w:val="none"/>
          <w:lang w:val="en-US" w:eastAsia="zh-CN"/>
        </w:rPr>
        <w:t>公司为省级龙头企业，公司2012年成立，2015年迁入市工业园，采用“公司+基地+农户+市场”模式，开展农产品深加工。现资产超5000万元，占地1万多平方米，年产熟食1500吨，主导“创奇”牌鱼制品和蔬菜制品，有50余个品种，2020年通过ISO9001认证，获多项荣誉，2018年成为高新技术企业。公司以淡水鱼制品为主，蔬菜制品等为辅，原料由农户供应，2023年农产品交易额5800万元，年销售额8012万元。五年规划将养殖区域扩至1万亩，品种增至120个，完善生产线，发挥研发优势，打造品牌，提升农户效益。</w:t>
      </w:r>
    </w:p>
    <w:p w14:paraId="76E34A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5B203D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改造生产车间500平方米，新增年加工蔬菜制品能力2000吨生产线1条，购置蔬菜生产设备5台，并配套新建预冷库300立方米。</w:t>
      </w:r>
    </w:p>
    <w:p w14:paraId="3C780C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楷体_GB2312" w:cs="Times New Roman"/>
          <w:b/>
          <w:bCs/>
          <w:color w:val="auto"/>
          <w:kern w:val="0"/>
          <w:sz w:val="30"/>
          <w:szCs w:val="30"/>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40</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60</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40</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b w:val="0"/>
          <w:color w:val="auto"/>
          <w:sz w:val="32"/>
          <w:szCs w:val="32"/>
          <w:highlight w:val="none"/>
          <w:lang w:val="en-US" w:eastAsia="zh-CN"/>
        </w:rPr>
        <w:t>为签约农户提供优质种苗、农资团购、全程技术指导，减免服务费用</w:t>
      </w:r>
      <w:r>
        <w:rPr>
          <w:rFonts w:hint="eastAsia" w:eastAsia="仿宋_GB2312" w:cs="Times New Roman"/>
          <w:b w:val="0"/>
          <w:color w:val="auto"/>
          <w:sz w:val="32"/>
          <w:szCs w:val="32"/>
          <w:highlight w:val="none"/>
          <w:lang w:val="en-US" w:eastAsia="zh-CN"/>
        </w:rPr>
        <w:t>20</w:t>
      </w:r>
      <w:r>
        <w:rPr>
          <w:rFonts w:hint="default" w:ascii="Times New Roman" w:hAnsi="Times New Roman" w:eastAsia="仿宋_GB2312" w:cs="Times New Roman"/>
          <w:b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lang w:val="en-US" w:eastAsia="zh-CN"/>
        </w:rPr>
        <w:t>。</w:t>
      </w:r>
    </w:p>
    <w:p w14:paraId="1C5D6E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8.津市市马家弯种植专业合作社生产设施化与机械化升级建设项目</w:t>
      </w:r>
    </w:p>
    <w:p w14:paraId="02EEC07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津市市马家弯种植专业合作社</w:t>
      </w:r>
    </w:p>
    <w:p w14:paraId="7037005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color w:val="auto"/>
          <w:sz w:val="32"/>
          <w:szCs w:val="32"/>
          <w:highlight w:val="none"/>
          <w:lang w:val="en-US" w:eastAsia="zh-CN"/>
        </w:rPr>
        <w:t>合作社2019年始建，位于津市市嘉山街道戚关村，占地280亩，注册资金200万元，是村集体经济合作社。合作社起初以高档优质水稻种植为主，现重心转为食用菌种植。2024年新建20座蔬菜大棚，与湖南禧菌农业开发有限公司合作，村集体以土地及生产设施入股，合作方提供技术服务，当年产新鲜羊肚菌6000余斤，增加了村集体和农户收入。合作社食用菌产区基础设施完善，适合发展设施农业。2025年计划新增2座恒温大棚种植黑皮鸡枞菌，项目实施后将成戚关村集体经济支柱，预计实现经济收入170余万元，带动30户农户务工，人均收入不低于25000元，经济效益和社会效益明显。</w:t>
      </w:r>
    </w:p>
    <w:p w14:paraId="3A8B4C7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嘉山街道戚关村</w:t>
      </w:r>
    </w:p>
    <w:p w14:paraId="1AE899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新建镀锌钢管温室大棚550平方米，削菇车间120平方米，预冷库100立方米，并配套建设钻水井1口。</w:t>
      </w:r>
    </w:p>
    <w:p w14:paraId="50C281F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16</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24</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Regular" w:hAnsi="Times New Roman Regular" w:eastAsia="仿宋_GB2312" w:cs="Times New Roman Regular"/>
          <w:b w:val="0"/>
          <w:bCs w:val="0"/>
          <w:color w:val="auto"/>
          <w:sz w:val="32"/>
          <w:szCs w:val="32"/>
          <w:highlight w:val="none"/>
          <w:lang w:val="en-US" w:eastAsia="zh-CN"/>
        </w:rPr>
        <w:t>保底收益+入股分红（40%集群资金折股量化，优先脱贫人口）</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为签约农户提供优质种苗、农资团购、全程技术指导，减免服务费用</w:t>
      </w:r>
      <w:r>
        <w:rPr>
          <w:rFonts w:hint="eastAsia" w:eastAsia="仿宋_GB2312" w:cs="Times New Roman"/>
          <w:b w:val="0"/>
          <w:color w:val="auto"/>
          <w:sz w:val="32"/>
          <w:szCs w:val="32"/>
          <w:highlight w:val="none"/>
          <w:lang w:val="en-US" w:eastAsia="zh-CN"/>
        </w:rPr>
        <w:t>80</w:t>
      </w:r>
      <w:r>
        <w:rPr>
          <w:rFonts w:hint="default" w:ascii="Times New Roman" w:hAnsi="Times New Roman" w:eastAsia="仿宋_GB2312" w:cs="Times New Roman"/>
          <w:b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lang w:val="en-US" w:eastAsia="zh-CN"/>
        </w:rPr>
        <w:t>。</w:t>
      </w:r>
    </w:p>
    <w:p w14:paraId="6A8072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9.湖南津味绿康食品股份有限公司商品化处理与精深加工建设项目</w:t>
      </w:r>
    </w:p>
    <w:p w14:paraId="0E22BC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湖南津味绿康食品股份有限公司</w:t>
      </w:r>
    </w:p>
    <w:p w14:paraId="5BB6B87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color w:val="auto"/>
          <w:sz w:val="32"/>
          <w:szCs w:val="32"/>
          <w:highlight w:val="none"/>
          <w:lang w:val="en-US" w:eastAsia="zh-CN"/>
        </w:rPr>
        <w:t>公司为市级龙头企业，2012年由原绿康食品有限公司为主兴办，是果蔬罐头深加工企业，前身为1996年始建的津市市绿康食品有限公司，有二十八年食品加工经验。公司位于津市市嘉山工业园区，注册资本1000万，占地2.5万多平方米，引进4条国内先进自动化果蔬罐头生产线，年设计产能1万余吨，桔子生产线基本全机械化和智能化，全天生产桔罐80吨，全季5000吨，2023年产能7000吨，产值6000余万元。“津味绿康”是湖南省著名商标，2017年起为常德市农业产业化龙头企业，2019年入选央视“品质”栏目。2025年致力开发菌类和莲藕制品系列。</w:t>
      </w:r>
    </w:p>
    <w:p w14:paraId="5B6AA4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540E0C6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新建钢构结构生产车间1200平方米，新建低温库1000立方米、新购置年加工3000吨蔬菜生产线2条。</w:t>
      </w:r>
    </w:p>
    <w:p w14:paraId="15DF136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50</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25</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75</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38</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50</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25</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b w:val="0"/>
          <w:color w:val="auto"/>
          <w:sz w:val="32"/>
          <w:szCs w:val="32"/>
          <w:highlight w:val="none"/>
          <w:lang w:val="en-US" w:eastAsia="zh-CN"/>
        </w:rPr>
        <w:t>为签约农户提供优质种苗、农资团购、全程技术指导，减免服务费用</w:t>
      </w:r>
      <w:r>
        <w:rPr>
          <w:rFonts w:hint="eastAsia" w:eastAsia="仿宋_GB2312" w:cs="Times New Roman"/>
          <w:b w:val="0"/>
          <w:color w:val="auto"/>
          <w:sz w:val="32"/>
          <w:szCs w:val="32"/>
          <w:highlight w:val="none"/>
          <w:lang w:val="en-US" w:eastAsia="zh-CN"/>
        </w:rPr>
        <w:t>25</w:t>
      </w:r>
      <w:r>
        <w:rPr>
          <w:rFonts w:hint="default" w:ascii="Times New Roman" w:hAnsi="Times New Roman" w:eastAsia="仿宋_GB2312" w:cs="Times New Roman"/>
          <w:b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lang w:val="en-US" w:eastAsia="zh-CN"/>
        </w:rPr>
        <w:t>。</w:t>
      </w:r>
    </w:p>
    <w:p w14:paraId="160D32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10.湖南十八子食品有限公司商品化处理与精深加工建设项目</w:t>
      </w:r>
    </w:p>
    <w:p w14:paraId="18C3CAD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湖南十八子食品有限公司</w:t>
      </w:r>
    </w:p>
    <w:p w14:paraId="759A5A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color w:val="auto"/>
          <w:sz w:val="32"/>
          <w:szCs w:val="32"/>
          <w:highlight w:val="none"/>
          <w:lang w:val="en-US" w:eastAsia="zh-CN"/>
        </w:rPr>
        <w:t>公司为市级龙头企业，前身为1999年创立的津市十八子食品厂，2024年更名并迁至津市市高新技术产业开发区，注册资本1000万元，通过SC认证。公司占地21312平方米，资产总计2500万元，年销售收入800万元，年产腐乳及其他系列产品50万箱。“木子腐乳王”为公司主打品牌，秉承传统工艺，以特色风味获多项奖项，畅销国内外，还开发了蒜香宝、辣八豆等新产品。公司严格遵循食品安全标准，注重科技研发，拥有专业技术团队和多个生产、职能部门，设备齐全，正朝着年产销5000万元目标迈进。</w:t>
      </w:r>
    </w:p>
    <w:p w14:paraId="5E5566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津市市高新区</w:t>
      </w:r>
    </w:p>
    <w:p w14:paraId="777B7BC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新购置多头灌装机1台、全自动贴标喷码一体机1台、蔬菜分拣设备1台、清洗设备1台、双层水浴杀菌釜1台、农残检验检测设备1台、叉车1台、冷链车1台。</w:t>
      </w:r>
    </w:p>
    <w:p w14:paraId="40F696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15</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Regular" w:hAnsi="Times New Roman Regular" w:eastAsia="仿宋_GB2312" w:cs="Times New Roman Regular"/>
          <w:b w:val="0"/>
          <w:bCs w:val="0"/>
          <w:color w:val="auto"/>
          <w:sz w:val="32"/>
          <w:szCs w:val="32"/>
          <w:highlight w:val="none"/>
          <w:lang w:val="en-US" w:eastAsia="zh-CN"/>
        </w:rPr>
        <w:t>保底收益+入股分红（40%集群资金折股量化，优先脱贫人口）</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为签约农户提供优质种苗、农资团购、全程技术指导，减免服务费用</w:t>
      </w:r>
      <w:r>
        <w:rPr>
          <w:rFonts w:hint="eastAsia" w:eastAsia="仿宋_GB2312" w:cs="Times New Roman"/>
          <w:b w:val="0"/>
          <w:color w:val="auto"/>
          <w:sz w:val="32"/>
          <w:szCs w:val="32"/>
          <w:highlight w:val="none"/>
          <w:lang w:val="en-US" w:eastAsia="zh-CN"/>
        </w:rPr>
        <w:t>5</w:t>
      </w:r>
      <w:r>
        <w:rPr>
          <w:rFonts w:hint="default" w:ascii="Times New Roman" w:hAnsi="Times New Roman" w:eastAsia="仿宋_GB2312" w:cs="Times New Roman"/>
          <w:b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lang w:val="en-US" w:eastAsia="zh-CN"/>
        </w:rPr>
        <w:t>。</w:t>
      </w:r>
    </w:p>
    <w:p w14:paraId="0223FC0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11.津市市施兴权家庭农场蔬菜商品化处理与精深加工建设项目</w:t>
      </w:r>
    </w:p>
    <w:p w14:paraId="271824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实施主体：</w:t>
      </w:r>
      <w:r>
        <w:rPr>
          <w:rFonts w:hint="default" w:ascii="Times New Roman" w:hAnsi="Times New Roman" w:eastAsia="仿宋_GB2312" w:cs="Times New Roman"/>
          <w:b w:val="0"/>
          <w:color w:val="auto"/>
          <w:sz w:val="32"/>
          <w:szCs w:val="32"/>
          <w:highlight w:val="none"/>
          <w:lang w:val="en-US" w:eastAsia="zh-CN"/>
        </w:rPr>
        <w:t>津市市施兴权家庭农场</w:t>
      </w:r>
    </w:p>
    <w:p w14:paraId="2CB2B1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公司简介：</w:t>
      </w:r>
      <w:r>
        <w:rPr>
          <w:rFonts w:hint="default" w:ascii="Times New Roman" w:hAnsi="Times New Roman" w:eastAsia="仿宋_GB2312" w:cs="Times New Roman"/>
          <w:b w:val="0"/>
          <w:bCs w:val="0"/>
          <w:color w:val="auto"/>
          <w:sz w:val="32"/>
          <w:szCs w:val="32"/>
          <w:highlight w:val="none"/>
          <w:lang w:val="en-US" w:eastAsia="zh-CN"/>
        </w:rPr>
        <w:t xml:space="preserve">家庭农场成立于2021年，占地面积6.72亩，是一家以绿色蔬菜种植为核心，集生产、销售、技术推广于一体的现代化家庭农场。农场依托本地优良的生态环境和农业资源优势，坚持“绿色、健康、可持续”的发展理念，致力于为市场提供优质安全的蔬菜产品。 </w:t>
      </w:r>
    </w:p>
    <w:p w14:paraId="3FB8EA1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建设地点</w:t>
      </w:r>
      <w:r>
        <w:rPr>
          <w:rFonts w:hint="default" w:ascii="Times New Roman" w:hAnsi="Times New Roman" w:eastAsia="仿宋_GB2312" w:cs="Times New Roman"/>
          <w:b w:val="0"/>
          <w:color w:val="auto"/>
          <w:sz w:val="32"/>
          <w:szCs w:val="32"/>
          <w:highlight w:val="none"/>
          <w:lang w:val="en-US" w:eastAsia="zh-CN"/>
        </w:rPr>
        <w:t>：毛里湖镇青苗社区</w:t>
      </w:r>
    </w:p>
    <w:p w14:paraId="0588C21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建设内容：</w:t>
      </w:r>
      <w:r>
        <w:rPr>
          <w:rFonts w:hint="default" w:ascii="Times New Roman" w:hAnsi="Times New Roman" w:eastAsia="仿宋_GB2312" w:cs="Times New Roman"/>
          <w:b w:val="0"/>
          <w:color w:val="auto"/>
          <w:sz w:val="32"/>
          <w:szCs w:val="32"/>
          <w:highlight w:val="none"/>
          <w:lang w:val="en-US" w:eastAsia="zh-CN"/>
        </w:rPr>
        <w:t>新建钢构结构生产车间1200平方米、蔬菜分拣线5条，半自动蔬菜清洗线1条、全自动真空包装机（小包装）1台、叉车1台、水质处理器2套、装载机1套、豪华多功能蒸煮炉10台。</w:t>
      </w:r>
    </w:p>
    <w:p w14:paraId="3ACACB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643" w:firstLineChars="200"/>
        <w:jc w:val="both"/>
        <w:textAlignment w:val="auto"/>
        <w:outlineLvl w:val="9"/>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联农带农：</w:t>
      </w:r>
      <w:r>
        <w:rPr>
          <w:rFonts w:hint="default" w:ascii="Times New Roman" w:hAnsi="Times New Roman" w:eastAsia="仿宋_GB2312" w:cs="Times New Roman"/>
          <w:b w:val="0"/>
          <w:bCs w:val="0"/>
          <w:color w:val="auto"/>
          <w:sz w:val="32"/>
          <w:szCs w:val="32"/>
          <w:highlight w:val="none"/>
          <w:lang w:val="en-US" w:eastAsia="zh-CN"/>
        </w:rPr>
        <w:t>年吸纳就业</w:t>
      </w:r>
      <w:r>
        <w:rPr>
          <w:rFonts w:hint="eastAsia" w:eastAsia="仿宋_GB2312" w:cs="Times New Roman"/>
          <w:b w:val="0"/>
          <w:bCs w:val="0"/>
          <w:color w:val="auto"/>
          <w:sz w:val="32"/>
          <w:szCs w:val="32"/>
          <w:highlight w:val="none"/>
          <w:lang w:val="en-US" w:eastAsia="zh-CN"/>
        </w:rPr>
        <w:t>42</w:t>
      </w:r>
      <w:r>
        <w:rPr>
          <w:rFonts w:hint="default" w:ascii="Times New Roman" w:hAnsi="Times New Roman" w:eastAsia="仿宋_GB2312" w:cs="Times New Roman"/>
          <w:b w:val="0"/>
          <w:bCs w:val="0"/>
          <w:color w:val="auto"/>
          <w:sz w:val="32"/>
          <w:szCs w:val="32"/>
          <w:highlight w:val="none"/>
          <w:lang w:val="en-US" w:eastAsia="zh-CN"/>
        </w:rPr>
        <w:t>人（含</w:t>
      </w:r>
      <w:r>
        <w:rPr>
          <w:rFonts w:hint="eastAsia"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lang w:val="en-US" w:eastAsia="zh-CN"/>
        </w:rPr>
        <w:t>名脱贫劳动力），发放工资</w:t>
      </w:r>
      <w:r>
        <w:rPr>
          <w:rFonts w:hint="eastAsia" w:eastAsia="仿宋_GB2312" w:cs="Times New Roman"/>
          <w:b w:val="0"/>
          <w:bCs w:val="0"/>
          <w:color w:val="auto"/>
          <w:sz w:val="32"/>
          <w:szCs w:val="32"/>
          <w:highlight w:val="none"/>
          <w:lang w:val="en-US" w:eastAsia="zh-CN"/>
        </w:rPr>
        <w:t>63</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lang w:val="en-US" w:eastAsia="zh-CN"/>
        </w:rPr>
        <w:t>万元）；订单收购带动农户收益</w:t>
      </w:r>
      <w:r>
        <w:rPr>
          <w:rFonts w:hint="eastAsia" w:eastAsia="仿宋_GB2312" w:cs="Times New Roman"/>
          <w:b w:val="0"/>
          <w:bCs w:val="0"/>
          <w:color w:val="auto"/>
          <w:sz w:val="32"/>
          <w:szCs w:val="32"/>
          <w:highlight w:val="none"/>
          <w:lang w:val="en-US" w:eastAsia="zh-CN"/>
        </w:rPr>
        <w:t>42</w:t>
      </w:r>
      <w:r>
        <w:rPr>
          <w:rFonts w:hint="default" w:ascii="Times New Roman" w:hAnsi="Times New Roman" w:eastAsia="仿宋_GB2312" w:cs="Times New Roman"/>
          <w:b w:val="0"/>
          <w:bCs w:val="0"/>
          <w:color w:val="auto"/>
          <w:sz w:val="32"/>
          <w:szCs w:val="32"/>
          <w:highlight w:val="none"/>
          <w:lang w:val="en-US" w:eastAsia="zh-CN"/>
        </w:rPr>
        <w:t>万元（含脱贫户</w:t>
      </w:r>
      <w:r>
        <w:rPr>
          <w:rFonts w:hint="eastAsia"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lang w:val="en-US" w:eastAsia="zh-CN"/>
        </w:rPr>
        <w:t>万元）；流转农户闲置水面，实行实物计租货币结算，保障农户稳定租金收入。</w:t>
      </w:r>
    </w:p>
    <w:p w14:paraId="35B096BB">
      <w:pPr>
        <w:keepNext w:val="0"/>
        <w:keepLines w:val="0"/>
        <w:pageBreakBefore w:val="0"/>
        <w:widowControl w:val="0"/>
        <w:numPr>
          <w:ilvl w:val="1"/>
          <w:numId w:val="0"/>
        </w:numPr>
        <w:tabs>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0"/>
        <w:rPr>
          <w:rFonts w:hint="default" w:ascii="Times New Roman" w:hAnsi="Times New Roman" w:eastAsia="黑体" w:cs="Times New Roman"/>
          <w:bCs/>
          <w:color w:val="auto"/>
          <w:kern w:val="2"/>
          <w:sz w:val="32"/>
          <w:szCs w:val="32"/>
          <w:highlight w:val="none"/>
          <w:lang w:val="en-US" w:eastAsia="zh-CN" w:bidi="ar-SA"/>
        </w:rPr>
      </w:pPr>
      <w:bookmarkStart w:id="77" w:name="_Toc755877083"/>
      <w:bookmarkStart w:id="78" w:name="_Toc22369"/>
      <w:bookmarkStart w:id="79" w:name="_Toc4070"/>
      <w:bookmarkStart w:id="80" w:name="_Toc6312"/>
      <w:bookmarkStart w:id="81" w:name="_Toc26999391"/>
      <w:r>
        <w:rPr>
          <w:rFonts w:hint="eastAsia" w:eastAsia="黑体" w:cs="Times New Roman"/>
          <w:b w:val="0"/>
          <w:bCs w:val="0"/>
          <w:i w:val="0"/>
          <w:iCs w:val="0"/>
          <w:caps w:val="0"/>
          <w:smallCaps w:val="0"/>
          <w:snapToGrid w:val="0"/>
          <w:vanish w:val="0"/>
          <w:color w:val="auto"/>
          <w:spacing w:val="0"/>
          <w:w w:val="100"/>
          <w:kern w:val="0"/>
          <w:position w:val="0"/>
          <w:sz w:val="32"/>
          <w:szCs w:val="32"/>
          <w:highlight w:val="none"/>
          <w:u w:val="none"/>
          <w:shd w:val="clear" w:fill="auto"/>
          <w:vertAlign w:val="baseline"/>
          <w:lang w:val="en-US" w:eastAsia="zh-CN" w:bidi="ar-SA"/>
        </w:rPr>
        <w:t>四</w:t>
      </w:r>
      <w:r>
        <w:rPr>
          <w:rFonts w:hint="default" w:ascii="Times New Roman" w:hAnsi="Times New Roman" w:eastAsia="黑体" w:cs="Times New Roman"/>
          <w:b w:val="0"/>
          <w:bCs w:val="0"/>
          <w:i w:val="0"/>
          <w:iCs w:val="0"/>
          <w:caps w:val="0"/>
          <w:smallCaps w:val="0"/>
          <w:snapToGrid w:val="0"/>
          <w:vanish w:val="0"/>
          <w:color w:val="auto"/>
          <w:spacing w:val="0"/>
          <w:w w:val="100"/>
          <w:kern w:val="0"/>
          <w:position w:val="0"/>
          <w:sz w:val="32"/>
          <w:szCs w:val="32"/>
          <w:highlight w:val="none"/>
          <w:u w:val="none"/>
          <w:shd w:val="clear" w:fill="auto"/>
          <w:vertAlign w:val="baseline"/>
          <w:lang w:val="en-US" w:eastAsia="zh-CN" w:bidi="ar-SA"/>
        </w:rPr>
        <w:t>、</w:t>
      </w:r>
      <w:r>
        <w:rPr>
          <w:rFonts w:hint="default" w:ascii="Times New Roman" w:hAnsi="Times New Roman" w:eastAsia="黑体" w:cs="Times New Roman"/>
          <w:bCs/>
          <w:color w:val="auto"/>
          <w:kern w:val="2"/>
          <w:sz w:val="32"/>
          <w:szCs w:val="32"/>
          <w:highlight w:val="none"/>
          <w:lang w:val="en-US" w:eastAsia="zh-CN" w:bidi="ar-SA"/>
        </w:rPr>
        <w:t>资金</w:t>
      </w:r>
      <w:bookmarkEnd w:id="77"/>
      <w:bookmarkEnd w:id="78"/>
      <w:bookmarkEnd w:id="79"/>
      <w:bookmarkEnd w:id="80"/>
      <w:r>
        <w:rPr>
          <w:rFonts w:hint="eastAsia" w:eastAsia="黑体" w:cs="Times New Roman"/>
          <w:bCs/>
          <w:color w:val="auto"/>
          <w:kern w:val="2"/>
          <w:sz w:val="32"/>
          <w:szCs w:val="32"/>
          <w:highlight w:val="none"/>
          <w:lang w:val="en-US" w:eastAsia="zh-CN" w:bidi="ar-SA"/>
        </w:rPr>
        <w:t>估算</w:t>
      </w:r>
      <w:bookmarkEnd w:id="81"/>
    </w:p>
    <w:p w14:paraId="65EF770B">
      <w:pPr>
        <w:keepNext w:val="0"/>
        <w:keepLines w:val="0"/>
        <w:pageBreakBefore w:val="0"/>
        <w:widowControl w:val="0"/>
        <w:shd w:val="clear" w:color="auto" w:fill="auto"/>
        <w:kinsoku/>
        <w:wordWrap/>
        <w:overflowPunct/>
        <w:topLinePunct w:val="0"/>
        <w:autoSpaceDE/>
        <w:autoSpaceDN/>
        <w:bidi w:val="0"/>
        <w:adjustRightInd w:val="0"/>
        <w:snapToGrid w:val="0"/>
        <w:spacing w:before="0" w:line="36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津市市省级蔬菜产业集群项目共实施11个子项目，</w:t>
      </w:r>
      <w:r>
        <w:rPr>
          <w:rFonts w:hint="eastAsia"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总投资</w:t>
      </w:r>
      <w:r>
        <w:rPr>
          <w:rFonts w:hint="eastAsia" w:eastAsia="仿宋_GB2312" w:cs="Times New Roman"/>
          <w:color w:val="auto"/>
          <w:sz w:val="32"/>
          <w:szCs w:val="32"/>
          <w:highlight w:val="none"/>
          <w:lang w:val="en-US" w:eastAsia="zh-CN"/>
        </w:rPr>
        <w:t>6901.91</w:t>
      </w:r>
      <w:r>
        <w:rPr>
          <w:rFonts w:hint="default" w:ascii="Times New Roman" w:hAnsi="Times New Roman" w:eastAsia="仿宋_GB2312" w:cs="Times New Roman"/>
          <w:color w:val="auto"/>
          <w:sz w:val="32"/>
          <w:szCs w:val="32"/>
          <w:highlight w:val="none"/>
          <w:lang w:val="en-US" w:eastAsia="zh-CN"/>
        </w:rPr>
        <w:t>万元，其中2025年投资</w:t>
      </w:r>
      <w:r>
        <w:rPr>
          <w:rFonts w:hint="eastAsia" w:eastAsia="仿宋_GB2312" w:cs="Times New Roman"/>
          <w:color w:val="auto"/>
          <w:sz w:val="32"/>
          <w:szCs w:val="32"/>
          <w:highlight w:val="none"/>
          <w:lang w:val="en-US" w:eastAsia="zh-CN"/>
        </w:rPr>
        <w:t>1847.42</w:t>
      </w:r>
      <w:r>
        <w:rPr>
          <w:rFonts w:hint="default" w:ascii="Times New Roman" w:hAnsi="Times New Roman" w:eastAsia="仿宋_GB2312" w:cs="Times New Roman"/>
          <w:color w:val="auto"/>
          <w:sz w:val="32"/>
          <w:szCs w:val="32"/>
          <w:highlight w:val="none"/>
          <w:lang w:val="en-US" w:eastAsia="zh-CN"/>
        </w:rPr>
        <w:t>万元，2026年投资</w:t>
      </w:r>
      <w:r>
        <w:rPr>
          <w:rFonts w:hint="eastAsia" w:eastAsia="仿宋_GB2312" w:cs="Times New Roman"/>
          <w:color w:val="auto"/>
          <w:sz w:val="32"/>
          <w:szCs w:val="32"/>
          <w:highlight w:val="none"/>
          <w:lang w:val="en-US" w:eastAsia="zh-CN"/>
        </w:rPr>
        <w:t>2737.49</w:t>
      </w:r>
      <w:r>
        <w:rPr>
          <w:rFonts w:hint="default" w:ascii="Times New Roman" w:hAnsi="Times New Roman" w:eastAsia="仿宋_GB2312" w:cs="Times New Roman"/>
          <w:color w:val="auto"/>
          <w:sz w:val="32"/>
          <w:szCs w:val="32"/>
          <w:highlight w:val="none"/>
          <w:lang w:val="en-US" w:eastAsia="zh-CN"/>
        </w:rPr>
        <w:t>万元，2027年投资</w:t>
      </w:r>
      <w:r>
        <w:rPr>
          <w:rFonts w:hint="eastAsia" w:eastAsia="仿宋_GB2312" w:cs="Times New Roman"/>
          <w:color w:val="auto"/>
          <w:sz w:val="32"/>
          <w:szCs w:val="32"/>
          <w:highlight w:val="none"/>
          <w:lang w:val="en-US" w:eastAsia="zh-CN"/>
        </w:rPr>
        <w:t>2374</w:t>
      </w:r>
      <w:r>
        <w:rPr>
          <w:rFonts w:hint="default" w:ascii="Times New Roman" w:hAnsi="Times New Roman"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如上级调整下达资金数额，投资计划以年度方案为准。</w:t>
      </w:r>
      <w:r>
        <w:rPr>
          <w:rFonts w:hint="default" w:ascii="Times New Roman" w:hAnsi="Times New Roman" w:eastAsia="仿宋_GB2312" w:cs="Times New Roman"/>
          <w:color w:val="auto"/>
          <w:sz w:val="32"/>
          <w:szCs w:val="32"/>
          <w:highlight w:val="none"/>
          <w:lang w:val="en-US" w:eastAsia="zh-CN"/>
        </w:rPr>
        <w:t>详见表5-1。</w:t>
      </w:r>
    </w:p>
    <w:p w14:paraId="739028C9">
      <w:pPr>
        <w:pStyle w:val="8"/>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default" w:ascii="Times New Roman" w:hAnsi="Times New Roman" w:eastAsia="楷体_GB2312" w:cs="Times New Roman"/>
          <w:b/>
          <w:color w:val="auto"/>
          <w:sz w:val="30"/>
          <w:szCs w:val="30"/>
          <w:highlight w:val="none"/>
        </w:rPr>
      </w:pPr>
      <w:r>
        <w:rPr>
          <w:rFonts w:hint="default" w:ascii="Times New Roman" w:hAnsi="Times New Roman" w:eastAsia="楷体_GB2312" w:cs="Times New Roman"/>
          <w:b/>
          <w:color w:val="auto"/>
          <w:sz w:val="30"/>
          <w:szCs w:val="30"/>
          <w:highlight w:val="none"/>
        </w:rPr>
        <w:t>表</w:t>
      </w:r>
      <w:r>
        <w:rPr>
          <w:rFonts w:hint="default" w:ascii="Times New Roman" w:hAnsi="Times New Roman" w:eastAsia="楷体_GB2312" w:cs="Times New Roman"/>
          <w:b/>
          <w:color w:val="auto"/>
          <w:sz w:val="30"/>
          <w:szCs w:val="30"/>
          <w:highlight w:val="none"/>
          <w:lang w:val="en-US" w:eastAsia="zh-CN"/>
        </w:rPr>
        <w:t xml:space="preserve">5-1 </w:t>
      </w:r>
      <w:r>
        <w:rPr>
          <w:rFonts w:hint="default" w:ascii="Times New Roman" w:hAnsi="Times New Roman" w:eastAsia="楷体_GB2312" w:cs="Times New Roman"/>
          <w:b/>
          <w:color w:val="auto"/>
          <w:sz w:val="30"/>
          <w:szCs w:val="30"/>
          <w:highlight w:val="none"/>
        </w:rPr>
        <w:t xml:space="preserve"> </w:t>
      </w:r>
      <w:r>
        <w:rPr>
          <w:rFonts w:hint="default" w:ascii="Times New Roman" w:hAnsi="Times New Roman" w:eastAsia="楷体_GB2312" w:cs="Times New Roman"/>
          <w:b/>
          <w:color w:val="auto"/>
          <w:sz w:val="30"/>
          <w:szCs w:val="30"/>
          <w:highlight w:val="none"/>
          <w:lang w:eastAsia="zh-CN"/>
        </w:rPr>
        <w:t>津市市</w:t>
      </w:r>
      <w:r>
        <w:rPr>
          <w:rFonts w:hint="default" w:ascii="Times New Roman" w:hAnsi="Times New Roman" w:eastAsia="楷体_GB2312" w:cs="Times New Roman"/>
          <w:b/>
          <w:color w:val="auto"/>
          <w:sz w:val="30"/>
          <w:szCs w:val="30"/>
          <w:highlight w:val="none"/>
          <w:lang w:val="en-US" w:eastAsia="zh-CN"/>
        </w:rPr>
        <w:t>省级蔬菜产业集群</w:t>
      </w:r>
      <w:r>
        <w:rPr>
          <w:rFonts w:hint="default" w:ascii="Times New Roman" w:hAnsi="Times New Roman" w:eastAsia="楷体_GB2312" w:cs="Times New Roman"/>
          <w:b/>
          <w:color w:val="auto"/>
          <w:sz w:val="30"/>
          <w:szCs w:val="30"/>
          <w:highlight w:val="none"/>
        </w:rPr>
        <w:t>项目</w:t>
      </w:r>
      <w:r>
        <w:rPr>
          <w:rFonts w:hint="eastAsia" w:ascii="Times New Roman" w:hAnsi="Times New Roman" w:eastAsia="楷体_GB2312" w:cs="Times New Roman"/>
          <w:b/>
          <w:color w:val="auto"/>
          <w:sz w:val="30"/>
          <w:szCs w:val="30"/>
          <w:highlight w:val="none"/>
          <w:lang w:eastAsia="zh-CN"/>
        </w:rPr>
        <w:t>计划</w:t>
      </w:r>
      <w:bookmarkStart w:id="98" w:name="_GoBack"/>
      <w:bookmarkEnd w:id="98"/>
      <w:r>
        <w:rPr>
          <w:rFonts w:hint="default" w:ascii="Times New Roman" w:hAnsi="Times New Roman" w:eastAsia="楷体_GB2312" w:cs="Times New Roman"/>
          <w:b/>
          <w:color w:val="auto"/>
          <w:sz w:val="30"/>
          <w:szCs w:val="30"/>
          <w:highlight w:val="none"/>
          <w:lang w:val="en-US" w:eastAsia="zh-CN"/>
        </w:rPr>
        <w:t>投资</w:t>
      </w:r>
      <w:r>
        <w:rPr>
          <w:rFonts w:hint="default" w:ascii="Times New Roman" w:hAnsi="Times New Roman" w:eastAsia="楷体_GB2312" w:cs="Times New Roman"/>
          <w:b/>
          <w:color w:val="auto"/>
          <w:sz w:val="30"/>
          <w:szCs w:val="30"/>
          <w:highlight w:val="none"/>
        </w:rPr>
        <w:t>表</w:t>
      </w:r>
    </w:p>
    <w:tbl>
      <w:tblPr>
        <w:tblStyle w:val="19"/>
        <w:tblW w:w="517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3861"/>
        <w:gridCol w:w="1571"/>
        <w:gridCol w:w="983"/>
        <w:gridCol w:w="971"/>
        <w:gridCol w:w="1035"/>
      </w:tblGrid>
      <w:tr w14:paraId="253505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blHeader/>
          <w:jc w:val="center"/>
        </w:trPr>
        <w:tc>
          <w:tcPr>
            <w:tcW w:w="330" w:type="pct"/>
            <w:vMerge w:val="restart"/>
            <w:tcBorders>
              <w:bottom w:val="single" w:color="000000" w:sz="4" w:space="0"/>
              <w:right w:val="single" w:color="000000" w:sz="4" w:space="0"/>
            </w:tcBorders>
            <w:shd w:val="clear" w:color="auto" w:fill="auto"/>
            <w:vAlign w:val="center"/>
          </w:tcPr>
          <w:p w14:paraId="4716744B">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序号</w:t>
            </w:r>
          </w:p>
        </w:tc>
        <w:tc>
          <w:tcPr>
            <w:tcW w:w="2140" w:type="pct"/>
            <w:vMerge w:val="restart"/>
            <w:tcBorders>
              <w:left w:val="single" w:color="000000" w:sz="4" w:space="0"/>
              <w:bottom w:val="single" w:color="000000" w:sz="4" w:space="0"/>
              <w:right w:val="single" w:color="000000" w:sz="4" w:space="0"/>
            </w:tcBorders>
            <w:shd w:val="clear" w:color="auto" w:fill="auto"/>
            <w:vAlign w:val="center"/>
          </w:tcPr>
          <w:p w14:paraId="2313D176">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项目名称</w:t>
            </w:r>
          </w:p>
        </w:tc>
        <w:tc>
          <w:tcPr>
            <w:tcW w:w="871" w:type="pct"/>
            <w:vMerge w:val="restart"/>
            <w:tcBorders>
              <w:left w:val="single" w:color="000000" w:sz="4" w:space="0"/>
              <w:bottom w:val="single" w:color="000000" w:sz="4" w:space="0"/>
              <w:right w:val="single" w:color="000000" w:sz="4" w:space="0"/>
            </w:tcBorders>
            <w:shd w:val="clear" w:color="auto" w:fill="auto"/>
            <w:vAlign w:val="center"/>
          </w:tcPr>
          <w:p w14:paraId="15ADCB7D">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小计</w:t>
            </w: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br w:type="textWrapping"/>
            </w: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（万元）</w:t>
            </w:r>
          </w:p>
        </w:tc>
        <w:tc>
          <w:tcPr>
            <w:tcW w:w="1657" w:type="pct"/>
            <w:gridSpan w:val="3"/>
            <w:tcBorders>
              <w:left w:val="single" w:color="000000" w:sz="4" w:space="0"/>
              <w:bottom w:val="single" w:color="000000" w:sz="4" w:space="0"/>
            </w:tcBorders>
            <w:shd w:val="clear" w:color="auto" w:fill="auto"/>
            <w:vAlign w:val="center"/>
          </w:tcPr>
          <w:p w14:paraId="158DD7BA">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分年度</w:t>
            </w:r>
            <w:r>
              <w:rPr>
                <w:rFonts w:hint="eastAsia"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计划</w:t>
            </w: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投资（万元）</w:t>
            </w:r>
          </w:p>
        </w:tc>
      </w:tr>
      <w:tr w14:paraId="7D3972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5" w:hRule="atLeast"/>
          <w:tblHeader/>
          <w:jc w:val="center"/>
        </w:trPr>
        <w:tc>
          <w:tcPr>
            <w:tcW w:w="330" w:type="pct"/>
            <w:vMerge w:val="continue"/>
            <w:tcBorders>
              <w:top w:val="single" w:color="000000" w:sz="4" w:space="0"/>
              <w:bottom w:val="single" w:color="000000" w:sz="4" w:space="0"/>
              <w:right w:val="single" w:color="000000" w:sz="4" w:space="0"/>
            </w:tcBorders>
            <w:shd w:val="clear" w:color="auto" w:fill="auto"/>
            <w:vAlign w:val="center"/>
          </w:tcPr>
          <w:p w14:paraId="141E5843">
            <w:pPr>
              <w:jc w:val="center"/>
              <w:rPr>
                <w:rFonts w:hint="default" w:ascii="Times New Roman Regular" w:hAnsi="Times New Roman Regular" w:eastAsia="宋体" w:cs="Times New Roman Regular"/>
                <w:b/>
                <w:bCs/>
                <w:i w:val="0"/>
                <w:iCs w:val="0"/>
                <w:color w:val="auto"/>
                <w:sz w:val="22"/>
                <w:szCs w:val="22"/>
                <w:highlight w:val="none"/>
                <w:u w:val="none"/>
              </w:rPr>
            </w:pPr>
          </w:p>
        </w:tc>
        <w:tc>
          <w:tcPr>
            <w:tcW w:w="2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DC30">
            <w:pPr>
              <w:jc w:val="center"/>
              <w:rPr>
                <w:rFonts w:hint="default" w:ascii="Times New Roman Regular" w:hAnsi="Times New Roman Regular" w:eastAsia="宋体" w:cs="Times New Roman Regular"/>
                <w:b/>
                <w:bCs/>
                <w:i w:val="0"/>
                <w:iCs w:val="0"/>
                <w:color w:val="auto"/>
                <w:sz w:val="22"/>
                <w:szCs w:val="22"/>
                <w:highlight w:val="none"/>
                <w:u w:val="none"/>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F404">
            <w:pPr>
              <w:jc w:val="center"/>
              <w:rPr>
                <w:rFonts w:hint="default" w:ascii="Times New Roman Regular" w:hAnsi="Times New Roman Regular" w:eastAsia="宋体" w:cs="Times New Roman Regular"/>
                <w:b/>
                <w:bCs/>
                <w:i w:val="0"/>
                <w:iCs w:val="0"/>
                <w:color w:val="auto"/>
                <w:sz w:val="22"/>
                <w:szCs w:val="22"/>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7A09">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2025年</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F0CC">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2026年</w:t>
            </w:r>
          </w:p>
        </w:tc>
        <w:tc>
          <w:tcPr>
            <w:tcW w:w="574" w:type="pct"/>
            <w:tcBorders>
              <w:top w:val="single" w:color="000000" w:sz="4" w:space="0"/>
              <w:left w:val="single" w:color="000000" w:sz="4" w:space="0"/>
              <w:bottom w:val="single" w:color="000000" w:sz="4" w:space="0"/>
            </w:tcBorders>
            <w:shd w:val="clear" w:color="auto" w:fill="auto"/>
            <w:vAlign w:val="center"/>
          </w:tcPr>
          <w:p w14:paraId="4CEBF6E4">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2027年</w:t>
            </w:r>
          </w:p>
        </w:tc>
      </w:tr>
      <w:tr w14:paraId="26B9B0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389CF0EC">
            <w:pPr>
              <w:rPr>
                <w:rFonts w:hint="default" w:ascii="Times New Roman Regular" w:hAnsi="Times New Roman Regular" w:eastAsia="宋体" w:cs="Times New Roman Regular"/>
                <w:i w:val="0"/>
                <w:iCs w:val="0"/>
                <w:color w:val="auto"/>
                <w:sz w:val="22"/>
                <w:szCs w:val="22"/>
                <w:highlight w:val="none"/>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BAF7">
            <w:pPr>
              <w:keepNext w:val="0"/>
              <w:keepLines w:val="0"/>
              <w:widowControl/>
              <w:suppressLineNumbers w:val="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auto"/>
                <w:spacing w:val="0"/>
                <w:w w:val="100"/>
                <w:kern w:val="0"/>
                <w:position w:val="0"/>
                <w:sz w:val="22"/>
                <w:szCs w:val="22"/>
                <w:highlight w:val="none"/>
                <w:u w:val="none"/>
                <w:shd w:val="clear" w:color="auto" w:fill="auto"/>
                <w:lang w:val="en-US" w:eastAsia="zh-CN" w:bidi="ar"/>
              </w:rPr>
              <w:t>合  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A287">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000000"/>
                <w:spacing w:val="0"/>
                <w:w w:val="100"/>
                <w:kern w:val="0"/>
                <w:position w:val="0"/>
                <w:sz w:val="22"/>
                <w:szCs w:val="22"/>
                <w:u w:val="none"/>
                <w:shd w:val="clear" w:color="auto" w:fill="auto"/>
                <w:lang w:val="en-US" w:eastAsia="zh-CN" w:bidi="ar"/>
              </w:rPr>
              <w:t>6901.91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6F77">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宋体" w:cs="Times New Roman Regular"/>
                <w:b/>
                <w:bCs/>
                <w:i w:val="0"/>
                <w:iCs w:val="0"/>
                <w:color w:val="000000"/>
                <w:spacing w:val="0"/>
                <w:w w:val="100"/>
                <w:kern w:val="0"/>
                <w:position w:val="0"/>
                <w:sz w:val="22"/>
                <w:szCs w:val="22"/>
                <w:u w:val="none"/>
                <w:shd w:val="clear" w:color="auto" w:fill="auto"/>
                <w:lang w:val="en-US" w:eastAsia="zh-CN" w:bidi="ar"/>
              </w:rPr>
              <w:t>1847.42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C88E">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 xml:space="preserve">2737.49 </w:t>
            </w:r>
          </w:p>
        </w:tc>
        <w:tc>
          <w:tcPr>
            <w:tcW w:w="1012" w:type="dxa"/>
            <w:tcBorders>
              <w:top w:val="single" w:color="000000" w:sz="4" w:space="0"/>
              <w:left w:val="single" w:color="000000" w:sz="4" w:space="0"/>
              <w:bottom w:val="single" w:color="000000" w:sz="4" w:space="0"/>
            </w:tcBorders>
            <w:shd w:val="clear" w:color="auto" w:fill="auto"/>
            <w:vAlign w:val="center"/>
          </w:tcPr>
          <w:p w14:paraId="1D6DC3EB">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b/>
                <w:bCs/>
                <w:i w:val="0"/>
                <w:iCs w:val="0"/>
                <w:color w:val="auto"/>
                <w:sz w:val="22"/>
                <w:szCs w:val="22"/>
                <w:highlight w:val="none"/>
                <w:u w:val="none"/>
              </w:rPr>
            </w:pPr>
            <w:r>
              <w:rPr>
                <w:rFonts w:hint="default" w:ascii="Times New Roman Regular" w:hAnsi="Times New Roman Regular" w:eastAsia="Times New Roman Regular" w:cs="Times New Roman Regular"/>
                <w:b/>
                <w:bCs/>
                <w:i w:val="0"/>
                <w:iCs w:val="0"/>
                <w:color w:val="000000"/>
                <w:spacing w:val="0"/>
                <w:w w:val="100"/>
                <w:kern w:val="0"/>
                <w:position w:val="0"/>
                <w:sz w:val="22"/>
                <w:szCs w:val="22"/>
                <w:u w:val="none"/>
                <w:shd w:val="clear" w:color="auto" w:fill="auto"/>
                <w:lang w:val="en-US" w:eastAsia="zh-CN" w:bidi="ar"/>
              </w:rPr>
              <w:t xml:space="preserve">2374.00 </w:t>
            </w:r>
          </w:p>
        </w:tc>
      </w:tr>
      <w:tr w14:paraId="4F0C16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5457745A">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1</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CEF1">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津市市平和食品有限公司</w:t>
            </w:r>
            <w:r>
              <w:rPr>
                <w:rFonts w:hint="eastAsia"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蔬菜商品化处理与精深加工建设项目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6A9">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548.3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6536">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225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C05C">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323.3</w:t>
            </w:r>
          </w:p>
        </w:tc>
        <w:tc>
          <w:tcPr>
            <w:tcW w:w="1012" w:type="dxa"/>
            <w:tcBorders>
              <w:top w:val="single" w:color="000000" w:sz="4" w:space="0"/>
              <w:left w:val="single" w:color="000000" w:sz="4" w:space="0"/>
              <w:bottom w:val="single" w:color="000000" w:sz="4" w:space="0"/>
            </w:tcBorders>
            <w:shd w:val="clear" w:color="auto" w:fill="auto"/>
            <w:vAlign w:val="center"/>
          </w:tcPr>
          <w:p w14:paraId="56C1F416">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r>
      <w:tr w14:paraId="48BEC1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4AC750BC">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2</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E298">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湖南和平生物科技有限公司生物生产设施化与机械化升级项目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24E4">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883.89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1466">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549</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D26E">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334.89</w:t>
            </w:r>
          </w:p>
        </w:tc>
        <w:tc>
          <w:tcPr>
            <w:tcW w:w="1012" w:type="dxa"/>
            <w:tcBorders>
              <w:top w:val="single" w:color="000000" w:sz="4" w:space="0"/>
              <w:left w:val="single" w:color="000000" w:sz="4" w:space="0"/>
              <w:bottom w:val="single" w:color="000000" w:sz="4" w:space="0"/>
            </w:tcBorders>
            <w:shd w:val="clear" w:color="auto" w:fill="auto"/>
            <w:vAlign w:val="center"/>
          </w:tcPr>
          <w:p w14:paraId="3F3ABD5E">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r>
      <w:tr w14:paraId="72F416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7D2DEA7E">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3</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4C71">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湖南省浩瀚食品科技有限公司蔬菜商品化处理与精深加工建设项目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13D7">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2173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2A8E">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628.2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EC97">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899.8</w:t>
            </w:r>
          </w:p>
        </w:tc>
        <w:tc>
          <w:tcPr>
            <w:tcW w:w="1012" w:type="dxa"/>
            <w:tcBorders>
              <w:top w:val="single" w:color="000000" w:sz="4" w:space="0"/>
              <w:left w:val="single" w:color="000000" w:sz="4" w:space="0"/>
              <w:bottom w:val="single" w:color="000000" w:sz="4" w:space="0"/>
            </w:tcBorders>
            <w:shd w:val="clear" w:color="auto" w:fill="auto"/>
            <w:vAlign w:val="center"/>
          </w:tcPr>
          <w:p w14:paraId="44B2BA36">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645</w:t>
            </w:r>
          </w:p>
        </w:tc>
      </w:tr>
      <w:tr w14:paraId="0AD7A7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391783EE">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4</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1088">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津市市盈昇蔬菜专业合作社</w:t>
            </w:r>
            <w:r>
              <w:rPr>
                <w:rFonts w:hint="eastAsia"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蔬菜商品化处理与精深加工建设项目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3168">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201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D99D">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70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4C95">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131</w:t>
            </w:r>
          </w:p>
        </w:tc>
        <w:tc>
          <w:tcPr>
            <w:tcW w:w="1012" w:type="dxa"/>
            <w:tcBorders>
              <w:top w:val="single" w:color="000000" w:sz="4" w:space="0"/>
              <w:left w:val="single" w:color="000000" w:sz="4" w:space="0"/>
              <w:bottom w:val="single" w:color="000000" w:sz="4" w:space="0"/>
            </w:tcBorders>
            <w:shd w:val="clear" w:color="auto" w:fill="auto"/>
            <w:vAlign w:val="center"/>
          </w:tcPr>
          <w:p w14:paraId="785DD5FF">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r>
      <w:tr w14:paraId="713978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012D0DBB">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5</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304A">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湖南台龙食品科技有限公司蔬菜商品化处理与精深加工建设项目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4BEB">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1663.22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D6CA">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375.22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7543B">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640</w:t>
            </w:r>
          </w:p>
        </w:tc>
        <w:tc>
          <w:tcPr>
            <w:tcW w:w="1012" w:type="dxa"/>
            <w:tcBorders>
              <w:top w:val="single" w:color="000000" w:sz="4" w:space="0"/>
              <w:left w:val="single" w:color="000000" w:sz="4" w:space="0"/>
              <w:bottom w:val="single" w:color="000000" w:sz="4" w:space="0"/>
            </w:tcBorders>
            <w:shd w:val="clear" w:color="auto" w:fill="auto"/>
            <w:vAlign w:val="center"/>
          </w:tcPr>
          <w:p w14:paraId="024C756D">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648</w:t>
            </w:r>
          </w:p>
        </w:tc>
      </w:tr>
      <w:tr w14:paraId="5EBA58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45519243">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6</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DBF8">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津市市白衣镇荣贵藠果专业合作社商品化处理与精深加工建设项目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CEB5">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326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A987">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22F8">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160</w:t>
            </w:r>
          </w:p>
        </w:tc>
        <w:tc>
          <w:tcPr>
            <w:tcW w:w="1012" w:type="dxa"/>
            <w:tcBorders>
              <w:top w:val="single" w:color="000000" w:sz="4" w:space="0"/>
              <w:left w:val="single" w:color="000000" w:sz="4" w:space="0"/>
              <w:bottom w:val="single" w:color="000000" w:sz="4" w:space="0"/>
            </w:tcBorders>
            <w:shd w:val="clear" w:color="auto" w:fill="auto"/>
            <w:vAlign w:val="center"/>
          </w:tcPr>
          <w:p w14:paraId="44CD6E6D">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166</w:t>
            </w:r>
          </w:p>
        </w:tc>
      </w:tr>
      <w:tr w14:paraId="3F8A0D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4B45B19F">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7</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5FD9">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湖南创奇食品有限公司商品化处理与精深加工建设项目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94F1">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318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11B4">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2404">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150</w:t>
            </w:r>
          </w:p>
        </w:tc>
        <w:tc>
          <w:tcPr>
            <w:tcW w:w="1012" w:type="dxa"/>
            <w:tcBorders>
              <w:top w:val="single" w:color="000000" w:sz="4" w:space="0"/>
              <w:left w:val="single" w:color="000000" w:sz="4" w:space="0"/>
              <w:bottom w:val="single" w:color="000000" w:sz="4" w:space="0"/>
            </w:tcBorders>
            <w:shd w:val="clear" w:color="auto" w:fill="auto"/>
            <w:vAlign w:val="center"/>
          </w:tcPr>
          <w:p w14:paraId="73219EDB">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168</w:t>
            </w:r>
          </w:p>
        </w:tc>
      </w:tr>
      <w:tr w14:paraId="7B3A44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046A32B8">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8</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EC98">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津市市马家弯种植专业合作社生产设施化与机械化升级建设项目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F34B">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98.5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92EB">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5656">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98.5</w:t>
            </w:r>
          </w:p>
        </w:tc>
        <w:tc>
          <w:tcPr>
            <w:tcW w:w="1012" w:type="dxa"/>
            <w:tcBorders>
              <w:top w:val="single" w:color="000000" w:sz="4" w:space="0"/>
              <w:left w:val="single" w:color="000000" w:sz="4" w:space="0"/>
              <w:bottom w:val="single" w:color="000000" w:sz="4" w:space="0"/>
            </w:tcBorders>
            <w:shd w:val="clear" w:color="auto" w:fill="auto"/>
            <w:vAlign w:val="center"/>
          </w:tcPr>
          <w:p w14:paraId="4DD1AC85">
            <w:pPr>
              <w:keepNext w:val="0"/>
              <w:keepLines w:val="0"/>
              <w:widowControl/>
              <w:suppressLineNumbers w:val="0"/>
              <w:ind w:left="0" w:leftChars="0" w:right="0" w:rightChars="0" w:firstLine="0" w:firstLineChars="0"/>
              <w:jc w:val="center"/>
              <w:textAlignment w:val="center"/>
              <w:rPr>
                <w:rFonts w:hint="eastAsia" w:ascii="Times New Roman Regular" w:hAnsi="Times New Roman Regular" w:eastAsia="宋体" w:cs="Times New Roman Regular"/>
                <w:i w:val="0"/>
                <w:iCs w:val="0"/>
                <w:color w:val="auto"/>
                <w:sz w:val="22"/>
                <w:szCs w:val="22"/>
                <w:highlight w:val="none"/>
                <w:u w:val="none"/>
                <w:lang w:val="en-US" w:eastAsia="zh-CN"/>
              </w:rPr>
            </w:pPr>
            <w:r>
              <w:rPr>
                <w:rFonts w:hint="eastAsia" w:ascii="Times New Roman Regular" w:hAnsi="Times New Roman Regular" w:eastAsia="宋体" w:cs="Times New Roman Regular"/>
                <w:i w:val="0"/>
                <w:iCs w:val="0"/>
                <w:color w:val="auto"/>
                <w:sz w:val="22"/>
                <w:szCs w:val="22"/>
                <w:highlight w:val="none"/>
                <w:u w:val="none"/>
                <w:lang w:val="en-US" w:eastAsia="zh-CN"/>
              </w:rPr>
              <w:t>0</w:t>
            </w:r>
          </w:p>
        </w:tc>
      </w:tr>
      <w:tr w14:paraId="0FD2DA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28A464BF">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9</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F5B6">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湖南津味绿康食品股份有限公司商品化处理与精深加工建设项目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E407">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404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5059">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3D33">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1012" w:type="dxa"/>
            <w:tcBorders>
              <w:top w:val="single" w:color="000000" w:sz="4" w:space="0"/>
              <w:left w:val="single" w:color="000000" w:sz="4" w:space="0"/>
              <w:bottom w:val="single" w:color="000000" w:sz="4" w:space="0"/>
            </w:tcBorders>
            <w:shd w:val="clear" w:color="auto" w:fill="auto"/>
            <w:vAlign w:val="center"/>
          </w:tcPr>
          <w:p w14:paraId="3581F5CF">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404</w:t>
            </w:r>
          </w:p>
        </w:tc>
      </w:tr>
      <w:tr w14:paraId="5AC4E2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17E0757E">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10</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4A45">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湖南十八子食品有限公司商品化处理与精深加工建设项目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CED">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76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C309">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D071">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1012" w:type="dxa"/>
            <w:tcBorders>
              <w:top w:val="single" w:color="000000" w:sz="4" w:space="0"/>
              <w:left w:val="single" w:color="000000" w:sz="4" w:space="0"/>
              <w:bottom w:val="single" w:color="000000" w:sz="4" w:space="0"/>
            </w:tcBorders>
            <w:shd w:val="clear" w:color="auto" w:fill="auto"/>
            <w:vAlign w:val="center"/>
          </w:tcPr>
          <w:p w14:paraId="1BC42EC2">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z w:val="22"/>
                <w:szCs w:val="22"/>
                <w:highlight w:val="none"/>
                <w:u w:val="none"/>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76</w:t>
            </w:r>
          </w:p>
        </w:tc>
      </w:tr>
      <w:tr w14:paraId="6BE0A6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0" w:type="pct"/>
            <w:tcBorders>
              <w:top w:val="single" w:color="000000" w:sz="4" w:space="0"/>
              <w:bottom w:val="single" w:color="000000" w:sz="4" w:space="0"/>
              <w:right w:val="single" w:color="000000" w:sz="4" w:space="0"/>
            </w:tcBorders>
            <w:shd w:val="clear" w:color="auto" w:fill="auto"/>
            <w:vAlign w:val="center"/>
          </w:tcPr>
          <w:p w14:paraId="0F5E1E77">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pPr>
            <w:bookmarkStart w:id="82" w:name="_Toc14434"/>
            <w:bookmarkStart w:id="83" w:name="_Toc231288655"/>
            <w:bookmarkStart w:id="84" w:name="_Toc1301221514"/>
            <w:bookmarkStart w:id="85" w:name="_Toc32371"/>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11</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AA4E">
            <w:pPr>
              <w:keepNext w:val="0"/>
              <w:keepLines w:val="0"/>
              <w:widowControl/>
              <w:suppressLineNumbers w:val="0"/>
              <w:jc w:val="left"/>
              <w:textAlignment w:val="cente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pPr>
            <w: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t>津市市施兴权家庭农场蔬菜商品化处理与精深加工建设项目</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5A24">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210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F9C2">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558F">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0</w:t>
            </w:r>
          </w:p>
        </w:tc>
        <w:tc>
          <w:tcPr>
            <w:tcW w:w="1012" w:type="dxa"/>
            <w:tcBorders>
              <w:top w:val="single" w:color="000000" w:sz="4" w:space="0"/>
              <w:left w:val="single" w:color="000000" w:sz="4" w:space="0"/>
              <w:bottom w:val="single" w:color="000000" w:sz="4" w:space="0"/>
            </w:tcBorders>
            <w:shd w:val="clear" w:color="auto" w:fill="auto"/>
            <w:vAlign w:val="center"/>
          </w:tcPr>
          <w:p w14:paraId="51EA84E5">
            <w:pPr>
              <w:keepNext w:val="0"/>
              <w:keepLines w:val="0"/>
              <w:widowControl/>
              <w:suppressLineNumbers w:val="0"/>
              <w:ind w:left="0" w:leftChars="0" w:right="0" w:rightChars="0" w:firstLine="0" w:firstLineChars="0"/>
              <w:jc w:val="center"/>
              <w:textAlignment w:val="center"/>
              <w:rPr>
                <w:rFonts w:hint="default" w:ascii="Times New Roman Regular" w:hAnsi="Times New Roman Regular" w:eastAsia="宋体" w:cs="Times New Roman Regular"/>
                <w:i w:val="0"/>
                <w:iCs w:val="0"/>
                <w:color w:val="auto"/>
                <w:spacing w:val="0"/>
                <w:w w:val="100"/>
                <w:kern w:val="0"/>
                <w:position w:val="0"/>
                <w:sz w:val="22"/>
                <w:szCs w:val="22"/>
                <w:highlight w:val="none"/>
                <w:u w:val="none"/>
                <w:shd w:val="clear" w:color="auto" w:fill="auto"/>
                <w:lang w:val="en-US" w:eastAsia="zh-CN" w:bidi="ar"/>
              </w:rPr>
            </w:pPr>
            <w:r>
              <w:rPr>
                <w:rFonts w:hint="default" w:ascii="Times New Roman Regular" w:hAnsi="Times New Roman Regular" w:eastAsia="宋体" w:cs="Times New Roman Regular"/>
                <w:i w:val="0"/>
                <w:iCs w:val="0"/>
                <w:color w:val="000000"/>
                <w:spacing w:val="0"/>
                <w:w w:val="100"/>
                <w:kern w:val="0"/>
                <w:position w:val="0"/>
                <w:sz w:val="22"/>
                <w:szCs w:val="22"/>
                <w:u w:val="none"/>
                <w:shd w:val="clear" w:color="auto" w:fill="auto"/>
                <w:lang w:val="en-US" w:eastAsia="zh-CN" w:bidi="ar"/>
              </w:rPr>
              <w:t>267</w:t>
            </w:r>
          </w:p>
        </w:tc>
      </w:tr>
    </w:tbl>
    <w:p w14:paraId="2559FEE8">
      <w:pPr>
        <w:keepNext w:val="0"/>
        <w:keepLines w:val="0"/>
        <w:pageBreakBefore w:val="0"/>
        <w:widowControl w:val="0"/>
        <w:numPr>
          <w:ilvl w:val="2"/>
          <w:numId w:val="0"/>
        </w:numPr>
        <w:shd w:val="clear" w:color="auto" w:fill="auto"/>
        <w:tabs>
          <w:tab w:val="left" w:pos="-567"/>
          <w:tab w:val="left" w:pos="0"/>
          <w:tab w:val="left" w:pos="420"/>
        </w:tabs>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9"/>
        <w:rPr>
          <w:rFonts w:hint="default" w:ascii="Times New Roman" w:hAnsi="Times New Roman" w:eastAsia="楷体_GB2312" w:cs="Times New Roman"/>
          <w:b/>
          <w:color w:val="auto"/>
          <w:spacing w:val="0"/>
          <w:w w:val="100"/>
          <w:kern w:val="2"/>
          <w:position w:val="0"/>
          <w:sz w:val="32"/>
          <w:szCs w:val="32"/>
          <w:highlight w:val="none"/>
          <w:shd w:val="clear" w:fill="auto"/>
          <w:lang w:val="en-US" w:eastAsia="zh-CN" w:bidi="ar-SA"/>
        </w:rPr>
      </w:pPr>
    </w:p>
    <w:bookmarkEnd w:id="82"/>
    <w:bookmarkEnd w:id="83"/>
    <w:bookmarkEnd w:id="84"/>
    <w:bookmarkEnd w:id="85"/>
    <w:p w14:paraId="3F0FC83F">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right="0" w:rightChars="0" w:firstLine="640" w:firstLineChars="200"/>
        <w:jc w:val="both"/>
        <w:textAlignment w:val="auto"/>
        <w:outlineLvl w:val="0"/>
        <w:rPr>
          <w:rFonts w:hint="default" w:ascii="Times New Roman" w:hAnsi="Times New Roman" w:eastAsia="黑体" w:cs="Times New Roman"/>
          <w:bCs/>
          <w:color w:val="auto"/>
          <w:kern w:val="44"/>
          <w:sz w:val="32"/>
          <w:szCs w:val="32"/>
          <w:highlight w:val="none"/>
          <w:lang w:val="en-US" w:eastAsia="zh-CN" w:bidi="ar-SA"/>
        </w:rPr>
      </w:pPr>
      <w:bookmarkStart w:id="86" w:name="_Toc24551"/>
      <w:bookmarkStart w:id="87" w:name="_Toc659715020"/>
      <w:r>
        <w:rPr>
          <w:rFonts w:hint="eastAsia" w:eastAsia="黑体" w:cs="Times New Roman"/>
          <w:bCs/>
          <w:color w:val="auto"/>
          <w:kern w:val="44"/>
          <w:sz w:val="32"/>
          <w:szCs w:val="32"/>
          <w:highlight w:val="none"/>
          <w:lang w:val="en-US" w:eastAsia="zh-CN" w:bidi="ar-SA"/>
        </w:rPr>
        <w:t>五</w:t>
      </w:r>
      <w:r>
        <w:rPr>
          <w:rFonts w:hint="default" w:ascii="Times New Roman" w:hAnsi="Times New Roman" w:eastAsia="黑体" w:cs="Times New Roman"/>
          <w:bCs/>
          <w:color w:val="auto"/>
          <w:kern w:val="44"/>
          <w:sz w:val="32"/>
          <w:szCs w:val="32"/>
          <w:highlight w:val="none"/>
          <w:lang w:val="en-US" w:eastAsia="zh-CN" w:bidi="ar-SA"/>
        </w:rPr>
        <w:t>、组织实施</w:t>
      </w:r>
      <w:bookmarkEnd w:id="86"/>
      <w:bookmarkEnd w:id="87"/>
    </w:p>
    <w:p w14:paraId="3D4603F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88" w:name="_Toc2292"/>
      <w:bookmarkStart w:id="89" w:name="_Toc372271679"/>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（一）强化组织领导</w:t>
      </w:r>
      <w:bookmarkEnd w:id="88"/>
      <w:bookmarkEnd w:id="89"/>
    </w:p>
    <w:p w14:paraId="189130E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成立津市市2025-2027年省级蔬菜产业集群项目工作专班，由市人民政府副市长任组长，农业农村局局长、市财政局局长为副组长，市发展和改革局局长、市自然资源局局长、市人力资源和社会保障局局长、市商务局局长为小组成员</w:t>
      </w:r>
      <w:r>
        <w:rPr>
          <w:rFonts w:hint="eastAsia"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专班下设办公室，办公室设在市农业农村局，由农业农村局局长兼任办公室主任。工作专班切实履职尽责，按照“授全权、包全责”的要求负责项目推进过程中的一切事务。</w:t>
      </w:r>
    </w:p>
    <w:p w14:paraId="2A87ACF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90" w:name="_Toc11393"/>
      <w:bookmarkStart w:id="91" w:name="_Toc1150245242"/>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（二）完善工作机制</w:t>
      </w:r>
      <w:bookmarkEnd w:id="90"/>
      <w:bookmarkEnd w:id="91"/>
    </w:p>
    <w:p w14:paraId="66B9967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市农业农村局牵头组织，并做好项目考评验收佐证材料收集汇编工作。各成员单位要站在全局的高度，切实加强领导、落实责任，统筹安排部署、整体协调推进，认真落实政策措施，及时掌握各项目实施进度。主要负责人要按照任务分工亲自协调、亲自调度，组织实施，把责任落实到人，确保产业集群创建工作扎实开展。任务具体承担单位要及时交流工作进展情况，遇有重大情况要及时报告领导小组，确保行动实施的连续性和稳定性，各成员单位要积极配合，充分发挥各方面的积极性和优势，形成多方联动、强力推进工作局面。</w:t>
      </w:r>
    </w:p>
    <w:p w14:paraId="21E61DE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92" w:name="_Toc1711"/>
      <w:bookmarkStart w:id="93" w:name="_Toc523992000"/>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（三）强化监督监管</w:t>
      </w:r>
      <w:bookmarkEnd w:id="92"/>
      <w:bookmarkEnd w:id="93"/>
    </w:p>
    <w:p w14:paraId="07658DC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9"/>
        <w:rPr>
          <w:rFonts w:hint="eastAsia" w:eastAsia="仿宋_GB2312" w:cs="Times New Roman"/>
          <w:b/>
          <w:bCs/>
          <w:color w:val="auto"/>
          <w:spacing w:val="0"/>
          <w:w w:val="100"/>
          <w:kern w:val="2"/>
          <w:position w:val="0"/>
          <w:sz w:val="32"/>
          <w:szCs w:val="32"/>
          <w:highlight w:val="none"/>
          <w:shd w:val="clear" w:color="auto" w:fill="auto"/>
          <w:lang w:val="en-US" w:eastAsia="zh-CN" w:bidi="ar-SA"/>
        </w:rPr>
      </w:pPr>
      <w:r>
        <w:rPr>
          <w:rFonts w:hint="eastAsia" w:eastAsia="仿宋_GB2312" w:cs="Times New Roman"/>
          <w:b/>
          <w:bCs/>
          <w:color w:val="auto"/>
          <w:spacing w:val="0"/>
          <w:w w:val="100"/>
          <w:kern w:val="2"/>
          <w:position w:val="0"/>
          <w:sz w:val="32"/>
          <w:szCs w:val="32"/>
          <w:highlight w:val="none"/>
          <w:shd w:val="clear" w:color="auto" w:fill="auto"/>
          <w:lang w:val="en-US" w:eastAsia="zh-CN" w:bidi="ar-SA"/>
        </w:rPr>
        <w:t>1.完善制度建设，细化操作规程。</w:t>
      </w:r>
    </w:p>
    <w:p w14:paraId="632C831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在严格执行省、市级相关资金管理办法的基础上，结合</w:t>
      </w:r>
      <w:r>
        <w:rPr>
          <w:rFonts w:hint="eastAsia" w:eastAsia="仿宋_GB2312" w:cs="Times New Roman"/>
          <w:color w:val="auto"/>
          <w:spacing w:val="0"/>
          <w:w w:val="100"/>
          <w:kern w:val="2"/>
          <w:position w:val="0"/>
          <w:sz w:val="32"/>
          <w:szCs w:val="32"/>
          <w:highlight w:val="none"/>
          <w:shd w:val="clear" w:color="auto" w:fill="auto"/>
          <w:lang w:val="en-US" w:eastAsia="zh-CN" w:bidi="ar-SA"/>
        </w:rPr>
        <w:t>津市</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实际，研究制定更具针对性和操作性的《产业集群项目衔接资金管理实施细则》。进一步明确从项目申报、预算评审、资金拨付、报账核销到竣工验收的全套标准化流程。统一制定并下发项目申报书、资金拨付申请表、项目进度报告、现场勘查记录单等标准模板，确保每个环节都有章可循、有据可查</w:t>
      </w:r>
      <w:r>
        <w:rPr>
          <w:rFonts w:hint="eastAsia" w:eastAsia="仿宋_GB2312" w:cs="Times New Roman"/>
          <w:color w:val="auto"/>
          <w:spacing w:val="0"/>
          <w:w w:val="100"/>
          <w:kern w:val="2"/>
          <w:position w:val="0"/>
          <w:sz w:val="32"/>
          <w:szCs w:val="32"/>
          <w:highlight w:val="none"/>
          <w:shd w:val="clear" w:color="auto" w:fill="auto"/>
          <w:lang w:val="en-US" w:eastAsia="zh-CN" w:bidi="ar-SA"/>
        </w:rPr>
        <w:t>。</w:t>
      </w:r>
    </w:p>
    <w:p w14:paraId="5B2868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auto"/>
          <w:spacing w:val="0"/>
          <w:w w:val="100"/>
          <w:kern w:val="2"/>
          <w:position w:val="0"/>
          <w:sz w:val="32"/>
          <w:szCs w:val="32"/>
          <w:highlight w:val="none"/>
          <w:shd w:val="clear" w:color="auto" w:fill="auto"/>
          <w:lang w:val="en-US" w:eastAsia="zh-CN" w:bidi="ar-SA"/>
        </w:rPr>
      </w:pPr>
      <w:r>
        <w:rPr>
          <w:rFonts w:hint="eastAsia" w:eastAsia="仿宋_GB2312" w:cs="Times New Roman"/>
          <w:b/>
          <w:bCs/>
          <w:color w:val="auto"/>
          <w:spacing w:val="0"/>
          <w:w w:val="100"/>
          <w:kern w:val="2"/>
          <w:position w:val="0"/>
          <w:sz w:val="32"/>
          <w:szCs w:val="32"/>
          <w:highlight w:val="none"/>
          <w:shd w:val="clear" w:color="auto" w:fill="auto"/>
          <w:lang w:val="en-US" w:eastAsia="zh-CN" w:bidi="ar-SA"/>
        </w:rPr>
        <w:t>2.</w:t>
      </w:r>
      <w:r>
        <w:rPr>
          <w:rFonts w:hint="default" w:ascii="Times New Roman" w:hAnsi="Times New Roman" w:eastAsia="仿宋_GB2312" w:cs="Times New Roman"/>
          <w:b/>
          <w:bCs/>
          <w:color w:val="auto"/>
          <w:spacing w:val="0"/>
          <w:w w:val="100"/>
          <w:kern w:val="2"/>
          <w:position w:val="0"/>
          <w:sz w:val="32"/>
          <w:szCs w:val="32"/>
          <w:highlight w:val="none"/>
          <w:shd w:val="clear" w:color="auto" w:fill="auto"/>
          <w:lang w:val="en-US" w:eastAsia="zh-CN" w:bidi="ar-SA"/>
        </w:rPr>
        <w:t>强化宣传培训，前移监管关口。</w:t>
      </w:r>
    </w:p>
    <w:p w14:paraId="51AE312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由</w:t>
      </w:r>
      <w:r>
        <w:rPr>
          <w:rFonts w:hint="eastAsia" w:eastAsia="仿宋_GB2312" w:cs="Times New Roman"/>
          <w:color w:val="auto"/>
          <w:spacing w:val="0"/>
          <w:w w:val="100"/>
          <w:kern w:val="2"/>
          <w:position w:val="0"/>
          <w:sz w:val="32"/>
          <w:szCs w:val="32"/>
          <w:highlight w:val="none"/>
          <w:shd w:val="clear" w:color="auto" w:fill="auto"/>
          <w:lang w:val="en-US" w:eastAsia="zh-CN" w:bidi="ar-SA"/>
        </w:rPr>
        <w:t>市</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农业农村局和财政局联合组织，定期召开衔接资金政策培训会，确保每个项目实施单位的负责人和财务人员都全面、准确地理解资金使用政策，特别是要对“负面清单”的各项内容进行逐条解读和警示。同时，通过政府网站、公众号等平台，主动公开资金分配结果和项目进展，并设立公开的监督举报电话和邮箱。对查处确认的违规案例进行内部通报或适当公开曝光。</w:t>
      </w:r>
    </w:p>
    <w:p w14:paraId="323509F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auto"/>
          <w:spacing w:val="0"/>
          <w:w w:val="100"/>
          <w:kern w:val="2"/>
          <w:position w:val="0"/>
          <w:sz w:val="32"/>
          <w:szCs w:val="32"/>
          <w:highlight w:val="none"/>
          <w:shd w:val="clear" w:color="auto" w:fill="auto"/>
          <w:lang w:val="en-US" w:eastAsia="zh-CN" w:bidi="ar-SA"/>
        </w:rPr>
      </w:pPr>
      <w:r>
        <w:rPr>
          <w:rFonts w:hint="eastAsia" w:eastAsia="仿宋_GB2312" w:cs="Times New Roman"/>
          <w:b/>
          <w:bCs/>
          <w:color w:val="auto"/>
          <w:spacing w:val="0"/>
          <w:w w:val="100"/>
          <w:kern w:val="2"/>
          <w:position w:val="0"/>
          <w:sz w:val="32"/>
          <w:szCs w:val="32"/>
          <w:highlight w:val="none"/>
          <w:shd w:val="clear" w:color="auto" w:fill="auto"/>
          <w:lang w:val="en-US" w:eastAsia="zh-CN" w:bidi="ar-SA"/>
        </w:rPr>
        <w:t>3.</w:t>
      </w:r>
      <w:r>
        <w:rPr>
          <w:rFonts w:hint="default" w:ascii="Times New Roman" w:hAnsi="Times New Roman" w:eastAsia="仿宋_GB2312" w:cs="Times New Roman"/>
          <w:b/>
          <w:bCs/>
          <w:color w:val="auto"/>
          <w:spacing w:val="0"/>
          <w:w w:val="100"/>
          <w:kern w:val="2"/>
          <w:position w:val="0"/>
          <w:sz w:val="32"/>
          <w:szCs w:val="32"/>
          <w:highlight w:val="none"/>
          <w:shd w:val="clear" w:color="auto" w:fill="auto"/>
          <w:lang w:val="en-US" w:eastAsia="zh-CN" w:bidi="ar-SA"/>
        </w:rPr>
        <w:t>严格考核问责，树立鲜明导向。</w:t>
      </w:r>
    </w:p>
    <w:p w14:paraId="6585496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建立严格的考核与问责机制，将衔接资金的管理使用情况纳入乡镇政府及县直相关部门的年度绩效考核范围。对问题发现不及时、整改落实不到位的单位进行约谈和通报批评。对于项目实施单位，一旦发现存在虚报冒领、挤占挪用等严重违规行为，立即启动问责程序：一是责令限期整改；二是暂停拨付后续资金；三是依法依规追回已拨付资金；四是将其列入失信“黑名单”，取消其未来申报各类财政支持项目的资格。对构成违纪或职务犯罪的个人，坚决移送纪检监察机关或司法机关处理，绝不姑息。</w:t>
      </w:r>
    </w:p>
    <w:p w14:paraId="6A6C37C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eastAsia" w:eastAsia="仿宋_GB2312" w:cs="Times New Roman"/>
          <w:b/>
          <w:bCs/>
          <w:color w:val="auto"/>
          <w:spacing w:val="0"/>
          <w:w w:val="100"/>
          <w:kern w:val="2"/>
          <w:position w:val="0"/>
          <w:sz w:val="32"/>
          <w:szCs w:val="32"/>
          <w:highlight w:val="none"/>
          <w:shd w:val="clear" w:color="auto" w:fill="auto"/>
          <w:lang w:val="en-US" w:eastAsia="zh-CN" w:bidi="ar-SA"/>
        </w:rPr>
        <w:t>4.</w:t>
      </w:r>
      <w:r>
        <w:rPr>
          <w:rFonts w:hint="default" w:ascii="Times New Roman" w:hAnsi="Times New Roman" w:eastAsia="仿宋_GB2312" w:cs="Times New Roman"/>
          <w:b/>
          <w:bCs/>
          <w:color w:val="auto"/>
          <w:spacing w:val="0"/>
          <w:w w:val="100"/>
          <w:kern w:val="2"/>
          <w:position w:val="0"/>
          <w:sz w:val="32"/>
          <w:szCs w:val="32"/>
          <w:highlight w:val="none"/>
          <w:shd w:val="clear" w:color="auto" w:fill="auto"/>
          <w:lang w:val="en-US" w:eastAsia="zh-CN" w:bidi="ar-SA"/>
        </w:rPr>
        <w:t>创新资金监管模式，推行账户共管制度。</w:t>
      </w:r>
    </w:p>
    <w:p w14:paraId="091A9EA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为从源头上切断资金被挪用的风险，实现对资金流向的精准控制，积极探索并推行衔接资金“共管账户”管理模式。针对资金额度较大、风险等级较高的重点项目，要求项目实施单位必须在指定银行设立专用账户，并由项目单位与</w:t>
      </w:r>
      <w:r>
        <w:rPr>
          <w:rFonts w:hint="eastAsia" w:eastAsia="仿宋_GB2312" w:cs="Times New Roman"/>
          <w:color w:val="auto"/>
          <w:spacing w:val="0"/>
          <w:w w:val="100"/>
          <w:kern w:val="2"/>
          <w:position w:val="0"/>
          <w:sz w:val="32"/>
          <w:szCs w:val="32"/>
          <w:highlight w:val="none"/>
          <w:shd w:val="clear" w:color="auto" w:fill="auto"/>
          <w:lang w:val="en-US" w:eastAsia="zh-CN" w:bidi="ar-SA"/>
        </w:rPr>
        <w:t>市</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级监管部门（如</w:t>
      </w:r>
      <w:r>
        <w:rPr>
          <w:rFonts w:hint="eastAsia" w:eastAsia="仿宋_GB2312" w:cs="Times New Roman"/>
          <w:color w:val="auto"/>
          <w:spacing w:val="0"/>
          <w:w w:val="100"/>
          <w:kern w:val="2"/>
          <w:position w:val="0"/>
          <w:sz w:val="32"/>
          <w:szCs w:val="32"/>
          <w:highlight w:val="none"/>
          <w:shd w:val="clear" w:color="auto" w:fill="auto"/>
          <w:lang w:val="en-US" w:eastAsia="zh-CN" w:bidi="ar-SA"/>
        </w:rPr>
        <w:t>市</w:t>
      </w: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农业农村局或项目所属乡镇政府）进行“双控”共管。</w:t>
      </w:r>
    </w:p>
    <w:p w14:paraId="5C9F6420">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94" w:name="_Toc1749"/>
      <w:bookmarkStart w:id="95" w:name="_Toc2050591300"/>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（四）加强指导服务</w:t>
      </w:r>
      <w:bookmarkEnd w:id="94"/>
      <w:bookmarkEnd w:id="95"/>
    </w:p>
    <w:p w14:paraId="610D277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0" w:firstLineChars="200"/>
        <w:jc w:val="both"/>
        <w:textAlignment w:val="auto"/>
        <w:outlineLvl w:val="9"/>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推行蔬菜产业技术全员系统培训工程。整合培训资源，改进培训方式，注重培训效果，全面提高从业人员的科技素质和蔬菜生产科技含量。二是推行科技特派员工作制度。将市蔬菜技术人员派到生产一线，健全激励机制，创新服务方式，力促科技人才与菜农增收的有效对接。三是强化蔬菜产业“一线”服务。以技术服务为重点，拓宽服务范围，培养一批蔬菜生产能人、经营能人和科技带头人。形成“专家进大户、大户带小户、农户帮农户”和“点-线-面”的示范辐射带动格局。</w:t>
      </w:r>
    </w:p>
    <w:p w14:paraId="45C7BA96">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643" w:firstLineChars="200"/>
        <w:jc w:val="both"/>
        <w:textAlignment w:val="auto"/>
        <w:outlineLvl w:val="1"/>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pPr>
      <w:bookmarkStart w:id="96" w:name="_Toc709"/>
      <w:bookmarkStart w:id="97" w:name="_Toc1470412044"/>
      <w:r>
        <w:rPr>
          <w:rFonts w:hint="default" w:ascii="Times New Roman" w:hAnsi="Times New Roman" w:eastAsia="楷体_GB2312" w:cs="Times New Roman"/>
          <w:b/>
          <w:bCs/>
          <w:color w:val="auto"/>
          <w:spacing w:val="0"/>
          <w:w w:val="100"/>
          <w:kern w:val="2"/>
          <w:position w:val="0"/>
          <w:sz w:val="32"/>
          <w:szCs w:val="32"/>
          <w:highlight w:val="none"/>
          <w:shd w:val="clear" w:color="auto" w:fill="auto"/>
          <w:lang w:val="en-US" w:eastAsia="zh-CN" w:bidi="ar-SA"/>
        </w:rPr>
        <w:t>（五）加强技术支撑</w:t>
      </w:r>
      <w:bookmarkEnd w:id="96"/>
      <w:bookmarkEnd w:id="97"/>
    </w:p>
    <w:p w14:paraId="20B38DEA">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0" w:after="0"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Hans" w:bidi="ar-SA"/>
        </w:rPr>
      </w:pPr>
      <w:r>
        <w:rPr>
          <w:rFonts w:hint="default" w:ascii="Times New Roman" w:hAnsi="Times New Roman" w:eastAsia="仿宋_GB2312" w:cs="Times New Roman"/>
          <w:color w:val="auto"/>
          <w:spacing w:val="0"/>
          <w:w w:val="100"/>
          <w:kern w:val="2"/>
          <w:position w:val="0"/>
          <w:sz w:val="32"/>
          <w:szCs w:val="32"/>
          <w:highlight w:val="none"/>
          <w:shd w:val="clear" w:color="auto" w:fill="auto"/>
          <w:lang w:val="en-US" w:eastAsia="zh-CN" w:bidi="ar-SA"/>
        </w:rPr>
        <w:t>依托湖南农业大学等科研院校的技术优势和力量，密切合作，联合攻关，及时解决蔬菜产业发展中出现的技术难题；不懈集成创新省力节本蔬菜技术体系，加快其示范、推广、应用；积极引进推广新技术、新品种、新成果，致力于科技转化，为现代蔬菜产业提供技术支撑，依靠科技挖掘蔬菜产业内部增效潜力。加强实用性人才的培养和引进，开展蔬菜生产、加工实用技术培训，培养后备专业人才，解决蔬菜专业技术人才结构年龄老化、后继无人问题。</w:t>
      </w:r>
      <w:bookmarkEnd w:id="56"/>
      <w:bookmarkEnd w:id="57"/>
      <w:bookmarkEnd w:id="58"/>
      <w:bookmarkEnd w:id="59"/>
      <w:bookmarkEnd w:id="60"/>
      <w:bookmarkEnd w:id="61"/>
    </w:p>
    <w:sectPr>
      <w:headerReference r:id="rId7" w:type="default"/>
      <w:footerReference r:id="rId8" w:type="default"/>
      <w:pgSz w:w="11906" w:h="16838"/>
      <w:pgMar w:top="1587" w:right="1701" w:bottom="1587" w:left="1701" w:header="851" w:footer="624" w:gutter="0"/>
      <w:pgBorders>
        <w:top w:val="none" w:sz="0" w:space="0"/>
        <w:left w:val="none" w:sz="0" w:space="0"/>
        <w:bottom w:val="none" w:sz="0" w:space="0"/>
        <w:right w:val="none" w:sz="0" w:space="0"/>
      </w:pgBorders>
      <w:pgNumType w:fmt="decimal" w:start="1"/>
      <w:cols w:space="0" w:num="1"/>
      <w:rtlGutter w:val="0"/>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26F3E4-9560-4BAD-93BB-547C2A3B88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Noto Sans Mono CJK JP Regular">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7ACD8919-5EBE-4632-BF70-FADAA5F089D5}"/>
  </w:font>
  <w:font w:name="仿宋_GB2312">
    <w:panose1 w:val="02010609030101010101"/>
    <w:charset w:val="86"/>
    <w:family w:val="auto"/>
    <w:pitch w:val="default"/>
    <w:sig w:usb0="00000001" w:usb1="080E0000" w:usb2="00000000" w:usb3="00000000" w:csb0="00040000" w:csb1="00000000"/>
    <w:embedRegular r:id="rId3" w:fontKey="{1B81A6C6-6CB4-45D8-BF32-3D52FB33A04C}"/>
  </w:font>
  <w:font w:name="MS Gothic">
    <w:panose1 w:val="020B06090702050802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503050405090304"/>
    <w:charset w:val="00"/>
    <w:family w:val="auto"/>
    <w:pitch w:val="default"/>
    <w:sig w:usb0="00000000" w:usb1="00000000" w:usb2="00000001" w:usb3="00000000" w:csb0="400001BF" w:csb1="DFF70000"/>
    <w:embedRegular r:id="rId4" w:fontKey="{A1E4789B-9473-4BB7-8C74-AD79DD6C95CC}"/>
  </w:font>
  <w:font w:name="宋体-简">
    <w:altName w:val="宋体"/>
    <w:panose1 w:val="02010800040101010101"/>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5" w:fontKey="{4C01BD4A-9C98-4E7B-8E38-679206D0D3E5}"/>
  </w:font>
  <w:font w:name="楷体_GB2312">
    <w:panose1 w:val="02010609030101010101"/>
    <w:charset w:val="86"/>
    <w:family w:val="modern"/>
    <w:pitch w:val="default"/>
    <w:sig w:usb0="00000001" w:usb1="080E0000" w:usb2="00000000" w:usb3="00000000" w:csb0="00040000" w:csb1="00000000"/>
    <w:embedRegular r:id="rId6" w:fontKey="{FD15F04B-9E3E-4006-8C44-020DD1F82D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824B">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p w14:paraId="74CB397A">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p w14:paraId="2FBFDC09">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p w14:paraId="2BF8096E">
    <w:pPr>
      <w:tabs>
        <w:tab w:val="center" w:pos="4153"/>
        <w:tab w:val="right" w:pos="8306"/>
      </w:tabs>
      <w:adjustRightInd w:val="0"/>
      <w:ind w:firstLine="360" w:firstLineChars="200"/>
      <w:rPr>
        <w:rFonts w:ascii="Times New Roman" w:hAnsi="Times New Roman" w:eastAsia="仿宋_GB2312" w:cs="Times New Roman"/>
        <w:kern w:val="2"/>
        <w:sz w:val="18"/>
        <w:szCs w:val="18"/>
        <w:lang w:val="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DE2F">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31BC3944">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73EE5017">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28E10306">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F7C6">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C2D58">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LXXIII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7C2D58">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LXXIII</w:t>
                    </w:r>
                    <w:r>
                      <w:rPr>
                        <w:rFonts w:hint="default" w:ascii="Times New Roman" w:hAnsi="Times New Roman" w:cs="Times New Roman"/>
                      </w:rPr>
                      <w:fldChar w:fldCharType="end"/>
                    </w:r>
                  </w:p>
                </w:txbxContent>
              </v:textbox>
            </v:shape>
          </w:pict>
        </mc:Fallback>
      </mc:AlternateContent>
    </w:r>
  </w:p>
  <w:p w14:paraId="19363631">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6EC77B11">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p w14:paraId="3B9A162E">
    <w:pPr>
      <w:widowControl w:val="0"/>
      <w:tabs>
        <w:tab w:val="center" w:pos="4153"/>
        <w:tab w:val="right" w:pos="8306"/>
      </w:tabs>
      <w:adjustRightInd w:val="0"/>
      <w:snapToGrid/>
      <w:spacing w:line="240" w:lineRule="auto"/>
      <w:ind w:firstLine="360" w:firstLineChars="200"/>
      <w:jc w:val="left"/>
      <w:rPr>
        <w:rFonts w:ascii="Times New Roman" w:hAnsi="Times New Roman" w:eastAsia="仿宋_GB2312"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E0D0">
    <w:pPr>
      <w:keepNext w:val="0"/>
      <w:keepLines w:val="0"/>
      <w:shd w:val="clear" w:color="auto" w:fill="auto"/>
      <w:bidi w:val="0"/>
      <w:adjustRightInd w:val="0"/>
      <w:snapToGrid/>
      <w:spacing w:before="0" w:after="0" w:line="360" w:lineRule="auto"/>
      <w:ind w:left="0" w:right="0" w:firstLine="600" w:firstLineChars="200"/>
      <w:jc w:val="both"/>
      <w:rPr>
        <w:rFonts w:eastAsia="仿宋_GB2312"/>
        <w:spacing w:val="0"/>
        <w:w w:val="100"/>
        <w:kern w:val="2"/>
        <w:position w:val="0"/>
        <w:sz w:val="30"/>
        <w:szCs w:val="22"/>
        <w:shd w:val="clear" w:color="auto" w:fill="auto"/>
        <w:lang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20CAB"/>
    <w:multiLevelType w:val="singleLevel"/>
    <w:tmpl w:val="ECF20CA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ZDg4YTk4OTU1MWUwNjAzYjYzZTc4ZjM3MThhZmUifQ=="/>
    <w:docVar w:name="KSO_WPS_MARK_KEY" w:val="3cc51323-61cf-4676-979f-7032717b78eb"/>
  </w:docVars>
  <w:rsids>
    <w:rsidRoot w:val="CF560D69"/>
    <w:rsid w:val="00015A2F"/>
    <w:rsid w:val="001C66E0"/>
    <w:rsid w:val="002B247F"/>
    <w:rsid w:val="002F62E1"/>
    <w:rsid w:val="003D070C"/>
    <w:rsid w:val="0043675E"/>
    <w:rsid w:val="006911F9"/>
    <w:rsid w:val="007402CA"/>
    <w:rsid w:val="0075194C"/>
    <w:rsid w:val="00773916"/>
    <w:rsid w:val="009F56B9"/>
    <w:rsid w:val="00D53C10"/>
    <w:rsid w:val="00D6035C"/>
    <w:rsid w:val="00ED3BD8"/>
    <w:rsid w:val="00FA00A3"/>
    <w:rsid w:val="00FF56BA"/>
    <w:rsid w:val="01061B66"/>
    <w:rsid w:val="01080A12"/>
    <w:rsid w:val="011711EF"/>
    <w:rsid w:val="0132783D"/>
    <w:rsid w:val="015D0D5E"/>
    <w:rsid w:val="01871364"/>
    <w:rsid w:val="019273CC"/>
    <w:rsid w:val="01BF7D81"/>
    <w:rsid w:val="01C66596"/>
    <w:rsid w:val="01CA5CC8"/>
    <w:rsid w:val="01D34B7C"/>
    <w:rsid w:val="020967F0"/>
    <w:rsid w:val="022950E4"/>
    <w:rsid w:val="02617042"/>
    <w:rsid w:val="026936CC"/>
    <w:rsid w:val="029627EC"/>
    <w:rsid w:val="02CF554B"/>
    <w:rsid w:val="02E132C9"/>
    <w:rsid w:val="02E5725D"/>
    <w:rsid w:val="03011BBD"/>
    <w:rsid w:val="03190CB5"/>
    <w:rsid w:val="032D29B2"/>
    <w:rsid w:val="03315320"/>
    <w:rsid w:val="03353615"/>
    <w:rsid w:val="033B56D0"/>
    <w:rsid w:val="034F2928"/>
    <w:rsid w:val="03561F09"/>
    <w:rsid w:val="03661A20"/>
    <w:rsid w:val="036F4D79"/>
    <w:rsid w:val="037979A5"/>
    <w:rsid w:val="03851792"/>
    <w:rsid w:val="03D67F82"/>
    <w:rsid w:val="03E2379C"/>
    <w:rsid w:val="03F270E3"/>
    <w:rsid w:val="04247911"/>
    <w:rsid w:val="0447550D"/>
    <w:rsid w:val="04697A1A"/>
    <w:rsid w:val="04781A0B"/>
    <w:rsid w:val="04830AB2"/>
    <w:rsid w:val="04935255"/>
    <w:rsid w:val="049D3B67"/>
    <w:rsid w:val="04B213C1"/>
    <w:rsid w:val="04C42EA2"/>
    <w:rsid w:val="04E92909"/>
    <w:rsid w:val="05047E36"/>
    <w:rsid w:val="050B6D23"/>
    <w:rsid w:val="050F1836"/>
    <w:rsid w:val="05300538"/>
    <w:rsid w:val="054162A1"/>
    <w:rsid w:val="05573D16"/>
    <w:rsid w:val="05616943"/>
    <w:rsid w:val="057E20C9"/>
    <w:rsid w:val="058129F3"/>
    <w:rsid w:val="058F62AE"/>
    <w:rsid w:val="05972365"/>
    <w:rsid w:val="05B21813"/>
    <w:rsid w:val="05BE78F1"/>
    <w:rsid w:val="05C44EC8"/>
    <w:rsid w:val="05CD044C"/>
    <w:rsid w:val="05D830A9"/>
    <w:rsid w:val="05D92FCB"/>
    <w:rsid w:val="05DE7F94"/>
    <w:rsid w:val="060317A8"/>
    <w:rsid w:val="061340E1"/>
    <w:rsid w:val="0621522F"/>
    <w:rsid w:val="06287461"/>
    <w:rsid w:val="06292161"/>
    <w:rsid w:val="067F52D3"/>
    <w:rsid w:val="06826B71"/>
    <w:rsid w:val="068E5516"/>
    <w:rsid w:val="0698600E"/>
    <w:rsid w:val="069F84B3"/>
    <w:rsid w:val="06A27213"/>
    <w:rsid w:val="06AB3EF9"/>
    <w:rsid w:val="06BF1B73"/>
    <w:rsid w:val="06BF2781"/>
    <w:rsid w:val="06DD024B"/>
    <w:rsid w:val="06E80A99"/>
    <w:rsid w:val="07124399"/>
    <w:rsid w:val="073F59BB"/>
    <w:rsid w:val="07577FFE"/>
    <w:rsid w:val="075B29E9"/>
    <w:rsid w:val="07633079"/>
    <w:rsid w:val="07702E6D"/>
    <w:rsid w:val="07754928"/>
    <w:rsid w:val="0797664C"/>
    <w:rsid w:val="07C81AF4"/>
    <w:rsid w:val="07CF4038"/>
    <w:rsid w:val="07EC4BEA"/>
    <w:rsid w:val="07F873C4"/>
    <w:rsid w:val="08011F9B"/>
    <w:rsid w:val="083C0B3E"/>
    <w:rsid w:val="0881185D"/>
    <w:rsid w:val="089B1EC4"/>
    <w:rsid w:val="08B35707"/>
    <w:rsid w:val="08C55294"/>
    <w:rsid w:val="08CE2541"/>
    <w:rsid w:val="090D12BC"/>
    <w:rsid w:val="09297778"/>
    <w:rsid w:val="093323A4"/>
    <w:rsid w:val="09335B6C"/>
    <w:rsid w:val="09367B0A"/>
    <w:rsid w:val="093A1985"/>
    <w:rsid w:val="094A7C14"/>
    <w:rsid w:val="09523EAE"/>
    <w:rsid w:val="098826F0"/>
    <w:rsid w:val="09A13D71"/>
    <w:rsid w:val="09B44716"/>
    <w:rsid w:val="09C01ECA"/>
    <w:rsid w:val="09C35E1E"/>
    <w:rsid w:val="09EB2C7F"/>
    <w:rsid w:val="0A1B5BC7"/>
    <w:rsid w:val="0A2A37A7"/>
    <w:rsid w:val="0A522AB7"/>
    <w:rsid w:val="0A8F242E"/>
    <w:rsid w:val="0A9778C5"/>
    <w:rsid w:val="0A9856E1"/>
    <w:rsid w:val="0ADA436B"/>
    <w:rsid w:val="0B0E4E77"/>
    <w:rsid w:val="0B140280"/>
    <w:rsid w:val="0B27266D"/>
    <w:rsid w:val="0B4A7D91"/>
    <w:rsid w:val="0B963AEC"/>
    <w:rsid w:val="0BAE65AB"/>
    <w:rsid w:val="0BC33EB3"/>
    <w:rsid w:val="0BC37E6D"/>
    <w:rsid w:val="0BC47C2C"/>
    <w:rsid w:val="0BD369C1"/>
    <w:rsid w:val="0BFA53FB"/>
    <w:rsid w:val="0C0555AD"/>
    <w:rsid w:val="0C087B18"/>
    <w:rsid w:val="0C2506CA"/>
    <w:rsid w:val="0C281F69"/>
    <w:rsid w:val="0C2D757F"/>
    <w:rsid w:val="0C3B60A9"/>
    <w:rsid w:val="0C4E1CFD"/>
    <w:rsid w:val="0C5B40EC"/>
    <w:rsid w:val="0C614E5C"/>
    <w:rsid w:val="0C747D97"/>
    <w:rsid w:val="0C774C9E"/>
    <w:rsid w:val="0C9B610B"/>
    <w:rsid w:val="0CB513A9"/>
    <w:rsid w:val="0CC46135"/>
    <w:rsid w:val="0CCD4209"/>
    <w:rsid w:val="0CE73BD2"/>
    <w:rsid w:val="0CEE4F60"/>
    <w:rsid w:val="0CF32576"/>
    <w:rsid w:val="0CF34325"/>
    <w:rsid w:val="0CF54541"/>
    <w:rsid w:val="0CF63E15"/>
    <w:rsid w:val="0D0B3D64"/>
    <w:rsid w:val="0D1A5D55"/>
    <w:rsid w:val="0D240717"/>
    <w:rsid w:val="0D4508F8"/>
    <w:rsid w:val="0D477695"/>
    <w:rsid w:val="0D4B4161"/>
    <w:rsid w:val="0D4C7ED9"/>
    <w:rsid w:val="0D5C4EF6"/>
    <w:rsid w:val="0D632F5A"/>
    <w:rsid w:val="0D7116ED"/>
    <w:rsid w:val="0D730BD2"/>
    <w:rsid w:val="0D7F02AE"/>
    <w:rsid w:val="0DBF0098"/>
    <w:rsid w:val="0DC161D1"/>
    <w:rsid w:val="0DCC4F36"/>
    <w:rsid w:val="0DD8176C"/>
    <w:rsid w:val="0E253E9B"/>
    <w:rsid w:val="0E37603D"/>
    <w:rsid w:val="0E680D42"/>
    <w:rsid w:val="0E770F85"/>
    <w:rsid w:val="0E9D6C3E"/>
    <w:rsid w:val="0EA24C55"/>
    <w:rsid w:val="0EDE1004"/>
    <w:rsid w:val="0EE26D46"/>
    <w:rsid w:val="0F183FD6"/>
    <w:rsid w:val="0F1F541B"/>
    <w:rsid w:val="0F205179"/>
    <w:rsid w:val="0F227143"/>
    <w:rsid w:val="0F233AE0"/>
    <w:rsid w:val="0F2D3F1C"/>
    <w:rsid w:val="0F713C26"/>
    <w:rsid w:val="0F763628"/>
    <w:rsid w:val="0F765BA3"/>
    <w:rsid w:val="0F920077"/>
    <w:rsid w:val="0FF57433"/>
    <w:rsid w:val="0FFF08F1"/>
    <w:rsid w:val="10184C9C"/>
    <w:rsid w:val="101F204B"/>
    <w:rsid w:val="102313C5"/>
    <w:rsid w:val="10295E07"/>
    <w:rsid w:val="10326F5D"/>
    <w:rsid w:val="106119F9"/>
    <w:rsid w:val="10C70518"/>
    <w:rsid w:val="10E50428"/>
    <w:rsid w:val="11160751"/>
    <w:rsid w:val="11284FCB"/>
    <w:rsid w:val="113D7F60"/>
    <w:rsid w:val="116021A5"/>
    <w:rsid w:val="116F23E8"/>
    <w:rsid w:val="11823EC9"/>
    <w:rsid w:val="11A46535"/>
    <w:rsid w:val="11AB2142"/>
    <w:rsid w:val="11BA7B07"/>
    <w:rsid w:val="12086AC4"/>
    <w:rsid w:val="123E24E6"/>
    <w:rsid w:val="1272218F"/>
    <w:rsid w:val="12767E85"/>
    <w:rsid w:val="127E59C4"/>
    <w:rsid w:val="127F187A"/>
    <w:rsid w:val="128E077E"/>
    <w:rsid w:val="12BB1A40"/>
    <w:rsid w:val="12DF65E9"/>
    <w:rsid w:val="12EF6AB8"/>
    <w:rsid w:val="12F6691D"/>
    <w:rsid w:val="12FF7AEA"/>
    <w:rsid w:val="132F62D2"/>
    <w:rsid w:val="137141F5"/>
    <w:rsid w:val="137D5290"/>
    <w:rsid w:val="13AF4D1D"/>
    <w:rsid w:val="13B14F39"/>
    <w:rsid w:val="13B5228C"/>
    <w:rsid w:val="13B62550"/>
    <w:rsid w:val="13CC3B21"/>
    <w:rsid w:val="13DE01AE"/>
    <w:rsid w:val="13E26EA1"/>
    <w:rsid w:val="13F73718"/>
    <w:rsid w:val="13FD1F2D"/>
    <w:rsid w:val="14213E6D"/>
    <w:rsid w:val="145F04F1"/>
    <w:rsid w:val="147C10A3"/>
    <w:rsid w:val="147E4E1C"/>
    <w:rsid w:val="148D32B1"/>
    <w:rsid w:val="149C7998"/>
    <w:rsid w:val="14FC6E5B"/>
    <w:rsid w:val="15080B89"/>
    <w:rsid w:val="152B4878"/>
    <w:rsid w:val="15545B7C"/>
    <w:rsid w:val="155A7A15"/>
    <w:rsid w:val="155B64ED"/>
    <w:rsid w:val="155D514E"/>
    <w:rsid w:val="15681628"/>
    <w:rsid w:val="156A458A"/>
    <w:rsid w:val="157B6CE5"/>
    <w:rsid w:val="15966195"/>
    <w:rsid w:val="15A02708"/>
    <w:rsid w:val="15A7745D"/>
    <w:rsid w:val="15B12041"/>
    <w:rsid w:val="15B40B20"/>
    <w:rsid w:val="15B4486D"/>
    <w:rsid w:val="15B825AF"/>
    <w:rsid w:val="15C2342E"/>
    <w:rsid w:val="15EE4223"/>
    <w:rsid w:val="15EE5FD1"/>
    <w:rsid w:val="15F108D6"/>
    <w:rsid w:val="15F68668"/>
    <w:rsid w:val="16013F56"/>
    <w:rsid w:val="162419F3"/>
    <w:rsid w:val="162C08A7"/>
    <w:rsid w:val="163F05DA"/>
    <w:rsid w:val="164B6F7F"/>
    <w:rsid w:val="165C144C"/>
    <w:rsid w:val="166C5148"/>
    <w:rsid w:val="166E0EC0"/>
    <w:rsid w:val="1672275E"/>
    <w:rsid w:val="16922CEC"/>
    <w:rsid w:val="169E79F7"/>
    <w:rsid w:val="16BA5EB3"/>
    <w:rsid w:val="16BF796D"/>
    <w:rsid w:val="16ED0036"/>
    <w:rsid w:val="170D692B"/>
    <w:rsid w:val="177B3F0A"/>
    <w:rsid w:val="177F6E95"/>
    <w:rsid w:val="17874FED"/>
    <w:rsid w:val="17C3523B"/>
    <w:rsid w:val="18050943"/>
    <w:rsid w:val="180A48D8"/>
    <w:rsid w:val="181810E3"/>
    <w:rsid w:val="182932F0"/>
    <w:rsid w:val="183A0802"/>
    <w:rsid w:val="183B1275"/>
    <w:rsid w:val="183F0D66"/>
    <w:rsid w:val="1844637C"/>
    <w:rsid w:val="18581E27"/>
    <w:rsid w:val="185A794E"/>
    <w:rsid w:val="189665B7"/>
    <w:rsid w:val="189757E8"/>
    <w:rsid w:val="18B10D45"/>
    <w:rsid w:val="18D45952"/>
    <w:rsid w:val="18D76C5F"/>
    <w:rsid w:val="193A5EDD"/>
    <w:rsid w:val="19551028"/>
    <w:rsid w:val="1965492D"/>
    <w:rsid w:val="196A0064"/>
    <w:rsid w:val="19A76BC3"/>
    <w:rsid w:val="19AE61A3"/>
    <w:rsid w:val="19DC3C64"/>
    <w:rsid w:val="19DD0836"/>
    <w:rsid w:val="1A085187"/>
    <w:rsid w:val="1A0C4C78"/>
    <w:rsid w:val="1A11228E"/>
    <w:rsid w:val="1A3B37AF"/>
    <w:rsid w:val="1A566B02"/>
    <w:rsid w:val="1A5D54D3"/>
    <w:rsid w:val="1A745BBC"/>
    <w:rsid w:val="1A8C400A"/>
    <w:rsid w:val="1A9F4EEA"/>
    <w:rsid w:val="1AAB26E2"/>
    <w:rsid w:val="1AB01AA7"/>
    <w:rsid w:val="1AD02CD6"/>
    <w:rsid w:val="1AD5675A"/>
    <w:rsid w:val="1AD97F7E"/>
    <w:rsid w:val="1B356450"/>
    <w:rsid w:val="1B59144C"/>
    <w:rsid w:val="1B5A5FF4"/>
    <w:rsid w:val="1B617245"/>
    <w:rsid w:val="1B680005"/>
    <w:rsid w:val="1B6D1746"/>
    <w:rsid w:val="1B761694"/>
    <w:rsid w:val="1BA80E2E"/>
    <w:rsid w:val="1BB13D28"/>
    <w:rsid w:val="1C1918CE"/>
    <w:rsid w:val="1C297D63"/>
    <w:rsid w:val="1C381D54"/>
    <w:rsid w:val="1C8E5E18"/>
    <w:rsid w:val="1CA17728"/>
    <w:rsid w:val="1CB11B06"/>
    <w:rsid w:val="1CB6536F"/>
    <w:rsid w:val="1D0B7468"/>
    <w:rsid w:val="1D1207F7"/>
    <w:rsid w:val="1D2247B2"/>
    <w:rsid w:val="1D37025D"/>
    <w:rsid w:val="1D37200B"/>
    <w:rsid w:val="1D3A7D4E"/>
    <w:rsid w:val="1D7A420E"/>
    <w:rsid w:val="1D9E02DC"/>
    <w:rsid w:val="1DA83589"/>
    <w:rsid w:val="1DBD04FB"/>
    <w:rsid w:val="1DC15D79"/>
    <w:rsid w:val="1E4F5E6D"/>
    <w:rsid w:val="1E5B61CE"/>
    <w:rsid w:val="1E62130A"/>
    <w:rsid w:val="1E6F1C79"/>
    <w:rsid w:val="1E736EE3"/>
    <w:rsid w:val="1E890F8D"/>
    <w:rsid w:val="1E9F04F3"/>
    <w:rsid w:val="1EA01E32"/>
    <w:rsid w:val="1EA30D2C"/>
    <w:rsid w:val="1EB12B65"/>
    <w:rsid w:val="1EB8717C"/>
    <w:rsid w:val="1EB95B6A"/>
    <w:rsid w:val="1EDF1807"/>
    <w:rsid w:val="1EEC17D9"/>
    <w:rsid w:val="1EF328AA"/>
    <w:rsid w:val="1EF74148"/>
    <w:rsid w:val="1EFB0669"/>
    <w:rsid w:val="1EFB350D"/>
    <w:rsid w:val="1F147105"/>
    <w:rsid w:val="1F242A63"/>
    <w:rsid w:val="1F3802BD"/>
    <w:rsid w:val="1F417171"/>
    <w:rsid w:val="1F642E60"/>
    <w:rsid w:val="1F722C30"/>
    <w:rsid w:val="1F7D0A5A"/>
    <w:rsid w:val="1F811C64"/>
    <w:rsid w:val="1F896D6A"/>
    <w:rsid w:val="1F9F48AF"/>
    <w:rsid w:val="1FAD4807"/>
    <w:rsid w:val="1FC7841B"/>
    <w:rsid w:val="1FCA53B9"/>
    <w:rsid w:val="1FCDA9C2"/>
    <w:rsid w:val="1FCFF58D"/>
    <w:rsid w:val="202C6073"/>
    <w:rsid w:val="20344F28"/>
    <w:rsid w:val="20515ADA"/>
    <w:rsid w:val="205818B0"/>
    <w:rsid w:val="20583F9B"/>
    <w:rsid w:val="206530E7"/>
    <w:rsid w:val="20672C08"/>
    <w:rsid w:val="20827A42"/>
    <w:rsid w:val="209202A1"/>
    <w:rsid w:val="209677A6"/>
    <w:rsid w:val="209FCCF9"/>
    <w:rsid w:val="20AE17F5"/>
    <w:rsid w:val="20BB02B9"/>
    <w:rsid w:val="20C36E72"/>
    <w:rsid w:val="20D83B05"/>
    <w:rsid w:val="20F004CA"/>
    <w:rsid w:val="21025026"/>
    <w:rsid w:val="212D20A3"/>
    <w:rsid w:val="217001E2"/>
    <w:rsid w:val="21767B10"/>
    <w:rsid w:val="219D08AB"/>
    <w:rsid w:val="21C5052E"/>
    <w:rsid w:val="21EA12B6"/>
    <w:rsid w:val="21F9750D"/>
    <w:rsid w:val="22046F6D"/>
    <w:rsid w:val="220D2C4E"/>
    <w:rsid w:val="222608A0"/>
    <w:rsid w:val="22273D0E"/>
    <w:rsid w:val="22274D44"/>
    <w:rsid w:val="224B0307"/>
    <w:rsid w:val="225B679C"/>
    <w:rsid w:val="22B1460E"/>
    <w:rsid w:val="22D4654E"/>
    <w:rsid w:val="230A1F70"/>
    <w:rsid w:val="231150AD"/>
    <w:rsid w:val="231B5F2B"/>
    <w:rsid w:val="231E022D"/>
    <w:rsid w:val="233B65CE"/>
    <w:rsid w:val="2342170A"/>
    <w:rsid w:val="23496F3C"/>
    <w:rsid w:val="234A5B06"/>
    <w:rsid w:val="2355C46E"/>
    <w:rsid w:val="235D4796"/>
    <w:rsid w:val="23671171"/>
    <w:rsid w:val="236E0751"/>
    <w:rsid w:val="23C87E61"/>
    <w:rsid w:val="23CA2FF6"/>
    <w:rsid w:val="23EE3640"/>
    <w:rsid w:val="23F32A04"/>
    <w:rsid w:val="243F5C4A"/>
    <w:rsid w:val="244B1FDE"/>
    <w:rsid w:val="244B45EE"/>
    <w:rsid w:val="24523BCF"/>
    <w:rsid w:val="246102B6"/>
    <w:rsid w:val="246F4781"/>
    <w:rsid w:val="24741D97"/>
    <w:rsid w:val="24806DFB"/>
    <w:rsid w:val="248F0784"/>
    <w:rsid w:val="2499701F"/>
    <w:rsid w:val="24A361D8"/>
    <w:rsid w:val="24BA089C"/>
    <w:rsid w:val="24E53A2A"/>
    <w:rsid w:val="251E468A"/>
    <w:rsid w:val="253F4153"/>
    <w:rsid w:val="25445C0D"/>
    <w:rsid w:val="25506360"/>
    <w:rsid w:val="255D282B"/>
    <w:rsid w:val="25B1070F"/>
    <w:rsid w:val="25B52667"/>
    <w:rsid w:val="25BE30CD"/>
    <w:rsid w:val="25DD69CE"/>
    <w:rsid w:val="25FC7E3F"/>
    <w:rsid w:val="260158AC"/>
    <w:rsid w:val="260834D5"/>
    <w:rsid w:val="260913BE"/>
    <w:rsid w:val="262B46D7"/>
    <w:rsid w:val="265A4FBD"/>
    <w:rsid w:val="26654E47"/>
    <w:rsid w:val="268362C1"/>
    <w:rsid w:val="2686436C"/>
    <w:rsid w:val="269824DB"/>
    <w:rsid w:val="26BC7D71"/>
    <w:rsid w:val="26C54244"/>
    <w:rsid w:val="26F52C1E"/>
    <w:rsid w:val="26FC7E22"/>
    <w:rsid w:val="271813DF"/>
    <w:rsid w:val="27184C7B"/>
    <w:rsid w:val="27231852"/>
    <w:rsid w:val="27856A0A"/>
    <w:rsid w:val="27B561DE"/>
    <w:rsid w:val="27C6290A"/>
    <w:rsid w:val="27DA4607"/>
    <w:rsid w:val="27EB411E"/>
    <w:rsid w:val="28037B0C"/>
    <w:rsid w:val="281533F5"/>
    <w:rsid w:val="28236002"/>
    <w:rsid w:val="28341F69"/>
    <w:rsid w:val="28397580"/>
    <w:rsid w:val="28577A06"/>
    <w:rsid w:val="28604137"/>
    <w:rsid w:val="28700AC7"/>
    <w:rsid w:val="28754330"/>
    <w:rsid w:val="28884063"/>
    <w:rsid w:val="28A30E9D"/>
    <w:rsid w:val="28B766F6"/>
    <w:rsid w:val="28BC3D0D"/>
    <w:rsid w:val="28BC5ABB"/>
    <w:rsid w:val="28E76FDC"/>
    <w:rsid w:val="29160EB7"/>
    <w:rsid w:val="293778BF"/>
    <w:rsid w:val="294361DC"/>
    <w:rsid w:val="29543F45"/>
    <w:rsid w:val="29804D3A"/>
    <w:rsid w:val="29932CBF"/>
    <w:rsid w:val="29A547A1"/>
    <w:rsid w:val="29C25353"/>
    <w:rsid w:val="29C30D22"/>
    <w:rsid w:val="29EB48A9"/>
    <w:rsid w:val="29F574D6"/>
    <w:rsid w:val="2A13C980"/>
    <w:rsid w:val="2A261D85"/>
    <w:rsid w:val="2A475D63"/>
    <w:rsid w:val="2A565288"/>
    <w:rsid w:val="2A583908"/>
    <w:rsid w:val="2A6428AE"/>
    <w:rsid w:val="2A6C3C54"/>
    <w:rsid w:val="2A6C52BE"/>
    <w:rsid w:val="2A983DA1"/>
    <w:rsid w:val="2A9A4155"/>
    <w:rsid w:val="2AB92391"/>
    <w:rsid w:val="2AC60E73"/>
    <w:rsid w:val="2AD03A9F"/>
    <w:rsid w:val="2AD92954"/>
    <w:rsid w:val="2AE35581"/>
    <w:rsid w:val="2AEA4B61"/>
    <w:rsid w:val="2AFD5DC9"/>
    <w:rsid w:val="2B02634F"/>
    <w:rsid w:val="2B536BAA"/>
    <w:rsid w:val="2B5D3B9B"/>
    <w:rsid w:val="2B6C37C8"/>
    <w:rsid w:val="2B7E1B58"/>
    <w:rsid w:val="2BAD5B8F"/>
    <w:rsid w:val="2BB205C0"/>
    <w:rsid w:val="2BDF5274"/>
    <w:rsid w:val="2BEB0BC2"/>
    <w:rsid w:val="2BEB8970"/>
    <w:rsid w:val="2BFFE3A4"/>
    <w:rsid w:val="2C03770C"/>
    <w:rsid w:val="2C1B0FD2"/>
    <w:rsid w:val="2C4B5AD3"/>
    <w:rsid w:val="2C687BB6"/>
    <w:rsid w:val="2C8C3FE8"/>
    <w:rsid w:val="2C9103E2"/>
    <w:rsid w:val="2C931228"/>
    <w:rsid w:val="2CB5C3E2"/>
    <w:rsid w:val="2CBA67B5"/>
    <w:rsid w:val="2CD671D4"/>
    <w:rsid w:val="2CE6030C"/>
    <w:rsid w:val="2CFBF3AA"/>
    <w:rsid w:val="2D173C07"/>
    <w:rsid w:val="2D1903F7"/>
    <w:rsid w:val="2D191BB3"/>
    <w:rsid w:val="2D3C3CB8"/>
    <w:rsid w:val="2D9C347B"/>
    <w:rsid w:val="2D9C5EBB"/>
    <w:rsid w:val="2DAA4A7C"/>
    <w:rsid w:val="2DB7598C"/>
    <w:rsid w:val="2DC540FE"/>
    <w:rsid w:val="2DDB9E5A"/>
    <w:rsid w:val="2DE63201"/>
    <w:rsid w:val="2DEB0719"/>
    <w:rsid w:val="2DF67CC1"/>
    <w:rsid w:val="2E0423DE"/>
    <w:rsid w:val="2E0A056F"/>
    <w:rsid w:val="2E0A72C8"/>
    <w:rsid w:val="2E187C37"/>
    <w:rsid w:val="2E320D4F"/>
    <w:rsid w:val="2E32290D"/>
    <w:rsid w:val="2E3F6F72"/>
    <w:rsid w:val="2E4E18AB"/>
    <w:rsid w:val="2E5360FB"/>
    <w:rsid w:val="2E5E3BC7"/>
    <w:rsid w:val="2E604F61"/>
    <w:rsid w:val="2E7C01C6"/>
    <w:rsid w:val="2E976DAE"/>
    <w:rsid w:val="2EB22558"/>
    <w:rsid w:val="2EC67693"/>
    <w:rsid w:val="2ED40002"/>
    <w:rsid w:val="2ED54F06"/>
    <w:rsid w:val="2EF10A5F"/>
    <w:rsid w:val="2EFEB20F"/>
    <w:rsid w:val="2F311A35"/>
    <w:rsid w:val="2F326AD7"/>
    <w:rsid w:val="2F340AA1"/>
    <w:rsid w:val="2F3DFB09"/>
    <w:rsid w:val="2F44C33E"/>
    <w:rsid w:val="2F46A335"/>
    <w:rsid w:val="2F660650"/>
    <w:rsid w:val="2F664C5C"/>
    <w:rsid w:val="2F6F7D2B"/>
    <w:rsid w:val="2FA8323D"/>
    <w:rsid w:val="2FB219C5"/>
    <w:rsid w:val="2FB7C7F3"/>
    <w:rsid w:val="2FC11C09"/>
    <w:rsid w:val="2FD951A4"/>
    <w:rsid w:val="2FEA5603"/>
    <w:rsid w:val="2FED2BF2"/>
    <w:rsid w:val="3000689F"/>
    <w:rsid w:val="300D4E4E"/>
    <w:rsid w:val="302F1268"/>
    <w:rsid w:val="302F14C5"/>
    <w:rsid w:val="30607673"/>
    <w:rsid w:val="30696C8E"/>
    <w:rsid w:val="30727112"/>
    <w:rsid w:val="307A0735"/>
    <w:rsid w:val="308570DA"/>
    <w:rsid w:val="309349F9"/>
    <w:rsid w:val="30E17ECA"/>
    <w:rsid w:val="30EB518F"/>
    <w:rsid w:val="30FF0C3A"/>
    <w:rsid w:val="3112096E"/>
    <w:rsid w:val="31303ABD"/>
    <w:rsid w:val="313F3965"/>
    <w:rsid w:val="314C2FDB"/>
    <w:rsid w:val="316B4522"/>
    <w:rsid w:val="31713AE0"/>
    <w:rsid w:val="318F1FBE"/>
    <w:rsid w:val="31AC132C"/>
    <w:rsid w:val="31AD0696"/>
    <w:rsid w:val="31C641E9"/>
    <w:rsid w:val="31EC7411"/>
    <w:rsid w:val="31F2079F"/>
    <w:rsid w:val="31FA05A4"/>
    <w:rsid w:val="32171FB4"/>
    <w:rsid w:val="322740B9"/>
    <w:rsid w:val="322F72FD"/>
    <w:rsid w:val="32382656"/>
    <w:rsid w:val="323D5EBE"/>
    <w:rsid w:val="324C4353"/>
    <w:rsid w:val="326A47D9"/>
    <w:rsid w:val="32745651"/>
    <w:rsid w:val="32747406"/>
    <w:rsid w:val="3281224F"/>
    <w:rsid w:val="32892EB1"/>
    <w:rsid w:val="328C29A2"/>
    <w:rsid w:val="32963A97"/>
    <w:rsid w:val="32BD4284"/>
    <w:rsid w:val="32CC6A7D"/>
    <w:rsid w:val="32EFE0D6"/>
    <w:rsid w:val="32FB3683"/>
    <w:rsid w:val="33010C9A"/>
    <w:rsid w:val="330A50FD"/>
    <w:rsid w:val="331A1D5C"/>
    <w:rsid w:val="331A7FAD"/>
    <w:rsid w:val="332D7CE1"/>
    <w:rsid w:val="33562B6D"/>
    <w:rsid w:val="33633703"/>
    <w:rsid w:val="33B45D0C"/>
    <w:rsid w:val="33E12879"/>
    <w:rsid w:val="33EB4B6D"/>
    <w:rsid w:val="34272982"/>
    <w:rsid w:val="34476B80"/>
    <w:rsid w:val="34675FDF"/>
    <w:rsid w:val="34727975"/>
    <w:rsid w:val="347D25A2"/>
    <w:rsid w:val="347F27BE"/>
    <w:rsid w:val="348F22D5"/>
    <w:rsid w:val="349808FF"/>
    <w:rsid w:val="34AE10BC"/>
    <w:rsid w:val="34B47F8E"/>
    <w:rsid w:val="34C91C11"/>
    <w:rsid w:val="34CE54F3"/>
    <w:rsid w:val="34CF79BA"/>
    <w:rsid w:val="34D67F04"/>
    <w:rsid w:val="34F26B77"/>
    <w:rsid w:val="34F75CEA"/>
    <w:rsid w:val="34FB796B"/>
    <w:rsid w:val="350E3B42"/>
    <w:rsid w:val="352769B2"/>
    <w:rsid w:val="354C7710"/>
    <w:rsid w:val="354E2190"/>
    <w:rsid w:val="359F479A"/>
    <w:rsid w:val="35AB5B3D"/>
    <w:rsid w:val="35B446E9"/>
    <w:rsid w:val="35BB3FD2"/>
    <w:rsid w:val="35C67F79"/>
    <w:rsid w:val="35FA7C22"/>
    <w:rsid w:val="35FD2D0F"/>
    <w:rsid w:val="360A392E"/>
    <w:rsid w:val="360F32E1"/>
    <w:rsid w:val="36146F36"/>
    <w:rsid w:val="361909F0"/>
    <w:rsid w:val="364A6DFC"/>
    <w:rsid w:val="36541A28"/>
    <w:rsid w:val="36617CA1"/>
    <w:rsid w:val="36877708"/>
    <w:rsid w:val="36B10C29"/>
    <w:rsid w:val="36C546D4"/>
    <w:rsid w:val="36EA7C97"/>
    <w:rsid w:val="36ED6471"/>
    <w:rsid w:val="36FD3E6E"/>
    <w:rsid w:val="3701395E"/>
    <w:rsid w:val="3709B754"/>
    <w:rsid w:val="37272C99"/>
    <w:rsid w:val="372C6596"/>
    <w:rsid w:val="37353608"/>
    <w:rsid w:val="377A726D"/>
    <w:rsid w:val="37985D7C"/>
    <w:rsid w:val="37B02C8E"/>
    <w:rsid w:val="37D270A9"/>
    <w:rsid w:val="37DF5322"/>
    <w:rsid w:val="37E56DDC"/>
    <w:rsid w:val="380E3E50"/>
    <w:rsid w:val="38352061"/>
    <w:rsid w:val="389E342F"/>
    <w:rsid w:val="38B62A6F"/>
    <w:rsid w:val="39096AFA"/>
    <w:rsid w:val="392E6561"/>
    <w:rsid w:val="393618B9"/>
    <w:rsid w:val="39382F3B"/>
    <w:rsid w:val="39385043"/>
    <w:rsid w:val="395D29A2"/>
    <w:rsid w:val="39677CC5"/>
    <w:rsid w:val="39974106"/>
    <w:rsid w:val="399F1360"/>
    <w:rsid w:val="39BC591B"/>
    <w:rsid w:val="39C221B3"/>
    <w:rsid w:val="39C9317C"/>
    <w:rsid w:val="39D55FF8"/>
    <w:rsid w:val="39F43D7E"/>
    <w:rsid w:val="39FE5147"/>
    <w:rsid w:val="3A0F6392"/>
    <w:rsid w:val="3A243B8B"/>
    <w:rsid w:val="3A3415DA"/>
    <w:rsid w:val="3A345DF9"/>
    <w:rsid w:val="3A4B4EF0"/>
    <w:rsid w:val="3A502507"/>
    <w:rsid w:val="3A535631"/>
    <w:rsid w:val="3A647D60"/>
    <w:rsid w:val="3A7601BF"/>
    <w:rsid w:val="3A7A7584"/>
    <w:rsid w:val="3A843A92"/>
    <w:rsid w:val="3A8A5A19"/>
    <w:rsid w:val="3A8B49E9"/>
    <w:rsid w:val="3A8D5D34"/>
    <w:rsid w:val="3A916DA7"/>
    <w:rsid w:val="3ABF3C53"/>
    <w:rsid w:val="3AC52EF5"/>
    <w:rsid w:val="3ADDD0C8"/>
    <w:rsid w:val="3AEF3ACE"/>
    <w:rsid w:val="3AFC949E"/>
    <w:rsid w:val="3B06606E"/>
    <w:rsid w:val="3B273268"/>
    <w:rsid w:val="3B2DA655"/>
    <w:rsid w:val="3B3A743F"/>
    <w:rsid w:val="3B3E5CB2"/>
    <w:rsid w:val="3B4F4DBB"/>
    <w:rsid w:val="3B60677A"/>
    <w:rsid w:val="3B77858E"/>
    <w:rsid w:val="3B787875"/>
    <w:rsid w:val="3B8544E4"/>
    <w:rsid w:val="3B8E5883"/>
    <w:rsid w:val="3B9B5A04"/>
    <w:rsid w:val="3B9D4F3A"/>
    <w:rsid w:val="3BB54D17"/>
    <w:rsid w:val="3BB578C7"/>
    <w:rsid w:val="3BC07A31"/>
    <w:rsid w:val="3BCC3E0F"/>
    <w:rsid w:val="3BCF888A"/>
    <w:rsid w:val="3BDD601C"/>
    <w:rsid w:val="3BE9676F"/>
    <w:rsid w:val="3BF05D4F"/>
    <w:rsid w:val="3BF55114"/>
    <w:rsid w:val="3BF5780A"/>
    <w:rsid w:val="3BF699A9"/>
    <w:rsid w:val="3C0417FB"/>
    <w:rsid w:val="3C0E4427"/>
    <w:rsid w:val="3C144C4F"/>
    <w:rsid w:val="3C255101"/>
    <w:rsid w:val="3C2679C3"/>
    <w:rsid w:val="3C3F8CCA"/>
    <w:rsid w:val="3C4E2A76"/>
    <w:rsid w:val="3C4E4F51"/>
    <w:rsid w:val="3C553E04"/>
    <w:rsid w:val="3C6504EB"/>
    <w:rsid w:val="3C9012E0"/>
    <w:rsid w:val="3C9506A5"/>
    <w:rsid w:val="3CA1704A"/>
    <w:rsid w:val="3CBC20D5"/>
    <w:rsid w:val="3CBE446A"/>
    <w:rsid w:val="3CDB255C"/>
    <w:rsid w:val="3CEB1943"/>
    <w:rsid w:val="3CEC4769"/>
    <w:rsid w:val="3CED228F"/>
    <w:rsid w:val="3CEF24AB"/>
    <w:rsid w:val="3CF63839"/>
    <w:rsid w:val="3CFE26EE"/>
    <w:rsid w:val="3D0C4E0B"/>
    <w:rsid w:val="3D3305EA"/>
    <w:rsid w:val="3D687B67"/>
    <w:rsid w:val="3D7529B0"/>
    <w:rsid w:val="3D7824A0"/>
    <w:rsid w:val="3D9B7F3D"/>
    <w:rsid w:val="3DEFEC1C"/>
    <w:rsid w:val="3DFF8742"/>
    <w:rsid w:val="3E0E6961"/>
    <w:rsid w:val="3E1E5EE3"/>
    <w:rsid w:val="3E1F0B6E"/>
    <w:rsid w:val="3E611186"/>
    <w:rsid w:val="3E773E58"/>
    <w:rsid w:val="3E777966"/>
    <w:rsid w:val="3E7B5510"/>
    <w:rsid w:val="3E9F138B"/>
    <w:rsid w:val="3ECD0B24"/>
    <w:rsid w:val="3ECE4ADB"/>
    <w:rsid w:val="3EDC25BB"/>
    <w:rsid w:val="3EF35854"/>
    <w:rsid w:val="3F0F53D8"/>
    <w:rsid w:val="3F3F4024"/>
    <w:rsid w:val="3F4F5483"/>
    <w:rsid w:val="3F6FFEF0"/>
    <w:rsid w:val="3F7119A8"/>
    <w:rsid w:val="3F76656C"/>
    <w:rsid w:val="3F79605C"/>
    <w:rsid w:val="3F9D826A"/>
    <w:rsid w:val="3FA4132B"/>
    <w:rsid w:val="3FAC01DF"/>
    <w:rsid w:val="3FBF7EB7"/>
    <w:rsid w:val="3FC65745"/>
    <w:rsid w:val="3FC7326B"/>
    <w:rsid w:val="3FD7C896"/>
    <w:rsid w:val="3FD87226"/>
    <w:rsid w:val="3FE9068D"/>
    <w:rsid w:val="3FF66639"/>
    <w:rsid w:val="3FFB4CC3"/>
    <w:rsid w:val="3FFBAF79"/>
    <w:rsid w:val="3FFF59CB"/>
    <w:rsid w:val="400C6ED0"/>
    <w:rsid w:val="403B1563"/>
    <w:rsid w:val="40943F1D"/>
    <w:rsid w:val="40A64E31"/>
    <w:rsid w:val="40CA3013"/>
    <w:rsid w:val="40D95004"/>
    <w:rsid w:val="40EA5463"/>
    <w:rsid w:val="40F7192E"/>
    <w:rsid w:val="40FB7A97"/>
    <w:rsid w:val="411D7EC4"/>
    <w:rsid w:val="412C69E5"/>
    <w:rsid w:val="412D0AF9"/>
    <w:rsid w:val="413A424B"/>
    <w:rsid w:val="419B49AF"/>
    <w:rsid w:val="41B44FDB"/>
    <w:rsid w:val="41BE41FA"/>
    <w:rsid w:val="41C91711"/>
    <w:rsid w:val="41D852BC"/>
    <w:rsid w:val="41DD6D76"/>
    <w:rsid w:val="41E2613A"/>
    <w:rsid w:val="41E579D9"/>
    <w:rsid w:val="41FF0A9A"/>
    <w:rsid w:val="42046397"/>
    <w:rsid w:val="421B5024"/>
    <w:rsid w:val="422D212F"/>
    <w:rsid w:val="42415557"/>
    <w:rsid w:val="42937435"/>
    <w:rsid w:val="42984D9F"/>
    <w:rsid w:val="42B957D5"/>
    <w:rsid w:val="42C17495"/>
    <w:rsid w:val="42CD0B98"/>
    <w:rsid w:val="42FE6004"/>
    <w:rsid w:val="43046206"/>
    <w:rsid w:val="43106CD7"/>
    <w:rsid w:val="434370AD"/>
    <w:rsid w:val="43733959"/>
    <w:rsid w:val="43A7763B"/>
    <w:rsid w:val="43D321DE"/>
    <w:rsid w:val="440027FE"/>
    <w:rsid w:val="44136A7F"/>
    <w:rsid w:val="442E5667"/>
    <w:rsid w:val="443057D6"/>
    <w:rsid w:val="444262D4"/>
    <w:rsid w:val="444529B0"/>
    <w:rsid w:val="44560C1D"/>
    <w:rsid w:val="447D0B0A"/>
    <w:rsid w:val="44830880"/>
    <w:rsid w:val="448654A3"/>
    <w:rsid w:val="44B813D4"/>
    <w:rsid w:val="44CD4E80"/>
    <w:rsid w:val="45080F98"/>
    <w:rsid w:val="454B3FF6"/>
    <w:rsid w:val="454F0D5F"/>
    <w:rsid w:val="455950D4"/>
    <w:rsid w:val="455F488D"/>
    <w:rsid w:val="455F7DF4"/>
    <w:rsid w:val="456A4DC4"/>
    <w:rsid w:val="45857508"/>
    <w:rsid w:val="45992FB4"/>
    <w:rsid w:val="45A8769B"/>
    <w:rsid w:val="45C83899"/>
    <w:rsid w:val="45D264C6"/>
    <w:rsid w:val="45DE30BD"/>
    <w:rsid w:val="45EF0E26"/>
    <w:rsid w:val="460B72B5"/>
    <w:rsid w:val="46127557"/>
    <w:rsid w:val="46160D27"/>
    <w:rsid w:val="46214BDB"/>
    <w:rsid w:val="464E1182"/>
    <w:rsid w:val="465313B5"/>
    <w:rsid w:val="466F191C"/>
    <w:rsid w:val="46805C57"/>
    <w:rsid w:val="46837A8A"/>
    <w:rsid w:val="46B574AA"/>
    <w:rsid w:val="46CD7080"/>
    <w:rsid w:val="46D71FE6"/>
    <w:rsid w:val="46DA7D28"/>
    <w:rsid w:val="46DF0E9A"/>
    <w:rsid w:val="46E26BDC"/>
    <w:rsid w:val="46F56910"/>
    <w:rsid w:val="470703F1"/>
    <w:rsid w:val="471517AC"/>
    <w:rsid w:val="473BBDBF"/>
    <w:rsid w:val="474E6020"/>
    <w:rsid w:val="47574ED5"/>
    <w:rsid w:val="477517FF"/>
    <w:rsid w:val="478B2DD0"/>
    <w:rsid w:val="479C6D8B"/>
    <w:rsid w:val="47C36F24"/>
    <w:rsid w:val="47C84024"/>
    <w:rsid w:val="47D21ECE"/>
    <w:rsid w:val="47D97FDF"/>
    <w:rsid w:val="47E7EDEC"/>
    <w:rsid w:val="47F6293F"/>
    <w:rsid w:val="47FB04BF"/>
    <w:rsid w:val="480706A9"/>
    <w:rsid w:val="4812529F"/>
    <w:rsid w:val="482B0799"/>
    <w:rsid w:val="48376AB4"/>
    <w:rsid w:val="48470B06"/>
    <w:rsid w:val="4851011B"/>
    <w:rsid w:val="485458B8"/>
    <w:rsid w:val="48547666"/>
    <w:rsid w:val="488066AD"/>
    <w:rsid w:val="48EE3617"/>
    <w:rsid w:val="4904108C"/>
    <w:rsid w:val="49154281"/>
    <w:rsid w:val="49221512"/>
    <w:rsid w:val="492273B8"/>
    <w:rsid w:val="49836455"/>
    <w:rsid w:val="498875C7"/>
    <w:rsid w:val="49DA3B9B"/>
    <w:rsid w:val="49EA2030"/>
    <w:rsid w:val="49EE6431"/>
    <w:rsid w:val="49F27137"/>
    <w:rsid w:val="4A160D9F"/>
    <w:rsid w:val="4A4719D1"/>
    <w:rsid w:val="4A4A0D02"/>
    <w:rsid w:val="4A4F62B5"/>
    <w:rsid w:val="4A631DE2"/>
    <w:rsid w:val="4ABF3C98"/>
    <w:rsid w:val="4B1D0287"/>
    <w:rsid w:val="4B380701"/>
    <w:rsid w:val="4B5160DF"/>
    <w:rsid w:val="4B5C6F5D"/>
    <w:rsid w:val="4B7F3763"/>
    <w:rsid w:val="4B8B15F1"/>
    <w:rsid w:val="4B9366F7"/>
    <w:rsid w:val="4BA07DE3"/>
    <w:rsid w:val="4BA97CC9"/>
    <w:rsid w:val="4BC93EC7"/>
    <w:rsid w:val="4BFE6267"/>
    <w:rsid w:val="4C062E76"/>
    <w:rsid w:val="4C075F6E"/>
    <w:rsid w:val="4C2555A1"/>
    <w:rsid w:val="4C34600A"/>
    <w:rsid w:val="4C8D6DC9"/>
    <w:rsid w:val="4C914717"/>
    <w:rsid w:val="4C926DBD"/>
    <w:rsid w:val="4CAA3CF8"/>
    <w:rsid w:val="4CB138D3"/>
    <w:rsid w:val="4CD52003"/>
    <w:rsid w:val="4CE0596C"/>
    <w:rsid w:val="4CE70AA9"/>
    <w:rsid w:val="4CE865CF"/>
    <w:rsid w:val="4CEF795D"/>
    <w:rsid w:val="4D0E072B"/>
    <w:rsid w:val="4D1C1C6E"/>
    <w:rsid w:val="4D2060B9"/>
    <w:rsid w:val="4D2C5809"/>
    <w:rsid w:val="4D3A507C"/>
    <w:rsid w:val="4D64034B"/>
    <w:rsid w:val="4D7367E0"/>
    <w:rsid w:val="4DB36F04"/>
    <w:rsid w:val="4DBA7F94"/>
    <w:rsid w:val="4DF92A0A"/>
    <w:rsid w:val="4DFC01D5"/>
    <w:rsid w:val="4DFE0D44"/>
    <w:rsid w:val="4E0A0EF3"/>
    <w:rsid w:val="4E1A59EE"/>
    <w:rsid w:val="4E233D62"/>
    <w:rsid w:val="4E345F70"/>
    <w:rsid w:val="4E3B5550"/>
    <w:rsid w:val="4E4B72E5"/>
    <w:rsid w:val="4E557C94"/>
    <w:rsid w:val="4E760D0B"/>
    <w:rsid w:val="4E8429FF"/>
    <w:rsid w:val="4EA34EA3"/>
    <w:rsid w:val="4EAD187E"/>
    <w:rsid w:val="4EDB729D"/>
    <w:rsid w:val="4EDF87A3"/>
    <w:rsid w:val="4EF93187"/>
    <w:rsid w:val="4EFF0C45"/>
    <w:rsid w:val="4F021BCA"/>
    <w:rsid w:val="4F060D05"/>
    <w:rsid w:val="4F1162B1"/>
    <w:rsid w:val="4F155DA1"/>
    <w:rsid w:val="4F162A3B"/>
    <w:rsid w:val="4F247D92"/>
    <w:rsid w:val="4F2A1203"/>
    <w:rsid w:val="4F2B261B"/>
    <w:rsid w:val="4F365D17"/>
    <w:rsid w:val="4F644633"/>
    <w:rsid w:val="4F6603AB"/>
    <w:rsid w:val="4F701229"/>
    <w:rsid w:val="4F8E16AF"/>
    <w:rsid w:val="4FA03191"/>
    <w:rsid w:val="4FB70C06"/>
    <w:rsid w:val="4FBA61F8"/>
    <w:rsid w:val="4FDA66A3"/>
    <w:rsid w:val="50013BA7"/>
    <w:rsid w:val="5023004A"/>
    <w:rsid w:val="50287EB8"/>
    <w:rsid w:val="505C355C"/>
    <w:rsid w:val="50707007"/>
    <w:rsid w:val="507E2BA6"/>
    <w:rsid w:val="50BB64D4"/>
    <w:rsid w:val="50D70E34"/>
    <w:rsid w:val="50E33C7D"/>
    <w:rsid w:val="5119144D"/>
    <w:rsid w:val="511B3176"/>
    <w:rsid w:val="51394EA9"/>
    <w:rsid w:val="5142769C"/>
    <w:rsid w:val="51532BB1"/>
    <w:rsid w:val="51785946"/>
    <w:rsid w:val="519D207E"/>
    <w:rsid w:val="51BA0636"/>
    <w:rsid w:val="523F6C83"/>
    <w:rsid w:val="524D7600"/>
    <w:rsid w:val="52651CE7"/>
    <w:rsid w:val="527DF8B4"/>
    <w:rsid w:val="527F1783"/>
    <w:rsid w:val="5339302E"/>
    <w:rsid w:val="53465F4C"/>
    <w:rsid w:val="534A3B3F"/>
    <w:rsid w:val="535D3873"/>
    <w:rsid w:val="535D721F"/>
    <w:rsid w:val="5371731E"/>
    <w:rsid w:val="537D65C4"/>
    <w:rsid w:val="537D6660"/>
    <w:rsid w:val="53A5521A"/>
    <w:rsid w:val="53C27B7A"/>
    <w:rsid w:val="54146EE9"/>
    <w:rsid w:val="542645AC"/>
    <w:rsid w:val="54626973"/>
    <w:rsid w:val="5463310B"/>
    <w:rsid w:val="546E386E"/>
    <w:rsid w:val="54882B71"/>
    <w:rsid w:val="54D20290"/>
    <w:rsid w:val="54D264E2"/>
    <w:rsid w:val="54DC33D4"/>
    <w:rsid w:val="54E405A7"/>
    <w:rsid w:val="54FE3CDA"/>
    <w:rsid w:val="55050666"/>
    <w:rsid w:val="5511700B"/>
    <w:rsid w:val="55562C6F"/>
    <w:rsid w:val="557FAEA6"/>
    <w:rsid w:val="559519EA"/>
    <w:rsid w:val="55D65B5E"/>
    <w:rsid w:val="55D911AB"/>
    <w:rsid w:val="55E069DD"/>
    <w:rsid w:val="55E5244B"/>
    <w:rsid w:val="56086719"/>
    <w:rsid w:val="56222B52"/>
    <w:rsid w:val="56293090"/>
    <w:rsid w:val="56343CD6"/>
    <w:rsid w:val="56694C24"/>
    <w:rsid w:val="567F1D52"/>
    <w:rsid w:val="56835CE6"/>
    <w:rsid w:val="569C07CA"/>
    <w:rsid w:val="569D042A"/>
    <w:rsid w:val="56CD1E98"/>
    <w:rsid w:val="56E542AB"/>
    <w:rsid w:val="5700264D"/>
    <w:rsid w:val="570D57DF"/>
    <w:rsid w:val="57631674"/>
    <w:rsid w:val="576B3CA4"/>
    <w:rsid w:val="579B7A29"/>
    <w:rsid w:val="57A92A8B"/>
    <w:rsid w:val="57B73574"/>
    <w:rsid w:val="57CF0AB7"/>
    <w:rsid w:val="57D61E46"/>
    <w:rsid w:val="57DF5194"/>
    <w:rsid w:val="57EA58F1"/>
    <w:rsid w:val="57F25378"/>
    <w:rsid w:val="57F7082F"/>
    <w:rsid w:val="57FED0B2"/>
    <w:rsid w:val="582726A1"/>
    <w:rsid w:val="5829466B"/>
    <w:rsid w:val="58512985"/>
    <w:rsid w:val="585A3935"/>
    <w:rsid w:val="586E207E"/>
    <w:rsid w:val="58922210"/>
    <w:rsid w:val="589C6BEB"/>
    <w:rsid w:val="59017396"/>
    <w:rsid w:val="59060509"/>
    <w:rsid w:val="5915074C"/>
    <w:rsid w:val="593C4479"/>
    <w:rsid w:val="594D25DB"/>
    <w:rsid w:val="599253AE"/>
    <w:rsid w:val="59BB19C5"/>
    <w:rsid w:val="59E52814"/>
    <w:rsid w:val="59F5622A"/>
    <w:rsid w:val="59FBE8CD"/>
    <w:rsid w:val="5A050D00"/>
    <w:rsid w:val="5A0A227A"/>
    <w:rsid w:val="5A0A4028"/>
    <w:rsid w:val="5A0A78CA"/>
    <w:rsid w:val="5A0C1B4F"/>
    <w:rsid w:val="5A4412E8"/>
    <w:rsid w:val="5A455061"/>
    <w:rsid w:val="5A646165"/>
    <w:rsid w:val="5A6951F3"/>
    <w:rsid w:val="5A701D9C"/>
    <w:rsid w:val="5A7BE248"/>
    <w:rsid w:val="5A9C7376"/>
    <w:rsid w:val="5AA4447D"/>
    <w:rsid w:val="5AA47FD9"/>
    <w:rsid w:val="5AC02939"/>
    <w:rsid w:val="5ACD132B"/>
    <w:rsid w:val="5AF0321E"/>
    <w:rsid w:val="5AFA409D"/>
    <w:rsid w:val="5AFC4BD0"/>
    <w:rsid w:val="5AFCB98E"/>
    <w:rsid w:val="5AFDD7AE"/>
    <w:rsid w:val="5B37709F"/>
    <w:rsid w:val="5B422502"/>
    <w:rsid w:val="5B6F6839"/>
    <w:rsid w:val="5B82302A"/>
    <w:rsid w:val="5BE2525D"/>
    <w:rsid w:val="5BE7F3B1"/>
    <w:rsid w:val="5BF06DB1"/>
    <w:rsid w:val="5BF705DC"/>
    <w:rsid w:val="5BF925A6"/>
    <w:rsid w:val="5BFFF3AD"/>
    <w:rsid w:val="5C241F42"/>
    <w:rsid w:val="5C2632F7"/>
    <w:rsid w:val="5C376DA8"/>
    <w:rsid w:val="5C5E240A"/>
    <w:rsid w:val="5C71038F"/>
    <w:rsid w:val="5C76608E"/>
    <w:rsid w:val="5C7B120D"/>
    <w:rsid w:val="5C9452EA"/>
    <w:rsid w:val="5CAC5345"/>
    <w:rsid w:val="5CAD5C12"/>
    <w:rsid w:val="5CC7071D"/>
    <w:rsid w:val="5CCE3A33"/>
    <w:rsid w:val="5CDD3C76"/>
    <w:rsid w:val="5CEB3BAF"/>
    <w:rsid w:val="5D184CAE"/>
    <w:rsid w:val="5D375134"/>
    <w:rsid w:val="5D3C274B"/>
    <w:rsid w:val="5D3F66DF"/>
    <w:rsid w:val="5D5826A1"/>
    <w:rsid w:val="5D5E6B65"/>
    <w:rsid w:val="5D7874FB"/>
    <w:rsid w:val="5D8A23E4"/>
    <w:rsid w:val="5D9026C6"/>
    <w:rsid w:val="5DA01D5B"/>
    <w:rsid w:val="5DA49321"/>
    <w:rsid w:val="5DA62066"/>
    <w:rsid w:val="5DAE407C"/>
    <w:rsid w:val="5DAF73C1"/>
    <w:rsid w:val="5DBF9862"/>
    <w:rsid w:val="5DC7204E"/>
    <w:rsid w:val="5DC82230"/>
    <w:rsid w:val="5DC96EC0"/>
    <w:rsid w:val="5DD12FD7"/>
    <w:rsid w:val="5DD706C5"/>
    <w:rsid w:val="5DD76917"/>
    <w:rsid w:val="5DDF6716"/>
    <w:rsid w:val="5DE3706A"/>
    <w:rsid w:val="5DEB2A8D"/>
    <w:rsid w:val="5DED1C97"/>
    <w:rsid w:val="5DEF0299"/>
    <w:rsid w:val="5DF68806"/>
    <w:rsid w:val="5DF73D9A"/>
    <w:rsid w:val="5DFB28F9"/>
    <w:rsid w:val="5DFF3CF1"/>
    <w:rsid w:val="5E570C28"/>
    <w:rsid w:val="5E63EBDE"/>
    <w:rsid w:val="5E6D7496"/>
    <w:rsid w:val="5E6E0948"/>
    <w:rsid w:val="5E744166"/>
    <w:rsid w:val="5E7609C7"/>
    <w:rsid w:val="5E9B2E43"/>
    <w:rsid w:val="5EB153BA"/>
    <w:rsid w:val="5EB45EF7"/>
    <w:rsid w:val="5EBB6D47"/>
    <w:rsid w:val="5EBD5B0D"/>
    <w:rsid w:val="5EDDA437"/>
    <w:rsid w:val="5EE7879F"/>
    <w:rsid w:val="5EEE1365"/>
    <w:rsid w:val="5F013C4C"/>
    <w:rsid w:val="5F0E0117"/>
    <w:rsid w:val="5F1A2F60"/>
    <w:rsid w:val="5F386D8E"/>
    <w:rsid w:val="5F4DE9A1"/>
    <w:rsid w:val="5F5875E4"/>
    <w:rsid w:val="5F5D51B1"/>
    <w:rsid w:val="5F6F670D"/>
    <w:rsid w:val="5F774DBE"/>
    <w:rsid w:val="5F7F1C27"/>
    <w:rsid w:val="5F922AF6"/>
    <w:rsid w:val="5FB52C88"/>
    <w:rsid w:val="5FB54A36"/>
    <w:rsid w:val="5FCB4D07"/>
    <w:rsid w:val="5FD72614"/>
    <w:rsid w:val="5FDD6F67"/>
    <w:rsid w:val="5FDF58A3"/>
    <w:rsid w:val="5FEA2932"/>
    <w:rsid w:val="5FEE720A"/>
    <w:rsid w:val="5FF4084D"/>
    <w:rsid w:val="5FF706B8"/>
    <w:rsid w:val="5FFD276C"/>
    <w:rsid w:val="5FFFE947"/>
    <w:rsid w:val="60293E78"/>
    <w:rsid w:val="602F47E9"/>
    <w:rsid w:val="604A33D1"/>
    <w:rsid w:val="60714E01"/>
    <w:rsid w:val="60E06408"/>
    <w:rsid w:val="60E3323C"/>
    <w:rsid w:val="60FF065F"/>
    <w:rsid w:val="610C4B2A"/>
    <w:rsid w:val="611A0FF5"/>
    <w:rsid w:val="612C6F7A"/>
    <w:rsid w:val="61774699"/>
    <w:rsid w:val="61BF765A"/>
    <w:rsid w:val="61C10E9A"/>
    <w:rsid w:val="61C55405"/>
    <w:rsid w:val="61C60FF4"/>
    <w:rsid w:val="61C6117D"/>
    <w:rsid w:val="61CD42B9"/>
    <w:rsid w:val="61EB473F"/>
    <w:rsid w:val="61FD19D6"/>
    <w:rsid w:val="62065A1D"/>
    <w:rsid w:val="6249032A"/>
    <w:rsid w:val="624F3EEF"/>
    <w:rsid w:val="6280757E"/>
    <w:rsid w:val="628232F6"/>
    <w:rsid w:val="628A56A4"/>
    <w:rsid w:val="628C5F22"/>
    <w:rsid w:val="629628FD"/>
    <w:rsid w:val="62991CF8"/>
    <w:rsid w:val="629B5275"/>
    <w:rsid w:val="62B114E5"/>
    <w:rsid w:val="62B45F2D"/>
    <w:rsid w:val="62C456BC"/>
    <w:rsid w:val="62E713AB"/>
    <w:rsid w:val="62FDCB29"/>
    <w:rsid w:val="6309608B"/>
    <w:rsid w:val="634405AB"/>
    <w:rsid w:val="63494E4B"/>
    <w:rsid w:val="635602DE"/>
    <w:rsid w:val="63721D1F"/>
    <w:rsid w:val="63C3265F"/>
    <w:rsid w:val="63CF5CD2"/>
    <w:rsid w:val="641D7903"/>
    <w:rsid w:val="64246083"/>
    <w:rsid w:val="643B7C00"/>
    <w:rsid w:val="643D7C2F"/>
    <w:rsid w:val="64D8544F"/>
    <w:rsid w:val="6502071E"/>
    <w:rsid w:val="650A312E"/>
    <w:rsid w:val="652B0AFB"/>
    <w:rsid w:val="652FD060"/>
    <w:rsid w:val="65401246"/>
    <w:rsid w:val="654E58B8"/>
    <w:rsid w:val="65501489"/>
    <w:rsid w:val="656248DF"/>
    <w:rsid w:val="65683BF5"/>
    <w:rsid w:val="657607C4"/>
    <w:rsid w:val="657F1D6E"/>
    <w:rsid w:val="659F01C8"/>
    <w:rsid w:val="65ACB40A"/>
    <w:rsid w:val="65BAEB3A"/>
    <w:rsid w:val="65C23A09"/>
    <w:rsid w:val="65C71020"/>
    <w:rsid w:val="65C94D98"/>
    <w:rsid w:val="65EC0A86"/>
    <w:rsid w:val="65F5F9CA"/>
    <w:rsid w:val="66061B48"/>
    <w:rsid w:val="660E6C4E"/>
    <w:rsid w:val="661209C2"/>
    <w:rsid w:val="66246472"/>
    <w:rsid w:val="66420D8A"/>
    <w:rsid w:val="665E7BD6"/>
    <w:rsid w:val="6679E6FE"/>
    <w:rsid w:val="667E5B82"/>
    <w:rsid w:val="668472FC"/>
    <w:rsid w:val="669180B6"/>
    <w:rsid w:val="66A5C323"/>
    <w:rsid w:val="66A650D9"/>
    <w:rsid w:val="66AB26EF"/>
    <w:rsid w:val="66AF0431"/>
    <w:rsid w:val="66C3B20B"/>
    <w:rsid w:val="66C51A03"/>
    <w:rsid w:val="66CA0DC7"/>
    <w:rsid w:val="66DF9EAC"/>
    <w:rsid w:val="66F5B9B0"/>
    <w:rsid w:val="66F81DD8"/>
    <w:rsid w:val="670F2C7E"/>
    <w:rsid w:val="67624852"/>
    <w:rsid w:val="677D4354"/>
    <w:rsid w:val="67864FD8"/>
    <w:rsid w:val="67B7D125"/>
    <w:rsid w:val="67D3A3D9"/>
    <w:rsid w:val="67DF2DCE"/>
    <w:rsid w:val="67DF3FFE"/>
    <w:rsid w:val="67DF8701"/>
    <w:rsid w:val="67EE31DB"/>
    <w:rsid w:val="67F500C6"/>
    <w:rsid w:val="67F72090"/>
    <w:rsid w:val="67F9ABD9"/>
    <w:rsid w:val="67FFA62B"/>
    <w:rsid w:val="68070FA9"/>
    <w:rsid w:val="68144385"/>
    <w:rsid w:val="681C5653"/>
    <w:rsid w:val="683C5CF5"/>
    <w:rsid w:val="684626D0"/>
    <w:rsid w:val="68534DEC"/>
    <w:rsid w:val="6863E9D8"/>
    <w:rsid w:val="6873723D"/>
    <w:rsid w:val="6888718C"/>
    <w:rsid w:val="689728DD"/>
    <w:rsid w:val="68B2C391"/>
    <w:rsid w:val="68B92688"/>
    <w:rsid w:val="68E320F2"/>
    <w:rsid w:val="68E94ED4"/>
    <w:rsid w:val="68FD61AC"/>
    <w:rsid w:val="691D5B26"/>
    <w:rsid w:val="69237B70"/>
    <w:rsid w:val="692C7B17"/>
    <w:rsid w:val="694C1F68"/>
    <w:rsid w:val="69583DAB"/>
    <w:rsid w:val="6972464E"/>
    <w:rsid w:val="699658D9"/>
    <w:rsid w:val="69BD2E65"/>
    <w:rsid w:val="69CA01F0"/>
    <w:rsid w:val="69D02B99"/>
    <w:rsid w:val="69DD7064"/>
    <w:rsid w:val="6A002D52"/>
    <w:rsid w:val="6A0B1E23"/>
    <w:rsid w:val="6A2243F7"/>
    <w:rsid w:val="6A2E5B11"/>
    <w:rsid w:val="6A3273AF"/>
    <w:rsid w:val="6A5E32E9"/>
    <w:rsid w:val="6A6B28C1"/>
    <w:rsid w:val="6A7221C4"/>
    <w:rsid w:val="6A7B13C8"/>
    <w:rsid w:val="6A7F011B"/>
    <w:rsid w:val="6AAE27AE"/>
    <w:rsid w:val="6AC10733"/>
    <w:rsid w:val="6AD541DF"/>
    <w:rsid w:val="6AE93524"/>
    <w:rsid w:val="6AED37F2"/>
    <w:rsid w:val="6B032AFA"/>
    <w:rsid w:val="6B0D605B"/>
    <w:rsid w:val="6B234F4A"/>
    <w:rsid w:val="6B396798"/>
    <w:rsid w:val="6B3A694A"/>
    <w:rsid w:val="6B3E1D84"/>
    <w:rsid w:val="6B427AC6"/>
    <w:rsid w:val="6B59096C"/>
    <w:rsid w:val="6B7E0BE0"/>
    <w:rsid w:val="6BB169FA"/>
    <w:rsid w:val="6BC93D43"/>
    <w:rsid w:val="6BDB3A77"/>
    <w:rsid w:val="6BF43216"/>
    <w:rsid w:val="6BFFE300"/>
    <w:rsid w:val="6C07661A"/>
    <w:rsid w:val="6C14665D"/>
    <w:rsid w:val="6C1C6A46"/>
    <w:rsid w:val="6C4B6506"/>
    <w:rsid w:val="6C726189"/>
    <w:rsid w:val="6C7B10B3"/>
    <w:rsid w:val="6C9C4FB4"/>
    <w:rsid w:val="6CB1042E"/>
    <w:rsid w:val="6CD52274"/>
    <w:rsid w:val="6CE7393E"/>
    <w:rsid w:val="6CF52916"/>
    <w:rsid w:val="6D0A7253"/>
    <w:rsid w:val="6D0F4AC6"/>
    <w:rsid w:val="6D107750"/>
    <w:rsid w:val="6D21195D"/>
    <w:rsid w:val="6D29257F"/>
    <w:rsid w:val="6D3E42BD"/>
    <w:rsid w:val="6D480C98"/>
    <w:rsid w:val="6D77332B"/>
    <w:rsid w:val="6D8B714E"/>
    <w:rsid w:val="6D8C327A"/>
    <w:rsid w:val="6D8FE0E6"/>
    <w:rsid w:val="6D9F44F5"/>
    <w:rsid w:val="6DC557B0"/>
    <w:rsid w:val="6DDD5884"/>
    <w:rsid w:val="6DEE0E55"/>
    <w:rsid w:val="6DFF0ABE"/>
    <w:rsid w:val="6E184B0E"/>
    <w:rsid w:val="6E1B45FE"/>
    <w:rsid w:val="6E384D2A"/>
    <w:rsid w:val="6E57E14E"/>
    <w:rsid w:val="6E645FA5"/>
    <w:rsid w:val="6E781EBB"/>
    <w:rsid w:val="6E873A42"/>
    <w:rsid w:val="6E9D980B"/>
    <w:rsid w:val="6EB257E7"/>
    <w:rsid w:val="6EB505AF"/>
    <w:rsid w:val="6ECD58F9"/>
    <w:rsid w:val="6ECF78C3"/>
    <w:rsid w:val="6EFF54B5"/>
    <w:rsid w:val="6F226C6F"/>
    <w:rsid w:val="6F2F0361"/>
    <w:rsid w:val="6F3F674E"/>
    <w:rsid w:val="6F48612D"/>
    <w:rsid w:val="6F4C6863"/>
    <w:rsid w:val="6F6F075E"/>
    <w:rsid w:val="6F75C8C1"/>
    <w:rsid w:val="6F7B051F"/>
    <w:rsid w:val="6F7D6A2A"/>
    <w:rsid w:val="6F995ACD"/>
    <w:rsid w:val="6F9EE6F3"/>
    <w:rsid w:val="6FAD638A"/>
    <w:rsid w:val="6FBB0EB8"/>
    <w:rsid w:val="6FBB4A72"/>
    <w:rsid w:val="6FBB51BB"/>
    <w:rsid w:val="6FBF55AB"/>
    <w:rsid w:val="6FD20CED"/>
    <w:rsid w:val="6FD70523"/>
    <w:rsid w:val="6FE50A20"/>
    <w:rsid w:val="6FEF81F2"/>
    <w:rsid w:val="6FEFBCB9"/>
    <w:rsid w:val="6FF5CF28"/>
    <w:rsid w:val="6FF82367"/>
    <w:rsid w:val="6FF9096F"/>
    <w:rsid w:val="700F0193"/>
    <w:rsid w:val="7027728A"/>
    <w:rsid w:val="70550C5B"/>
    <w:rsid w:val="707B75D6"/>
    <w:rsid w:val="70822713"/>
    <w:rsid w:val="708741CD"/>
    <w:rsid w:val="70AB20B2"/>
    <w:rsid w:val="70D34D1C"/>
    <w:rsid w:val="70D54F38"/>
    <w:rsid w:val="70DF36C1"/>
    <w:rsid w:val="70FD1A16"/>
    <w:rsid w:val="710D6480"/>
    <w:rsid w:val="71155335"/>
    <w:rsid w:val="713345E8"/>
    <w:rsid w:val="713A4237"/>
    <w:rsid w:val="71460DC4"/>
    <w:rsid w:val="714C1022"/>
    <w:rsid w:val="71655D25"/>
    <w:rsid w:val="717F1B1A"/>
    <w:rsid w:val="71B20DD6"/>
    <w:rsid w:val="71D21478"/>
    <w:rsid w:val="71E77241"/>
    <w:rsid w:val="71EC24C3"/>
    <w:rsid w:val="71EC253A"/>
    <w:rsid w:val="71F02ED3"/>
    <w:rsid w:val="72086C48"/>
    <w:rsid w:val="721B28D1"/>
    <w:rsid w:val="721D0945"/>
    <w:rsid w:val="721F3B42"/>
    <w:rsid w:val="722912F6"/>
    <w:rsid w:val="72335600"/>
    <w:rsid w:val="7238577F"/>
    <w:rsid w:val="72516841"/>
    <w:rsid w:val="72564634"/>
    <w:rsid w:val="72565C05"/>
    <w:rsid w:val="725974A3"/>
    <w:rsid w:val="72695938"/>
    <w:rsid w:val="727B38BE"/>
    <w:rsid w:val="72850D4A"/>
    <w:rsid w:val="729A188F"/>
    <w:rsid w:val="72A746B3"/>
    <w:rsid w:val="72BF37AA"/>
    <w:rsid w:val="72CE1C3F"/>
    <w:rsid w:val="72DD1E82"/>
    <w:rsid w:val="72E1149C"/>
    <w:rsid w:val="72F21DD2"/>
    <w:rsid w:val="72F54E12"/>
    <w:rsid w:val="73090EC9"/>
    <w:rsid w:val="73392318"/>
    <w:rsid w:val="73414465"/>
    <w:rsid w:val="73687727"/>
    <w:rsid w:val="7372332E"/>
    <w:rsid w:val="73751E5F"/>
    <w:rsid w:val="7375655F"/>
    <w:rsid w:val="739015EB"/>
    <w:rsid w:val="73944C37"/>
    <w:rsid w:val="739791E5"/>
    <w:rsid w:val="73A0182E"/>
    <w:rsid w:val="73A62145"/>
    <w:rsid w:val="73B7206A"/>
    <w:rsid w:val="73B78936"/>
    <w:rsid w:val="73D701BD"/>
    <w:rsid w:val="73D842AE"/>
    <w:rsid w:val="73DD4FD5"/>
    <w:rsid w:val="73F676A0"/>
    <w:rsid w:val="73F751C6"/>
    <w:rsid w:val="73F90F3E"/>
    <w:rsid w:val="73FB5CCA"/>
    <w:rsid w:val="73FF1DC8"/>
    <w:rsid w:val="741C69DA"/>
    <w:rsid w:val="74273CFD"/>
    <w:rsid w:val="745F3497"/>
    <w:rsid w:val="745F6537"/>
    <w:rsid w:val="74626AE3"/>
    <w:rsid w:val="7463392D"/>
    <w:rsid w:val="746F1200"/>
    <w:rsid w:val="747607E0"/>
    <w:rsid w:val="749B61F9"/>
    <w:rsid w:val="749D7B1B"/>
    <w:rsid w:val="74BFDCC5"/>
    <w:rsid w:val="74EC1E8D"/>
    <w:rsid w:val="74F55BA9"/>
    <w:rsid w:val="750E120F"/>
    <w:rsid w:val="752336E6"/>
    <w:rsid w:val="754D7793"/>
    <w:rsid w:val="75524DAA"/>
    <w:rsid w:val="757F852C"/>
    <w:rsid w:val="758D7ACA"/>
    <w:rsid w:val="75986535"/>
    <w:rsid w:val="75BF3AC1"/>
    <w:rsid w:val="75BFAC10"/>
    <w:rsid w:val="75E31EA6"/>
    <w:rsid w:val="75FF632A"/>
    <w:rsid w:val="760664E1"/>
    <w:rsid w:val="762D32F0"/>
    <w:rsid w:val="763813C1"/>
    <w:rsid w:val="763D6664"/>
    <w:rsid w:val="764A79EF"/>
    <w:rsid w:val="765B5EE0"/>
    <w:rsid w:val="76781F92"/>
    <w:rsid w:val="768F7938"/>
    <w:rsid w:val="76962A74"/>
    <w:rsid w:val="7696BBAD"/>
    <w:rsid w:val="76B250E5"/>
    <w:rsid w:val="76D7666E"/>
    <w:rsid w:val="76FEB460"/>
    <w:rsid w:val="77004391"/>
    <w:rsid w:val="7706242A"/>
    <w:rsid w:val="77091498"/>
    <w:rsid w:val="773188B2"/>
    <w:rsid w:val="773D343C"/>
    <w:rsid w:val="774A52C3"/>
    <w:rsid w:val="77640268"/>
    <w:rsid w:val="776F9BF1"/>
    <w:rsid w:val="77715031"/>
    <w:rsid w:val="77732DB5"/>
    <w:rsid w:val="7778661E"/>
    <w:rsid w:val="778C3E77"/>
    <w:rsid w:val="77AFCA92"/>
    <w:rsid w:val="77B224C7"/>
    <w:rsid w:val="77B53DC9"/>
    <w:rsid w:val="77BB80D5"/>
    <w:rsid w:val="77C655DB"/>
    <w:rsid w:val="77C90C27"/>
    <w:rsid w:val="77CA71C4"/>
    <w:rsid w:val="77CF7CA0"/>
    <w:rsid w:val="77DF4B5D"/>
    <w:rsid w:val="77F1D658"/>
    <w:rsid w:val="77F6E614"/>
    <w:rsid w:val="77FDA5BE"/>
    <w:rsid w:val="7805352A"/>
    <w:rsid w:val="780B1240"/>
    <w:rsid w:val="781CAEF0"/>
    <w:rsid w:val="782F4F2E"/>
    <w:rsid w:val="78412EB3"/>
    <w:rsid w:val="789C633C"/>
    <w:rsid w:val="78FF1C3F"/>
    <w:rsid w:val="791C3778"/>
    <w:rsid w:val="79332CB1"/>
    <w:rsid w:val="793A6280"/>
    <w:rsid w:val="795E0545"/>
    <w:rsid w:val="79779F6C"/>
    <w:rsid w:val="79857C5D"/>
    <w:rsid w:val="79894B12"/>
    <w:rsid w:val="79A25E1B"/>
    <w:rsid w:val="79B0627E"/>
    <w:rsid w:val="79BA4CCB"/>
    <w:rsid w:val="79BF22E2"/>
    <w:rsid w:val="79CD4DDB"/>
    <w:rsid w:val="79CE1317"/>
    <w:rsid w:val="79D83506"/>
    <w:rsid w:val="79FC4230"/>
    <w:rsid w:val="79FF33F9"/>
    <w:rsid w:val="79FF55AF"/>
    <w:rsid w:val="79FF88FC"/>
    <w:rsid w:val="7A28257D"/>
    <w:rsid w:val="7A2C196C"/>
    <w:rsid w:val="7A3D264D"/>
    <w:rsid w:val="7A4A24F3"/>
    <w:rsid w:val="7A6A04A0"/>
    <w:rsid w:val="7A7F15E0"/>
    <w:rsid w:val="7A8663B7"/>
    <w:rsid w:val="7A8E2673"/>
    <w:rsid w:val="7A903103"/>
    <w:rsid w:val="7ACE1224"/>
    <w:rsid w:val="7ADF62A2"/>
    <w:rsid w:val="7AEB6CE2"/>
    <w:rsid w:val="7AF4420D"/>
    <w:rsid w:val="7AFED6A3"/>
    <w:rsid w:val="7B146DCC"/>
    <w:rsid w:val="7B1D08AD"/>
    <w:rsid w:val="7B2223E4"/>
    <w:rsid w:val="7B4B6523"/>
    <w:rsid w:val="7B557EAC"/>
    <w:rsid w:val="7B6E4224"/>
    <w:rsid w:val="7B8A4C7B"/>
    <w:rsid w:val="7B9265CA"/>
    <w:rsid w:val="7BA45C33"/>
    <w:rsid w:val="7BA67BFD"/>
    <w:rsid w:val="7BAF4773"/>
    <w:rsid w:val="7BB045D8"/>
    <w:rsid w:val="7BC81B7B"/>
    <w:rsid w:val="7BDC53CD"/>
    <w:rsid w:val="7BE129E3"/>
    <w:rsid w:val="7BEF3538"/>
    <w:rsid w:val="7BF3D07B"/>
    <w:rsid w:val="7BF73DC9"/>
    <w:rsid w:val="7BF7B4CD"/>
    <w:rsid w:val="7BF7C604"/>
    <w:rsid w:val="7BF80367"/>
    <w:rsid w:val="7BFA3D40"/>
    <w:rsid w:val="7BFB226E"/>
    <w:rsid w:val="7C02295A"/>
    <w:rsid w:val="7C0305B0"/>
    <w:rsid w:val="7C15268D"/>
    <w:rsid w:val="7C2635E2"/>
    <w:rsid w:val="7C32323F"/>
    <w:rsid w:val="7C4E5B9F"/>
    <w:rsid w:val="7C5331B5"/>
    <w:rsid w:val="7C85389C"/>
    <w:rsid w:val="7C9944BA"/>
    <w:rsid w:val="7C9C4B5C"/>
    <w:rsid w:val="7CDF5BE8"/>
    <w:rsid w:val="7CEA3B1A"/>
    <w:rsid w:val="7CF404F4"/>
    <w:rsid w:val="7CFA8377"/>
    <w:rsid w:val="7D056BA5"/>
    <w:rsid w:val="7D197F5B"/>
    <w:rsid w:val="7D2E512B"/>
    <w:rsid w:val="7D311748"/>
    <w:rsid w:val="7D55612A"/>
    <w:rsid w:val="7D6513F2"/>
    <w:rsid w:val="7D6A6067"/>
    <w:rsid w:val="7D7A072A"/>
    <w:rsid w:val="7D7B6E68"/>
    <w:rsid w:val="7D9565DE"/>
    <w:rsid w:val="7D9C1DB4"/>
    <w:rsid w:val="7D9EF3E4"/>
    <w:rsid w:val="7D9F63E5"/>
    <w:rsid w:val="7DA63EE4"/>
    <w:rsid w:val="7DBB7264"/>
    <w:rsid w:val="7DBC84DF"/>
    <w:rsid w:val="7DBF0B02"/>
    <w:rsid w:val="7DBF6D94"/>
    <w:rsid w:val="7DCE51E9"/>
    <w:rsid w:val="7DDB8586"/>
    <w:rsid w:val="7DE2623A"/>
    <w:rsid w:val="7DF70CA9"/>
    <w:rsid w:val="7DFD9294"/>
    <w:rsid w:val="7E225854"/>
    <w:rsid w:val="7E231D0A"/>
    <w:rsid w:val="7E2B43EA"/>
    <w:rsid w:val="7E45E353"/>
    <w:rsid w:val="7E5B5AAA"/>
    <w:rsid w:val="7E5F6368"/>
    <w:rsid w:val="7E696CC0"/>
    <w:rsid w:val="7E722019"/>
    <w:rsid w:val="7E7BE3E3"/>
    <w:rsid w:val="7E7D2BBC"/>
    <w:rsid w:val="7E7F8932"/>
    <w:rsid w:val="7E991353"/>
    <w:rsid w:val="7EAA3560"/>
    <w:rsid w:val="7EAF6DC9"/>
    <w:rsid w:val="7EBA751C"/>
    <w:rsid w:val="7EBD0AE4"/>
    <w:rsid w:val="7ECA59B1"/>
    <w:rsid w:val="7EDE320A"/>
    <w:rsid w:val="7EDFDFF1"/>
    <w:rsid w:val="7EEF53C7"/>
    <w:rsid w:val="7EFF3C1B"/>
    <w:rsid w:val="7EFF6001"/>
    <w:rsid w:val="7F1B5C61"/>
    <w:rsid w:val="7F1F12B0"/>
    <w:rsid w:val="7F315A30"/>
    <w:rsid w:val="7F3F1981"/>
    <w:rsid w:val="7F5C24F9"/>
    <w:rsid w:val="7F5EB788"/>
    <w:rsid w:val="7F5F28F5"/>
    <w:rsid w:val="7F736048"/>
    <w:rsid w:val="7F7557E7"/>
    <w:rsid w:val="7F764A98"/>
    <w:rsid w:val="7F7768B5"/>
    <w:rsid w:val="7F796FAE"/>
    <w:rsid w:val="7F7AD8C8"/>
    <w:rsid w:val="7F7F8638"/>
    <w:rsid w:val="7F9C622B"/>
    <w:rsid w:val="7F9F58D1"/>
    <w:rsid w:val="7F9F6A6A"/>
    <w:rsid w:val="7F9FDB67"/>
    <w:rsid w:val="7FA39D75"/>
    <w:rsid w:val="7FAB483B"/>
    <w:rsid w:val="7FAE0E2E"/>
    <w:rsid w:val="7FAF3E31"/>
    <w:rsid w:val="7FB7B666"/>
    <w:rsid w:val="7FB9F983"/>
    <w:rsid w:val="7FBED232"/>
    <w:rsid w:val="7FC1472E"/>
    <w:rsid w:val="7FC624BB"/>
    <w:rsid w:val="7FC62727"/>
    <w:rsid w:val="7FCFF4DB"/>
    <w:rsid w:val="7FD66142"/>
    <w:rsid w:val="7FDF262D"/>
    <w:rsid w:val="7FDF723A"/>
    <w:rsid w:val="7FE9486A"/>
    <w:rsid w:val="7FED6D52"/>
    <w:rsid w:val="7FEDFC87"/>
    <w:rsid w:val="7FF1B7D9"/>
    <w:rsid w:val="7FF73C95"/>
    <w:rsid w:val="7FF73CE5"/>
    <w:rsid w:val="7FF931EF"/>
    <w:rsid w:val="7FFC892B"/>
    <w:rsid w:val="7FFD08CA"/>
    <w:rsid w:val="7FFD932D"/>
    <w:rsid w:val="7FFDF0ED"/>
    <w:rsid w:val="7FFEA75F"/>
    <w:rsid w:val="7FFF3182"/>
    <w:rsid w:val="7FFF65EA"/>
    <w:rsid w:val="7FFF9627"/>
    <w:rsid w:val="81EC9D5A"/>
    <w:rsid w:val="8D6F9C4D"/>
    <w:rsid w:val="8D73AA3D"/>
    <w:rsid w:val="8F6DC053"/>
    <w:rsid w:val="93ED0F1E"/>
    <w:rsid w:val="96DFF3C3"/>
    <w:rsid w:val="96EF80A4"/>
    <w:rsid w:val="97FB7C93"/>
    <w:rsid w:val="9BE720B2"/>
    <w:rsid w:val="9D799683"/>
    <w:rsid w:val="9E7F9F51"/>
    <w:rsid w:val="9ED51085"/>
    <w:rsid w:val="9EFBEC12"/>
    <w:rsid w:val="9F373739"/>
    <w:rsid w:val="9FE69064"/>
    <w:rsid w:val="9FFEE2CF"/>
    <w:rsid w:val="A6EFB7F2"/>
    <w:rsid w:val="A8FF8981"/>
    <w:rsid w:val="AAFB55C3"/>
    <w:rsid w:val="AEFF1695"/>
    <w:rsid w:val="AEFFC00D"/>
    <w:rsid w:val="AF7F6531"/>
    <w:rsid w:val="AFBF3D51"/>
    <w:rsid w:val="AFFBF920"/>
    <w:rsid w:val="B297AF96"/>
    <w:rsid w:val="B2B70769"/>
    <w:rsid w:val="B332A66E"/>
    <w:rsid w:val="B57FE616"/>
    <w:rsid w:val="B5CFB4B8"/>
    <w:rsid w:val="B63D5FF0"/>
    <w:rsid w:val="B735425F"/>
    <w:rsid w:val="B77F4CB7"/>
    <w:rsid w:val="B7AE6917"/>
    <w:rsid w:val="B7BEACB9"/>
    <w:rsid w:val="B7D8B499"/>
    <w:rsid w:val="B7EE3FAD"/>
    <w:rsid w:val="B7F1FA8A"/>
    <w:rsid w:val="B81884A2"/>
    <w:rsid w:val="B8458E2F"/>
    <w:rsid w:val="BA6B7A3E"/>
    <w:rsid w:val="BADE3B62"/>
    <w:rsid w:val="BB67EBD4"/>
    <w:rsid w:val="BB9B5625"/>
    <w:rsid w:val="BBFE6614"/>
    <w:rsid w:val="BBFF9544"/>
    <w:rsid w:val="BD6FD042"/>
    <w:rsid w:val="BD7DA699"/>
    <w:rsid w:val="BD83584F"/>
    <w:rsid w:val="BDF6517C"/>
    <w:rsid w:val="BDFDCB0C"/>
    <w:rsid w:val="BE2F4868"/>
    <w:rsid w:val="BE37F477"/>
    <w:rsid w:val="BE68B127"/>
    <w:rsid w:val="BEC6CD07"/>
    <w:rsid w:val="BEFF3E3B"/>
    <w:rsid w:val="BF4F60D2"/>
    <w:rsid w:val="BF5FD656"/>
    <w:rsid w:val="BF7E80F2"/>
    <w:rsid w:val="BFB606F8"/>
    <w:rsid w:val="BFB7F897"/>
    <w:rsid w:val="BFBF0F13"/>
    <w:rsid w:val="BFBFE36F"/>
    <w:rsid w:val="BFDDDA86"/>
    <w:rsid w:val="BFDF3217"/>
    <w:rsid w:val="BFE74D99"/>
    <w:rsid w:val="BFF319F3"/>
    <w:rsid w:val="BFF95302"/>
    <w:rsid w:val="BFFF1E18"/>
    <w:rsid w:val="BFFF9811"/>
    <w:rsid w:val="C5AE6803"/>
    <w:rsid w:val="C5DC8DB2"/>
    <w:rsid w:val="CC2324FA"/>
    <w:rsid w:val="CCFF51F5"/>
    <w:rsid w:val="CF0CB387"/>
    <w:rsid w:val="CF560D69"/>
    <w:rsid w:val="CF7365E9"/>
    <w:rsid w:val="CFB62B30"/>
    <w:rsid w:val="CFED230B"/>
    <w:rsid w:val="D279A593"/>
    <w:rsid w:val="D34B2CCF"/>
    <w:rsid w:val="D37248F1"/>
    <w:rsid w:val="D6EC623A"/>
    <w:rsid w:val="D76F3890"/>
    <w:rsid w:val="D77B0D4F"/>
    <w:rsid w:val="D79EC7C6"/>
    <w:rsid w:val="D8FF34ED"/>
    <w:rsid w:val="DA7EDB46"/>
    <w:rsid w:val="DBEF5672"/>
    <w:rsid w:val="DBFA1FAA"/>
    <w:rsid w:val="DBFE1311"/>
    <w:rsid w:val="DCFD04EE"/>
    <w:rsid w:val="DD3D4E0A"/>
    <w:rsid w:val="DDB7069F"/>
    <w:rsid w:val="DDFEE670"/>
    <w:rsid w:val="DDFEFFD4"/>
    <w:rsid w:val="DECECA7D"/>
    <w:rsid w:val="DEDFB88B"/>
    <w:rsid w:val="DEEB3B72"/>
    <w:rsid w:val="DF2BBC27"/>
    <w:rsid w:val="DF7FC3AE"/>
    <w:rsid w:val="DFB37B12"/>
    <w:rsid w:val="DFEEB44F"/>
    <w:rsid w:val="DFEF6EA4"/>
    <w:rsid w:val="DFF752F6"/>
    <w:rsid w:val="DFFBAA06"/>
    <w:rsid w:val="DFFBFA35"/>
    <w:rsid w:val="DFFF6772"/>
    <w:rsid w:val="DFFF7645"/>
    <w:rsid w:val="DFFF8ECF"/>
    <w:rsid w:val="E15EBD3C"/>
    <w:rsid w:val="E2D73DBA"/>
    <w:rsid w:val="E2FF6105"/>
    <w:rsid w:val="E6B7F890"/>
    <w:rsid w:val="E7761199"/>
    <w:rsid w:val="E77A1E27"/>
    <w:rsid w:val="E7B27DED"/>
    <w:rsid w:val="E7DF9B0D"/>
    <w:rsid w:val="E7ED49E1"/>
    <w:rsid w:val="E8EDE435"/>
    <w:rsid w:val="E97D9F31"/>
    <w:rsid w:val="E9EE0128"/>
    <w:rsid w:val="EAF95D87"/>
    <w:rsid w:val="EAFEC243"/>
    <w:rsid w:val="EB6D59C6"/>
    <w:rsid w:val="EBEBEF42"/>
    <w:rsid w:val="EBF6D29B"/>
    <w:rsid w:val="ECB38BAE"/>
    <w:rsid w:val="ECFF2B4F"/>
    <w:rsid w:val="ED3DEC2E"/>
    <w:rsid w:val="EDDE5D04"/>
    <w:rsid w:val="EDFEC3DD"/>
    <w:rsid w:val="EDFFFFE3"/>
    <w:rsid w:val="EE1D6718"/>
    <w:rsid w:val="EE3FF15A"/>
    <w:rsid w:val="EE4F7BF8"/>
    <w:rsid w:val="EEB99600"/>
    <w:rsid w:val="EEF7AFA6"/>
    <w:rsid w:val="EEFF5759"/>
    <w:rsid w:val="EF13D9CA"/>
    <w:rsid w:val="EF5D478A"/>
    <w:rsid w:val="EF5D5FF3"/>
    <w:rsid w:val="EF6CB0BA"/>
    <w:rsid w:val="EF7A937F"/>
    <w:rsid w:val="EF7F78C0"/>
    <w:rsid w:val="EF7FE09B"/>
    <w:rsid w:val="EF9D646F"/>
    <w:rsid w:val="EFDB001D"/>
    <w:rsid w:val="EFDE01B6"/>
    <w:rsid w:val="EFDFFEB8"/>
    <w:rsid w:val="EFEF341A"/>
    <w:rsid w:val="EFFDFDF1"/>
    <w:rsid w:val="F2EFA6D0"/>
    <w:rsid w:val="F33BC98D"/>
    <w:rsid w:val="F3A35E8A"/>
    <w:rsid w:val="F3BEECE1"/>
    <w:rsid w:val="F3D63787"/>
    <w:rsid w:val="F3D77224"/>
    <w:rsid w:val="F3DBC0BD"/>
    <w:rsid w:val="F3DF5B85"/>
    <w:rsid w:val="F3F7B44B"/>
    <w:rsid w:val="F3FDB4FE"/>
    <w:rsid w:val="F5BF730E"/>
    <w:rsid w:val="F5F74023"/>
    <w:rsid w:val="F5FBEE8E"/>
    <w:rsid w:val="F627EB7A"/>
    <w:rsid w:val="F6F55CD1"/>
    <w:rsid w:val="F6FF230B"/>
    <w:rsid w:val="F74D4A95"/>
    <w:rsid w:val="F75BB19C"/>
    <w:rsid w:val="F76B3FBA"/>
    <w:rsid w:val="F77B94C0"/>
    <w:rsid w:val="F79E8D51"/>
    <w:rsid w:val="F7BBCDC2"/>
    <w:rsid w:val="F7DB3666"/>
    <w:rsid w:val="F7DF73A6"/>
    <w:rsid w:val="F7F70F5A"/>
    <w:rsid w:val="F7F7EE1A"/>
    <w:rsid w:val="F7FA53E8"/>
    <w:rsid w:val="F7FF4327"/>
    <w:rsid w:val="F92F797C"/>
    <w:rsid w:val="F93B2FD2"/>
    <w:rsid w:val="F93FFFB0"/>
    <w:rsid w:val="F9670592"/>
    <w:rsid w:val="F99521C4"/>
    <w:rsid w:val="FA6D2BE9"/>
    <w:rsid w:val="FA7BF35A"/>
    <w:rsid w:val="FAD7AD42"/>
    <w:rsid w:val="FAD7DFA0"/>
    <w:rsid w:val="FAFC257F"/>
    <w:rsid w:val="FAFFC8A3"/>
    <w:rsid w:val="FAFFDD6B"/>
    <w:rsid w:val="FB7F9F2A"/>
    <w:rsid w:val="FB7FE032"/>
    <w:rsid w:val="FBA693AE"/>
    <w:rsid w:val="FBBB01C0"/>
    <w:rsid w:val="FBBE84C2"/>
    <w:rsid w:val="FBBE8F20"/>
    <w:rsid w:val="FBC739D4"/>
    <w:rsid w:val="FBCB8C7F"/>
    <w:rsid w:val="FBD76425"/>
    <w:rsid w:val="FBD7DE83"/>
    <w:rsid w:val="FBE41300"/>
    <w:rsid w:val="FBE7FFD8"/>
    <w:rsid w:val="FBFF4078"/>
    <w:rsid w:val="FBFF9EB9"/>
    <w:rsid w:val="FC7EF921"/>
    <w:rsid w:val="FCF65945"/>
    <w:rsid w:val="FCFC41C3"/>
    <w:rsid w:val="FD0F2EA1"/>
    <w:rsid w:val="FD772FB3"/>
    <w:rsid w:val="FDA25FDC"/>
    <w:rsid w:val="FDBD97E6"/>
    <w:rsid w:val="FDD7AC12"/>
    <w:rsid w:val="FDDBB4CF"/>
    <w:rsid w:val="FDEEB513"/>
    <w:rsid w:val="FDEF2CE5"/>
    <w:rsid w:val="FDF5FAAF"/>
    <w:rsid w:val="FDFB6E87"/>
    <w:rsid w:val="FDFB7FAB"/>
    <w:rsid w:val="FDFBCAB4"/>
    <w:rsid w:val="FE5E42F8"/>
    <w:rsid w:val="FEBF0C14"/>
    <w:rsid w:val="FED95488"/>
    <w:rsid w:val="FEDC99D1"/>
    <w:rsid w:val="FEE484B9"/>
    <w:rsid w:val="FEEFFAFD"/>
    <w:rsid w:val="FEF311F9"/>
    <w:rsid w:val="FEF745CA"/>
    <w:rsid w:val="FF3BBB25"/>
    <w:rsid w:val="FF46242B"/>
    <w:rsid w:val="FF5F8AB2"/>
    <w:rsid w:val="FF5F9D2F"/>
    <w:rsid w:val="FF6F27B7"/>
    <w:rsid w:val="FF6FF415"/>
    <w:rsid w:val="FF740BF4"/>
    <w:rsid w:val="FF7701D3"/>
    <w:rsid w:val="FF7B3D37"/>
    <w:rsid w:val="FF7BDEA4"/>
    <w:rsid w:val="FF7E7351"/>
    <w:rsid w:val="FF7E7BF3"/>
    <w:rsid w:val="FF7EC7F4"/>
    <w:rsid w:val="FF7F2F6C"/>
    <w:rsid w:val="FF7F94F6"/>
    <w:rsid w:val="FF7F9C97"/>
    <w:rsid w:val="FF9FE654"/>
    <w:rsid w:val="FF9FF503"/>
    <w:rsid w:val="FFAD7EDF"/>
    <w:rsid w:val="FFB97970"/>
    <w:rsid w:val="FFBFBFDB"/>
    <w:rsid w:val="FFCD2AAD"/>
    <w:rsid w:val="FFDEA9C5"/>
    <w:rsid w:val="FFDF121C"/>
    <w:rsid w:val="FFDF6D93"/>
    <w:rsid w:val="FFDF7A8C"/>
    <w:rsid w:val="FFDFD569"/>
    <w:rsid w:val="FFE61620"/>
    <w:rsid w:val="FFEC3964"/>
    <w:rsid w:val="FFEE0D81"/>
    <w:rsid w:val="FFF045F4"/>
    <w:rsid w:val="FFF2CDED"/>
    <w:rsid w:val="FFF302E4"/>
    <w:rsid w:val="FFF93BFE"/>
    <w:rsid w:val="FFFA2D2D"/>
    <w:rsid w:val="FFFAFE56"/>
    <w:rsid w:val="FFFEB00C"/>
    <w:rsid w:val="FFFEB39F"/>
    <w:rsid w:val="FFFF9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spacing w:line="596" w:lineRule="exact"/>
      <w:outlineLvl w:val="1"/>
    </w:pPr>
    <w:rPr>
      <w:rFonts w:eastAsia="黑体"/>
      <w:szCs w:val="28"/>
    </w:rPr>
  </w:style>
  <w:style w:type="paragraph" w:styleId="4">
    <w:name w:val="heading 3"/>
    <w:basedOn w:val="3"/>
    <w:next w:val="1"/>
    <w:qFormat/>
    <w:uiPriority w:val="99"/>
    <w:pPr>
      <w:keepNext/>
      <w:keepLines/>
      <w:spacing w:line="560" w:lineRule="atLeast"/>
      <w:ind w:firstLine="200" w:firstLineChars="200"/>
      <w:outlineLvl w:val="2"/>
    </w:pPr>
    <w:rPr>
      <w:rFonts w:ascii="Calibri" w:hAnsi="Calibri" w:eastAsia="宋体" w:cs="Times New Roman"/>
      <w:kern w:val="0"/>
      <w:sz w:val="32"/>
      <w:szCs w:val="32"/>
    </w:rPr>
  </w:style>
  <w:style w:type="paragraph" w:styleId="5">
    <w:name w:val="heading 4"/>
    <w:basedOn w:val="1"/>
    <w:next w:val="1"/>
    <w:qFormat/>
    <w:uiPriority w:val="9"/>
    <w:pPr>
      <w:keepNext/>
      <w:keepLines/>
      <w:spacing w:before="280" w:after="290" w:line="376" w:lineRule="auto"/>
      <w:outlineLvl w:val="3"/>
    </w:pPr>
    <w:rPr>
      <w:rFonts w:ascii="等线 Light" w:hAnsi="等线 Light" w:eastAsia="等线 Light"/>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index 5"/>
    <w:basedOn w:val="1"/>
    <w:next w:val="1"/>
    <w:qFormat/>
    <w:uiPriority w:val="99"/>
    <w:pPr>
      <w:ind w:left="1680"/>
    </w:pPr>
  </w:style>
  <w:style w:type="paragraph" w:styleId="8">
    <w:name w:val="Body Text"/>
    <w:basedOn w:val="1"/>
    <w:qFormat/>
    <w:uiPriority w:val="0"/>
    <w:rPr>
      <w:rFonts w:ascii="Noto Sans Mono CJK JP Regular" w:hAnsi="Noto Sans Mono CJK JP Regular" w:eastAsia="宋体" w:cs="Noto Sans Mono CJK JP Regular"/>
      <w:sz w:val="30"/>
      <w:szCs w:val="30"/>
    </w:rPr>
  </w:style>
  <w:style w:type="paragraph" w:styleId="9">
    <w:name w:val="Body Text Indent"/>
    <w:basedOn w:val="1"/>
    <w:next w:val="10"/>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11">
    <w:name w:val="toc 3"/>
    <w:basedOn w:val="1"/>
    <w:next w:val="1"/>
    <w:qFormat/>
    <w:uiPriority w:val="0"/>
    <w:pPr>
      <w:ind w:left="840" w:leftChars="4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10"/>
    <w:pPr>
      <w:pBdr>
        <w:bottom w:val="single" w:color="auto" w:sz="4" w:space="1"/>
      </w:pBdr>
      <w:spacing w:line="240" w:lineRule="auto"/>
      <w:contextualSpacing/>
    </w:pPr>
    <w:rPr>
      <w:rFonts w:ascii="Cambria" w:hAnsi="Cambria" w:eastAsia="宋体" w:cs="Times New Roman"/>
      <w:spacing w:val="5"/>
      <w:sz w:val="52"/>
      <w:szCs w:val="52"/>
    </w:rPr>
  </w:style>
  <w:style w:type="paragraph" w:styleId="17">
    <w:name w:val="Body Text First Indent"/>
    <w:basedOn w:val="8"/>
    <w:qFormat/>
    <w:uiPriority w:val="0"/>
    <w:pPr>
      <w:spacing w:after="120"/>
      <w:ind w:firstLine="420" w:firstLineChars="100"/>
    </w:pPr>
    <w:rPr>
      <w:rFonts w:ascii="Calibri" w:hAnsi="Calibri" w:eastAsia="宋体" w:cs="Times New Roman"/>
      <w:sz w:val="32"/>
      <w:szCs w:val="24"/>
    </w:rPr>
  </w:style>
  <w:style w:type="paragraph" w:styleId="18">
    <w:name w:val="Body Text First Indent 2"/>
    <w:basedOn w:val="9"/>
    <w:qFormat/>
    <w:uiPriority w:val="99"/>
    <w:pPr>
      <w:ind w:firstLine="42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样式1"/>
    <w:basedOn w:val="1"/>
    <w:qFormat/>
    <w:uiPriority w:val="0"/>
    <w:pPr>
      <w:spacing w:line="360" w:lineRule="auto"/>
      <w:ind w:firstLine="560" w:firstLineChars="200"/>
    </w:pPr>
    <w:rPr>
      <w:rFonts w:ascii="宋体" w:hAnsi="宋体"/>
      <w:color w:val="000000"/>
      <w:kern w:val="0"/>
      <w:szCs w:val="28"/>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character" w:customStyle="1" w:styleId="26">
    <w:name w:val="font61"/>
    <w:basedOn w:val="21"/>
    <w:qFormat/>
    <w:uiPriority w:val="0"/>
    <w:rPr>
      <w:rFonts w:hint="default" w:ascii="Times New Roman" w:hAnsi="Times New Roman" w:cs="Times New Roman"/>
      <w:color w:val="000000"/>
      <w:sz w:val="20"/>
      <w:szCs w:val="20"/>
      <w:u w:val="none"/>
    </w:rPr>
  </w:style>
  <w:style w:type="character" w:customStyle="1" w:styleId="27">
    <w:name w:val="font71"/>
    <w:basedOn w:val="21"/>
    <w:qFormat/>
    <w:uiPriority w:val="0"/>
    <w:rPr>
      <w:rFonts w:hint="eastAsia" w:ascii="宋体" w:hAnsi="宋体" w:eastAsia="宋体" w:cs="宋体"/>
      <w:color w:val="000000"/>
      <w:sz w:val="20"/>
      <w:szCs w:val="20"/>
      <w:u w:val="none"/>
    </w:rPr>
  </w:style>
  <w:style w:type="character" w:customStyle="1" w:styleId="28">
    <w:name w:val="font51"/>
    <w:basedOn w:val="21"/>
    <w:qFormat/>
    <w:uiPriority w:val="0"/>
    <w:rPr>
      <w:rFonts w:hint="eastAsia" w:ascii="宋体" w:hAnsi="宋体" w:eastAsia="宋体" w:cs="宋体"/>
      <w:color w:val="FF0000"/>
      <w:sz w:val="20"/>
      <w:szCs w:val="20"/>
      <w:u w:val="none"/>
    </w:rPr>
  </w:style>
  <w:style w:type="character" w:customStyle="1" w:styleId="29">
    <w:name w:val="font31"/>
    <w:basedOn w:val="21"/>
    <w:qFormat/>
    <w:uiPriority w:val="0"/>
    <w:rPr>
      <w:rFonts w:hint="default" w:ascii="Times New Roman" w:hAnsi="Times New Roman" w:cs="Times New Roman"/>
      <w:color w:val="FF0000"/>
      <w:sz w:val="20"/>
      <w:szCs w:val="20"/>
      <w:u w:val="none"/>
    </w:rPr>
  </w:style>
  <w:style w:type="character" w:customStyle="1" w:styleId="30">
    <w:name w:val="font11"/>
    <w:basedOn w:val="21"/>
    <w:qFormat/>
    <w:uiPriority w:val="0"/>
    <w:rPr>
      <w:rFonts w:hint="default" w:ascii="Times New Roman" w:hAnsi="Times New Roman" w:cs="Times New Roman"/>
      <w:color w:val="000000"/>
      <w:sz w:val="20"/>
      <w:szCs w:val="20"/>
      <w:u w:val="none"/>
    </w:rPr>
  </w:style>
  <w:style w:type="character" w:customStyle="1" w:styleId="31">
    <w:name w:val="font41"/>
    <w:basedOn w:val="21"/>
    <w:qFormat/>
    <w:uiPriority w:val="0"/>
    <w:rPr>
      <w:rFonts w:hint="default" w:ascii="Times New Roman" w:hAnsi="Times New Roman" w:cs="Times New Roman"/>
      <w:b/>
      <w:bCs/>
      <w:color w:val="000000"/>
      <w:sz w:val="28"/>
      <w:szCs w:val="28"/>
      <w:u w:val="none"/>
    </w:rPr>
  </w:style>
  <w:style w:type="character" w:customStyle="1" w:styleId="32">
    <w:name w:val="font91"/>
    <w:basedOn w:val="21"/>
    <w:qFormat/>
    <w:uiPriority w:val="0"/>
    <w:rPr>
      <w:rFonts w:ascii="仿宋" w:hAnsi="仿宋" w:eastAsia="仿宋" w:cs="仿宋"/>
      <w:b/>
      <w:bCs/>
      <w:color w:val="000000"/>
      <w:sz w:val="28"/>
      <w:szCs w:val="28"/>
      <w:u w:val="none"/>
    </w:rPr>
  </w:style>
  <w:style w:type="character" w:customStyle="1" w:styleId="33">
    <w:name w:val="font101"/>
    <w:basedOn w:val="21"/>
    <w:qFormat/>
    <w:uiPriority w:val="0"/>
    <w:rPr>
      <w:rFonts w:hint="eastAsia" w:ascii="宋体" w:hAnsi="宋体" w:eastAsia="宋体" w:cs="宋体"/>
      <w:b/>
      <w:bCs/>
      <w:color w:val="000000"/>
      <w:sz w:val="28"/>
      <w:szCs w:val="28"/>
      <w:u w:val="none"/>
    </w:rPr>
  </w:style>
  <w:style w:type="character" w:customStyle="1" w:styleId="34">
    <w:name w:val="font01"/>
    <w:basedOn w:val="21"/>
    <w:qFormat/>
    <w:uiPriority w:val="0"/>
    <w:rPr>
      <w:rFonts w:hint="default" w:ascii="Times New Roman" w:hAnsi="Times New Roman" w:cs="Times New Roman"/>
      <w:b/>
      <w:bCs/>
      <w:color w:val="000000"/>
      <w:sz w:val="20"/>
      <w:szCs w:val="20"/>
      <w:u w:val="none"/>
    </w:rPr>
  </w:style>
  <w:style w:type="character" w:customStyle="1" w:styleId="35">
    <w:name w:val="font21"/>
    <w:basedOn w:val="21"/>
    <w:qFormat/>
    <w:uiPriority w:val="0"/>
    <w:rPr>
      <w:rFonts w:hint="default" w:ascii="Times New Roman" w:hAnsi="Times New Roman" w:cs="Times New Roman"/>
      <w:color w:val="000000"/>
      <w:sz w:val="20"/>
      <w:szCs w:val="20"/>
      <w:u w:val="none"/>
    </w:rPr>
  </w:style>
  <w:style w:type="paragraph" w:customStyle="1" w:styleId="36">
    <w:name w:val="BodyText"/>
    <w:basedOn w:val="1"/>
    <w:next w:val="37"/>
    <w:qFormat/>
    <w:uiPriority w:val="0"/>
    <w:pPr>
      <w:spacing w:after="120"/>
      <w:jc w:val="both"/>
      <w:textAlignment w:val="baseline"/>
    </w:pPr>
    <w:rPr>
      <w:rFonts w:ascii="Times New Roman" w:hAnsi="Times New Roman" w:eastAsia="宋体"/>
      <w:kern w:val="2"/>
      <w:sz w:val="21"/>
    </w:rPr>
  </w:style>
  <w:style w:type="paragraph" w:customStyle="1" w:styleId="37">
    <w:name w:val="BodyText1I"/>
    <w:basedOn w:val="36"/>
    <w:qFormat/>
    <w:uiPriority w:val="0"/>
    <w:pPr>
      <w:ind w:firstLine="420" w:firstLineChars="100"/>
    </w:pPr>
  </w:style>
  <w:style w:type="character" w:customStyle="1" w:styleId="38">
    <w:name w:val="font112"/>
    <w:basedOn w:val="21"/>
    <w:qFormat/>
    <w:uiPriority w:val="0"/>
    <w:rPr>
      <w:rFonts w:hint="eastAsia" w:ascii="宋体" w:hAnsi="宋体" w:eastAsia="宋体" w:cs="宋体"/>
      <w:color w:val="000000"/>
      <w:sz w:val="20"/>
      <w:szCs w:val="20"/>
      <w:u w:val="none"/>
    </w:rPr>
  </w:style>
  <w:style w:type="character" w:customStyle="1" w:styleId="39">
    <w:name w:val="font111"/>
    <w:basedOn w:val="21"/>
    <w:qFormat/>
    <w:uiPriority w:val="0"/>
    <w:rPr>
      <w:rFonts w:hint="eastAsia" w:ascii="宋体" w:hAnsi="宋体" w:eastAsia="宋体" w:cs="宋体"/>
      <w:color w:val="000000"/>
      <w:sz w:val="20"/>
      <w:szCs w:val="20"/>
      <w:u w:val="none"/>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character" w:customStyle="1" w:styleId="41">
    <w:name w:val="font81"/>
    <w:basedOn w:val="21"/>
    <w:qFormat/>
    <w:uiPriority w:val="0"/>
    <w:rPr>
      <w:rFonts w:hint="eastAsia" w:ascii="宋体" w:hAnsi="宋体" w:eastAsia="宋体" w:cs="宋体"/>
      <w:color w:val="000000"/>
      <w:sz w:val="15"/>
      <w:szCs w:val="15"/>
      <w:u w:val="none"/>
    </w:rPr>
  </w:style>
  <w:style w:type="paragraph" w:customStyle="1" w:styleId="42">
    <w:name w:val="农开正文"/>
    <w:basedOn w:val="1"/>
    <w:qFormat/>
    <w:uiPriority w:val="0"/>
    <w:pPr>
      <w:adjustRightInd w:val="0"/>
      <w:snapToGrid w:val="0"/>
      <w:spacing w:line="360" w:lineRule="auto"/>
      <w:ind w:firstLine="600" w:firstLineChars="200"/>
    </w:pPr>
    <w:rPr>
      <w:rFonts w:eastAsia="仿宋_GB2312"/>
      <w:snapToGrid w:val="0"/>
      <w:kern w:val="0"/>
      <w:sz w:val="30"/>
      <w:szCs w:val="28"/>
    </w:rPr>
  </w:style>
  <w:style w:type="character" w:customStyle="1" w:styleId="43">
    <w:name w:val="font121"/>
    <w:basedOn w:val="21"/>
    <w:qFormat/>
    <w:uiPriority w:val="0"/>
    <w:rPr>
      <w:rFonts w:hint="default" w:ascii="Times New Roman" w:hAnsi="Times New Roman" w:cs="Times New Roman"/>
      <w:b/>
      <w:bCs/>
      <w:color w:val="000000"/>
      <w:sz w:val="20"/>
      <w:szCs w:val="20"/>
      <w:u w:val="none"/>
    </w:rPr>
  </w:style>
  <w:style w:type="character" w:customStyle="1" w:styleId="44">
    <w:name w:val="font131"/>
    <w:basedOn w:val="21"/>
    <w:qFormat/>
    <w:uiPriority w:val="0"/>
    <w:rPr>
      <w:rFonts w:hint="eastAsia" w:ascii="MS Gothic" w:hAnsi="MS Gothic" w:eastAsia="MS Gothic" w:cs="MS Gothic"/>
      <w:color w:val="000000"/>
      <w:sz w:val="20"/>
      <w:szCs w:val="20"/>
      <w:u w:val="none"/>
    </w:rPr>
  </w:style>
  <w:style w:type="character" w:customStyle="1" w:styleId="45">
    <w:name w:val="font151"/>
    <w:basedOn w:val="21"/>
    <w:qFormat/>
    <w:uiPriority w:val="0"/>
    <w:rPr>
      <w:rFonts w:hint="eastAsia" w:ascii="宋体" w:hAnsi="宋体" w:eastAsia="宋体" w:cs="宋体"/>
      <w:b/>
      <w:bCs/>
      <w:color w:val="000000"/>
      <w:sz w:val="20"/>
      <w:szCs w:val="20"/>
      <w:u w:val="none"/>
    </w:rPr>
  </w:style>
  <w:style w:type="character" w:customStyle="1" w:styleId="46">
    <w:name w:val="font181"/>
    <w:basedOn w:val="21"/>
    <w:qFormat/>
    <w:uiPriority w:val="0"/>
    <w:rPr>
      <w:rFonts w:hint="eastAsia" w:ascii="宋体" w:hAnsi="宋体" w:eastAsia="宋体" w:cs="宋体"/>
      <w:b/>
      <w:bCs/>
      <w:color w:val="000000"/>
      <w:sz w:val="20"/>
      <w:szCs w:val="20"/>
      <w:u w:val="none"/>
    </w:rPr>
  </w:style>
  <w:style w:type="character" w:customStyle="1" w:styleId="47">
    <w:name w:val="font191"/>
    <w:basedOn w:val="21"/>
    <w:qFormat/>
    <w:uiPriority w:val="0"/>
    <w:rPr>
      <w:rFonts w:ascii="Segoe UI" w:hAnsi="Segoe UI" w:eastAsia="Segoe UI" w:cs="Segoe UI"/>
      <w:color w:val="000000"/>
      <w:sz w:val="20"/>
      <w:szCs w:val="20"/>
      <w:u w:val="none"/>
    </w:rPr>
  </w:style>
  <w:style w:type="character" w:customStyle="1" w:styleId="48">
    <w:name w:val="font141"/>
    <w:basedOn w:val="21"/>
    <w:qFormat/>
    <w:uiPriority w:val="0"/>
    <w:rPr>
      <w:rFonts w:hint="eastAsia" w:ascii="宋体" w:hAnsi="宋体" w:eastAsia="宋体" w:cs="宋体"/>
      <w:color w:val="000000"/>
      <w:sz w:val="20"/>
      <w:szCs w:val="20"/>
      <w:u w:val="none"/>
    </w:rPr>
  </w:style>
  <w:style w:type="character" w:customStyle="1" w:styleId="49">
    <w:name w:val="font161"/>
    <w:basedOn w:val="21"/>
    <w:qFormat/>
    <w:uiPriority w:val="0"/>
    <w:rPr>
      <w:rFonts w:hint="eastAsia" w:ascii="宋体" w:hAnsi="宋体" w:eastAsia="宋体" w:cs="宋体"/>
      <w:color w:val="7030A0"/>
      <w:sz w:val="20"/>
      <w:szCs w:val="20"/>
      <w:u w:val="none"/>
    </w:rPr>
  </w:style>
  <w:style w:type="character" w:customStyle="1" w:styleId="50">
    <w:name w:val="font171"/>
    <w:basedOn w:val="21"/>
    <w:qFormat/>
    <w:uiPriority w:val="0"/>
    <w:rPr>
      <w:rFonts w:hint="default" w:ascii="方正书宋_GBK" w:hAnsi="方正书宋_GBK" w:eastAsia="方正书宋_GBK" w:cs="方正书宋_GBK"/>
      <w:color w:val="00B0F0"/>
      <w:sz w:val="20"/>
      <w:szCs w:val="20"/>
      <w:u w:val="none"/>
    </w:rPr>
  </w:style>
  <w:style w:type="character" w:customStyle="1" w:styleId="51">
    <w:name w:val="font18"/>
    <w:basedOn w:val="21"/>
    <w:qFormat/>
    <w:uiPriority w:val="0"/>
    <w:rPr>
      <w:rFonts w:hint="eastAsia" w:ascii="宋体" w:hAnsi="宋体" w:eastAsia="宋体" w:cs="宋体"/>
      <w:b/>
      <w:bCs/>
      <w:color w:val="000000"/>
      <w:sz w:val="22"/>
      <w:szCs w:val="22"/>
      <w:u w:val="none"/>
    </w:rPr>
  </w:style>
  <w:style w:type="character" w:customStyle="1" w:styleId="52">
    <w:name w:val="font182"/>
    <w:basedOn w:val="21"/>
    <w:qFormat/>
    <w:uiPriority w:val="0"/>
    <w:rPr>
      <w:rFonts w:hint="default" w:ascii="Times New Roman Regular" w:hAnsi="Times New Roman Regular" w:eastAsia="Times New Roman Regular" w:cs="Times New Roman Regular"/>
      <w:color w:val="000000"/>
      <w:sz w:val="22"/>
      <w:szCs w:val="22"/>
      <w:u w:val="none"/>
    </w:rPr>
  </w:style>
  <w:style w:type="character" w:customStyle="1" w:styleId="53">
    <w:name w:val="font281"/>
    <w:basedOn w:val="21"/>
    <w:qFormat/>
    <w:uiPriority w:val="0"/>
    <w:rPr>
      <w:rFonts w:hint="eastAsia" w:ascii="宋体" w:hAnsi="宋体" w:eastAsia="宋体" w:cs="宋体"/>
      <w:color w:val="000000"/>
      <w:sz w:val="20"/>
      <w:szCs w:val="20"/>
      <w:u w:val="none"/>
    </w:rPr>
  </w:style>
  <w:style w:type="character" w:customStyle="1" w:styleId="54">
    <w:name w:val="font13"/>
    <w:basedOn w:val="21"/>
    <w:qFormat/>
    <w:uiPriority w:val="0"/>
    <w:rPr>
      <w:rFonts w:hint="eastAsia" w:ascii="宋体" w:hAnsi="宋体" w:eastAsia="宋体" w:cs="宋体"/>
      <w:b/>
      <w:bCs/>
      <w:color w:val="000000"/>
      <w:sz w:val="22"/>
      <w:szCs w:val="22"/>
      <w:u w:val="none"/>
    </w:rPr>
  </w:style>
  <w:style w:type="character" w:customStyle="1" w:styleId="55">
    <w:name w:val="font211"/>
    <w:basedOn w:val="21"/>
    <w:qFormat/>
    <w:uiPriority w:val="0"/>
    <w:rPr>
      <w:rFonts w:hint="eastAsia" w:ascii="宋体" w:hAnsi="宋体" w:eastAsia="宋体" w:cs="宋体"/>
      <w:b/>
      <w:bCs/>
      <w:color w:val="000000"/>
      <w:sz w:val="22"/>
      <w:szCs w:val="22"/>
      <w:u w:val="none"/>
    </w:rPr>
  </w:style>
  <w:style w:type="character" w:customStyle="1" w:styleId="56">
    <w:name w:val="font261"/>
    <w:basedOn w:val="21"/>
    <w:qFormat/>
    <w:uiPriority w:val="0"/>
    <w:rPr>
      <w:rFonts w:ascii="宋体-简" w:hAnsi="宋体-简" w:eastAsia="宋体-简" w:cs="宋体-简"/>
      <w:color w:val="000000"/>
      <w:sz w:val="20"/>
      <w:szCs w:val="20"/>
      <w:u w:val="none"/>
    </w:rPr>
  </w:style>
  <w:style w:type="character" w:customStyle="1" w:styleId="57">
    <w:name w:val="font271"/>
    <w:basedOn w:val="21"/>
    <w:qFormat/>
    <w:uiPriority w:val="0"/>
    <w:rPr>
      <w:rFonts w:hint="eastAsia" w:ascii="宋体-简" w:hAnsi="宋体-简" w:eastAsia="宋体-简" w:cs="宋体-简"/>
      <w:color w:val="000000"/>
      <w:sz w:val="22"/>
      <w:szCs w:val="22"/>
      <w:u w:val="none"/>
    </w:rPr>
  </w:style>
  <w:style w:type="character" w:customStyle="1" w:styleId="58">
    <w:name w:val="font23"/>
    <w:basedOn w:val="21"/>
    <w:qFormat/>
    <w:uiPriority w:val="0"/>
    <w:rPr>
      <w:rFonts w:hint="eastAsia" w:ascii="宋体" w:hAnsi="宋体" w:eastAsia="宋体" w:cs="宋体"/>
      <w:b/>
      <w:bCs/>
      <w:color w:val="000000"/>
      <w:sz w:val="20"/>
      <w:szCs w:val="20"/>
      <w:u w:val="none"/>
    </w:rPr>
  </w:style>
  <w:style w:type="character" w:customStyle="1" w:styleId="59">
    <w:name w:val="font29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8132</Words>
  <Characters>8891</Characters>
  <Lines>0</Lines>
  <Paragraphs>0</Paragraphs>
  <TotalTime>16</TotalTime>
  <ScaleCrop>false</ScaleCrop>
  <LinksUpToDate>false</LinksUpToDate>
  <CharactersWithSpaces>8945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2023-03-29T04:47:00Z</dcterms:created>
  <dc:creator>1407223321</dc:creator>
  <cp:lastModifiedBy>争渡 争渡</cp:lastModifiedBy>
  <cp:lastPrinted>2023-04-02T16:13:00Z</cp:lastPrinted>
  <dcterms:modified xsi:type="dcterms:W3CDTF">2025-09-16T08:59:05Z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3E65F221C2374489A16885505964F4AF_13</vt:lpwstr>
  </property>
  <property fmtid="{D5CDD505-2E9C-101B-9397-08002B2CF9AE}" pid="4" name="KSOTemplateDocerSaveRecord">
    <vt:lpwstr>eyJoZGlkIjoiYzU2NTc4MGYyYTBjYmJiMTkyZTAyZDg1MDZiMjgxY2MiLCJ1c2VySWQiOiI3Mjk3NTk5ODAifQ==</vt:lpwstr>
  </property>
</Properties>
</file>