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EFAFA">
      <w:pPr>
        <w:pStyle w:val="2"/>
        <w:keepNext w:val="0"/>
        <w:keepLines w:val="0"/>
        <w:widowControl w:val="0"/>
        <w:overflowPunct w:val="0"/>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方正小标宋_GBK" w:cs="Times New Roman"/>
          <w:b w:val="0"/>
          <w:bCs w:val="0"/>
          <w:sz w:val="36"/>
          <w:szCs w:val="36"/>
          <w:lang w:val="en-US" w:eastAsia="zh-CN"/>
        </w:rPr>
        <w:t>人力资源与社会保障</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14:paraId="5BB196E3">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津市市</w:t>
      </w:r>
      <w:r>
        <w:rPr>
          <w:rFonts w:hint="default" w:ascii="Times New Roman" w:hAnsi="Times New Roman" w:eastAsia="楷体" w:cs="Times New Roman"/>
          <w:b/>
          <w:bCs/>
          <w:kern w:val="2"/>
          <w:sz w:val="28"/>
          <w:szCs w:val="28"/>
          <w:lang w:val="en-US" w:eastAsia="zh-CN" w:bidi="ar-SA"/>
        </w:rPr>
        <w:t>人力资源与社会保障</w:t>
      </w:r>
      <w:r>
        <w:rPr>
          <w:rFonts w:hint="eastAsia" w:ascii="Times New Roman" w:hAnsi="Times New Roman" w:eastAsia="楷体" w:cs="Times New Roman"/>
          <w:b/>
          <w:bCs/>
          <w:kern w:val="2"/>
          <w:sz w:val="28"/>
          <w:szCs w:val="28"/>
          <w:lang w:val="en-US" w:eastAsia="zh-CN" w:bidi="ar-SA"/>
        </w:rPr>
        <w:t>局</w:t>
      </w:r>
    </w:p>
    <w:tbl>
      <w:tblPr>
        <w:tblStyle w:val="4"/>
        <w:tblW w:w="49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809"/>
        <w:gridCol w:w="660"/>
        <w:gridCol w:w="1485"/>
        <w:gridCol w:w="1935"/>
        <w:gridCol w:w="675"/>
        <w:gridCol w:w="1980"/>
        <w:gridCol w:w="675"/>
        <w:gridCol w:w="1741"/>
      </w:tblGrid>
      <w:tr w14:paraId="74BF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 w:hRule="atLeast"/>
          <w:tblHeader/>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1E627730">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序号</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BE6227C">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事项类别</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438B1C4F">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事项名称</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038E921">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公开内容</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7025947">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公开依据</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CB80A9C">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公开渠道</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558B4C3">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公开时限</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BBF23D1">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公开责任</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2DB0E55">
            <w:pPr>
              <w:keepNext w:val="0"/>
              <w:keepLines w:val="0"/>
              <w:widowControl/>
              <w:suppressLineNumbers w:val="0"/>
              <w:jc w:val="center"/>
              <w:textAlignment w:val="center"/>
              <w:rPr>
                <w:rFonts w:hint="default" w:ascii="Times New Roman" w:hAnsi="Times New Roman" w:eastAsia="黑体" w:cs="Times New Roman"/>
                <w:i w:val="0"/>
                <w:iCs w:val="0"/>
                <w:color w:val="000000" w:themeColor="text1"/>
                <w:sz w:val="21"/>
                <w:szCs w:val="21"/>
                <w:u w:val="none"/>
                <w14:textFill>
                  <w14:solidFill>
                    <w14:schemeClr w14:val="tx1"/>
                  </w14:solidFill>
                </w14:textFill>
              </w:rPr>
            </w:pPr>
            <w:r>
              <w:rPr>
                <w:rFonts w:hint="default" w:ascii="Times New Roman" w:hAnsi="Times New Roman" w:eastAsia="黑体" w:cs="Times New Roman"/>
                <w:i w:val="0"/>
                <w:iCs w:val="0"/>
                <w:color w:val="000000" w:themeColor="text1"/>
                <w:kern w:val="0"/>
                <w:sz w:val="21"/>
                <w:szCs w:val="21"/>
                <w:u w:val="none"/>
                <w:lang w:val="en-US" w:eastAsia="zh-CN" w:bidi="ar"/>
                <w14:textFill>
                  <w14:solidFill>
                    <w14:schemeClr w14:val="tx1"/>
                  </w14:solidFill>
                </w14:textFill>
              </w:rPr>
              <w:t>链接地址</w:t>
            </w:r>
          </w:p>
        </w:tc>
      </w:tr>
      <w:tr w14:paraId="0EC0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7F96DB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272949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政策文件</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644C9E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行政规范性文件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2F980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行政规范性文件</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05A274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12DA4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F83A2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6A536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CC360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https://www.jinshishi.gov.cn/zwgk/site/tpl/1101601621?organId=6616338&amp;catId=1018680631&amp;tabs=1</w:t>
            </w:r>
          </w:p>
        </w:tc>
      </w:tr>
      <w:tr w14:paraId="3E7D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5C61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E522D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FFD64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其他政策文件</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5CE71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除行政规范性文件以外的其他可以公开的文件</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1CCA8E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E19D2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63452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84E6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0FF9BBE">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不涉及此项内容</w:t>
            </w:r>
          </w:p>
        </w:tc>
      </w:tr>
      <w:tr w14:paraId="25F4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7E83B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2</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794BB1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机构概况</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ACE09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领导信息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7E14C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单位负责人姓名、职务、主管或分管工作等</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ADDE4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9D198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2E3F48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7AA80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3DC7BA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https://www.jinshishi.gov.cn/szfsy/jgzn/zfbm/rsj/content_116610</w:t>
            </w:r>
          </w:p>
        </w:tc>
      </w:tr>
      <w:tr w14:paraId="1657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50E3B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5C46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4D45D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机构信息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ECB6E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依据三定方案确定的机关职能，以及机构设置、办公地址、办公时间、联系方式等</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54C66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4C1D9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50F13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33BCD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F7255B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https://www.jinshishi.gov.cn/szfsy/jgzn/zfbm/rsj/content_120372</w:t>
            </w:r>
          </w:p>
        </w:tc>
      </w:tr>
      <w:tr w14:paraId="37A7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5"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22D7E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3</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ECBBB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规划计划</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2EB715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人力资源和社会保障领域规划计划</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48315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涉及人力资源和社会保障业务职能的中长期计划、年度工作计划信息、计划执行情况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A1F6E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F28F9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35A9FF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1695E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562EA5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https://www.jinshishi.gov.cn/zwgk/public/column/6616338?type=4&amp;catId=1018680701&amp;action=list&amp;nav=3</w:t>
            </w:r>
          </w:p>
        </w:tc>
      </w:tr>
      <w:tr w14:paraId="7CDF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90"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63DD5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4</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1D5485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政务服务</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EAE89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人力资源和社会保障领域政务服务事项信息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FFEF0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人力资源和社会保障领域办理行政许可和其他对外管理服务事项目录，行使事项的依据、条件、程序以及办理结果</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A76ED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《中华人民共和国行政许可法》第三十条；《中华人民共和国政府信息公开条例》（国务院令第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号）第二十条；《国务院办公厅关于全面实行行政许可事项清单管理的通知》（国办发〔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2022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号）第（八）条；《国务院关于建立完善守信联合激励和失信联合惩戒制度加快推进社会诚信建设的指导意见》（国发〔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2016</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33</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号）第（十七）条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723F7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A628C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个工作日内；行政许可自决定之日起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F817C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津市市人社局社会保险服务中心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C7F73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http://zwfw-new.hunan.gov.cn/onething/service/index.jsp?type=xndtbm&amp;main=1&amp;orgId=e2834ec8a6c744cda3e4db346003b7c5&amp;areacode=430781999000</w:t>
            </w:r>
          </w:p>
        </w:tc>
      </w:tr>
      <w:tr w14:paraId="37A1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7"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4E42C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5</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D3163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行政处罚</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2D0B3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人力资源和社会保障领域行政处罚信息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3FDC8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人力资源和社会保障领域实施行政处罚的依据、条件、程序以及本行政机关认为具有一定社会影响的行政处罚决定</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041FD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《中华人民共和国行政处罚法》第五条</w:t>
            </w: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、第四十八条</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号）第二十条；《国务院关于建立完善守信联合激励和失信联合惩戒制度加快推进社会诚信建设的指导意见》（国发〔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2016</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33</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号）第（十七）条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F8022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D5C74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个工作日内；行政处罚自决定之日起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EF797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津市市人社局劳动人事争议仲裁院（劳动监察股）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45F927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https://credit.fgw.hunan.gov.cn/cdweb/xygs_info.html?configCode=xzgl2</w:t>
            </w:r>
            <w:bookmarkStart w:id="0" w:name="_GoBack"/>
            <w:bookmarkEnd w:id="0"/>
          </w:p>
        </w:tc>
      </w:tr>
      <w:tr w14:paraId="7D12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10"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48C42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6</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A3731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财政预算、决算</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7E815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预算、决算</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9FBF7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部门预算、决算及执行情况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69787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《中华人民共和国预算法》 第十四条；《中华人民共和国预算法实施条例》第六条；《中华人民共和国政府信息公开条例》（国务院令第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0DC15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AB695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批准（批复）后20日内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4D367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津市市人社局财务集中核算中心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CC4349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https://www.jinshishi.gov.cn/zwgk/public/column/6616338?type=4&amp;catId=1018681361&amp;action=list&amp;nav=3&amp;navmenu=2</w:t>
            </w:r>
          </w:p>
        </w:tc>
      </w:tr>
      <w:tr w14:paraId="0CF9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8293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91714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8F419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“三公”经费</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28767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“三公”经费财政拨款预算总额和分项数额，对增减变化的原因说明</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D2A3D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《中华人民共和国预算法》 第十四条；《中华人民共和国预算法实施条例》第六条；《中华人民共和国政府信息公开条例》（国务院令第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507F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854A5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批准（批复）后20日内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F6E48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津市市人社局财务集中核算中心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DAE6B3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14:textFill>
                  <w14:solidFill>
                    <w14:schemeClr w14:val="tx1"/>
                  </w14:solidFill>
                </w14:textFill>
              </w:rPr>
              <w:t>“三公”</w:t>
            </w:r>
            <w:r>
              <w:rPr>
                <w:rFonts w:hint="eastAsia" w:eastAsia="方正仿宋_GBK" w:cs="Times New Roman"/>
                <w:snapToGrid w:val="0"/>
                <w:color w:val="000000" w:themeColor="text1"/>
                <w:kern w:val="21"/>
                <w:sz w:val="20"/>
                <w:szCs w:val="20"/>
                <w:lang w:val="en-US" w:eastAsia="zh-CN"/>
                <w14:textFill>
                  <w14:solidFill>
                    <w14:schemeClr w14:val="tx1"/>
                  </w14:solidFill>
                </w14:textFill>
              </w:rPr>
              <w:t>经费在预决算表中一起公开，删减</w:t>
            </w:r>
          </w:p>
        </w:tc>
      </w:tr>
      <w:tr w14:paraId="448C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DCE0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B19CD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FCF66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 xml:space="preserve">绩效评价 </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3EAEE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 xml:space="preserve"> 按要求将项目支出绩效评价结果编入预算并公开      </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4C1671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《财政部关于印发&lt;项目支出绩效评价管理办法&gt;的通知》（财预〔2020〕10号）第二十八条；《湖南省财政厅关于印发&lt;湖南省预算支出绩效评价管理办法&gt;的通知》（湘财绩〔2020〕7号）第四十二条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47F0E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63591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E5903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津市市人社局财务集中核算中心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8E00A8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snapToGrid w:val="0"/>
                <w:color w:val="000000" w:themeColor="text1"/>
                <w:kern w:val="21"/>
                <w:sz w:val="20"/>
                <w:szCs w:val="20"/>
                <w:lang w:val="en-US" w:eastAsia="zh-CN"/>
                <w14:textFill>
                  <w14:solidFill>
                    <w14:schemeClr w14:val="tx1"/>
                  </w14:solidFill>
                </w14:textFill>
              </w:rPr>
              <w:t>绩效评价同预决算一起公开，删减</w:t>
            </w:r>
          </w:p>
        </w:tc>
      </w:tr>
      <w:tr w14:paraId="3F6B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4975F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7</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BA558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行政事业性收费信息</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680019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行政事业性收费清单</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0E7CB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行政事业性收费的收费主体、收费对象、收费范围、计费（量）单位和标准、收费频次等</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9E364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《中华人民共和国政府信息公开条例》（国务院令第711号）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87EB6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F8749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EDA92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津市市人社局社保服务中心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B4566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https://www.jinshishi.gov.cn/zwgk/public/column/6616338?type=4&amp;catId=1374819471&amp;action=list&amp;nav=3</w:t>
            </w:r>
          </w:p>
        </w:tc>
      </w:tr>
      <w:tr w14:paraId="64A7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9"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075D5C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8</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31574D7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政府采购</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11F75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政府集中采购项目的实施情况</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2D39C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包括采购项目公告、采购文件、采购项目预算金额、采购结果、采购合同等信息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D4476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《中华人民共和国政府采购法》第六十三条；《中华人民共和国预算法》第十四条；《中华人民共和国政府信息公开条例》（国务院令第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号）第二十条；《国务院办公厅关于推进公共资源配置领域政府信息公开的意见》（国办发〔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97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号）第二部分第（一）条第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点</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4C52A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44E1D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89F1D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津市市人社局财务集中核算中心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F525F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https://www.jinshishi.gov.cn/zwgk/public/column/6616338?type=4&amp;catId=1018681761&amp;action=list&amp;nav=3</w:t>
            </w:r>
          </w:p>
        </w:tc>
      </w:tr>
      <w:tr w14:paraId="2C90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8"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1BAAF9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9</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86BC5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重大建设项目</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559801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人力资源和社会保障领域重大建设项目的批准和实施情况</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8D3DC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人力资源和社会保障领域重大建设项目名称、审批、核准、备案和批准结果信息，实施过程、结果和社会效果等信息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53085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号）第二十条；《国务院办公厅关于推进重大建设项目批准和实施领域政府信息公开的意见》（国办发〔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94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C7488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A6706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36D8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2CFE8D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https://www.jinshishi.gov.cn/zwgk/public/column/6616338?type=4&amp;catId=1018681851&amp;action=list&amp;nav=3</w:t>
            </w:r>
          </w:p>
        </w:tc>
      </w:tr>
      <w:tr w14:paraId="1AB7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9"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5EC96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10</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4D9B25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应急管理</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2050B4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突发公共事件的应急预案、预警信息及应对情况</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70CC7D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人力资源和社会保障领域突发公共事件应急预案，发布的预警信息和事件应对情况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01E0C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号）第二十条；《国务院办公厅关于印发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&lt;</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突发事件应急预案管理办法</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&gt;</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的通知》（国办发〔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2024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5</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号）第二十八条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5F41C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FB2C7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8A162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564C1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https://www.jinshishi.gov.cn/zwgk/public/column/6616338?type=4&amp;catId=1018682511&amp;action=list&amp;nav=3</w:t>
            </w:r>
          </w:p>
        </w:tc>
      </w:tr>
      <w:tr w14:paraId="4A1D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0F2B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11</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7EB9DB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公务员招录</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46AD8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公务员招考</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FDDF8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公务员招考的职位、名额、报考条件等事项</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4235E0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号）第二十条；《公务员录用规定》第十七条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747F3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691C3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30C2A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津市市人社局党建办</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F890E3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https://www.jinshishi.gov.cn/zwgk/public/column/6616338?type=4&amp;catId=1018691461&amp;action=list&amp;nav=3</w:t>
            </w:r>
          </w:p>
        </w:tc>
      </w:tr>
      <w:tr w14:paraId="438D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66C0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0CF3F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5FD4F0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公务员录用</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F12F7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公务员招考的录用结果</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7BD20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号）第二十条；《公务员录用规定》第三十六条、第三十七条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0385D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A4781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D5D03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津市市人社局党建办</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1801D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公务员录用</w:t>
            </w:r>
            <w:r>
              <w:rPr>
                <w:rFonts w:hint="eastAsia" w:eastAsia="方正仿宋_GBK" w:cs="Times New Roman"/>
                <w:snapToGrid w:val="0"/>
                <w:color w:val="000000" w:themeColor="text1"/>
                <w:kern w:val="21"/>
                <w:sz w:val="20"/>
                <w:szCs w:val="20"/>
                <w:lang w:val="en-US" w:eastAsia="zh-CN"/>
                <w14:textFill>
                  <w14:solidFill>
                    <w14:schemeClr w14:val="tx1"/>
                  </w14:solidFill>
                </w14:textFill>
              </w:rPr>
              <w:t>结果一并在招考信息公开</w:t>
            </w:r>
          </w:p>
        </w:tc>
      </w:tr>
      <w:tr w14:paraId="7BFF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4"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41AF0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12</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DEC7C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建议提案</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0A060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人大代表建议和政协提案办理</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6681B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对涉及公共利益、公众权益、社会关切及需要社会广泛知晓的省人大代表建议、省政协提案及其答复意见经审查可以公开的</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5B532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2017</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41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号）第十三条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ADD4E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54976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自该政府信息形成或者变更之日起20个工作日内；省人大代表建议和省政协提案在答复代表和提案者后一个月内开</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2F8B0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96B663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https://www.jinshishi.gov.cn/zwgk/public/column/6616338?type=4&amp;catId=1018693261&amp;action=list&amp;nav=3&amp;navmenu=10</w:t>
            </w:r>
          </w:p>
        </w:tc>
      </w:tr>
      <w:tr w14:paraId="1D5F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1"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2531B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13</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6FB1F7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法治政府建设年度报告</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C959A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法治政府建设年度报告</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220AB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4FBC4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中共中央办公厅 国务院办公厅印发《法治政府建设与责任落实督察工作规定》第二十四条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728F1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263DA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每年</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月</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日之前</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48A80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津市市人社局办公室（法规股）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28D9CD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不涉及此项内容</w:t>
            </w:r>
          </w:p>
        </w:tc>
      </w:tr>
      <w:tr w14:paraId="2A5F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0"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58BE0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14</w:t>
            </w:r>
          </w:p>
        </w:tc>
        <w:tc>
          <w:tcPr>
            <w:tcW w:w="389" w:type="pct"/>
            <w:vMerge w:val="restart"/>
            <w:tcBorders>
              <w:top w:val="single" w:color="000000" w:sz="4" w:space="0"/>
              <w:left w:val="single" w:color="000000" w:sz="4" w:space="0"/>
              <w:bottom w:val="single" w:color="000000" w:sz="4" w:space="0"/>
              <w:right w:val="single" w:color="000000" w:sz="4" w:space="0"/>
            </w:tcBorders>
            <w:noWrap w:val="0"/>
            <w:vAlign w:val="center"/>
          </w:tcPr>
          <w:p w14:paraId="4BE053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业务事项</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7BC53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社会保险信息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7210C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社会保险法规、制度、政策、标准、经办流程，各项社会保险参保人数、社会保险基金的收支、结余和收益情况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56987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《中华人民共和国政府信息公开条例》（国务院令第711号）；《人力资源社会保障部关于深化政务公开的意见》（人社部发〔2013〕92号）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A7789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D1559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F47C0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津市市人社局基金监督股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D3DF5B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https://www.jinshishi.gov.cn/zwgk/public/column/6616338?type=4&amp;catId=1018693101&amp;action=list&amp;nav=3&amp;navmenu=5</w:t>
            </w:r>
          </w:p>
        </w:tc>
      </w:tr>
      <w:tr w14:paraId="50F4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1"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2D5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7522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3E7C0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B9D40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促进就业等方面的政策、措施及其实施情况；职业培训信息、人力资源市场供求状况分析信息、就业需求信息；就业专项资金使用管理中发生的典型案件信息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92292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《中华人民共和国政府信息公开条例》（国务院令第711号）；《人力资源社会保障部关于深化政务公开的意见》（人社部发〔2013〕92号）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89305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2641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45156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津市市人社局就业服务中心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6AB31F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https://www.jinshishi.gov.cn/zwgk/public/column/6616338?type=4&amp;catId=1172274961&amp;action=list&amp;nav=3&amp;navmenu=14</w:t>
            </w:r>
          </w:p>
        </w:tc>
      </w:tr>
      <w:tr w14:paraId="2E21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3"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4C54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88547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C3AB6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人事人才信息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3974D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公务员考录、公务员公开遴选、事业单位公开招聘等方面的信息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C0F53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《人力资源社会保障部关于深化政务公开的意见》（人社部发〔2013〕92号）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C50AC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32979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C9BA9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津市市人社局人力资源考试院</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C5D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kern w:val="2"/>
                <w:sz w:val="20"/>
                <w:szCs w:val="20"/>
                <w:u w:val="none"/>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公务员</w:t>
            </w:r>
            <w:r>
              <w:rPr>
                <w:rFonts w:hint="eastAsia" w:eastAsia="方正仿宋_GBK" w:cs="Times New Roman"/>
                <w:snapToGrid w:val="0"/>
                <w:color w:val="000000" w:themeColor="text1"/>
                <w:kern w:val="21"/>
                <w:sz w:val="20"/>
                <w:szCs w:val="20"/>
                <w:lang w:val="en-US" w:eastAsia="zh-CN"/>
                <w14:textFill>
                  <w14:solidFill>
                    <w14:schemeClr w14:val="tx1"/>
                  </w14:solidFill>
                </w14:textFill>
              </w:rPr>
              <w:t>、事业单位等招聘</w:t>
            </w:r>
            <w:r>
              <w:rPr>
                <w:rFonts w:hint="default" w:ascii="Times New Roman" w:hAnsi="Times New Roman" w:eastAsia="方正仿宋_GBK" w:cs="Times New Roman"/>
                <w:snapToGrid w:val="0"/>
                <w:color w:val="000000" w:themeColor="text1"/>
                <w:kern w:val="21"/>
                <w:sz w:val="20"/>
                <w:szCs w:val="20"/>
                <w:lang w:val="en-US" w:eastAsia="zh-CN"/>
                <w14:textFill>
                  <w14:solidFill>
                    <w14:schemeClr w14:val="tx1"/>
                  </w14:solidFill>
                </w14:textFill>
              </w:rPr>
              <w:t>录用</w:t>
            </w:r>
            <w:r>
              <w:rPr>
                <w:rFonts w:hint="eastAsia" w:eastAsia="方正仿宋_GBK" w:cs="Times New Roman"/>
                <w:snapToGrid w:val="0"/>
                <w:color w:val="000000" w:themeColor="text1"/>
                <w:kern w:val="21"/>
                <w:sz w:val="20"/>
                <w:szCs w:val="20"/>
                <w:lang w:val="en-US" w:eastAsia="zh-CN"/>
                <w14:textFill>
                  <w14:solidFill>
                    <w14:schemeClr w14:val="tx1"/>
                  </w14:solidFill>
                </w14:textFill>
              </w:rPr>
              <w:t>结果一并在招考信息公开，删减</w:t>
            </w:r>
          </w:p>
        </w:tc>
      </w:tr>
      <w:tr w14:paraId="448B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5BA6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E312E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46530B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拖欠农民工工资失信联合惩戒对象名单</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A2F74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拖欠农民工工资失信联合惩戒对象名单</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923C8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《拖欠农民工工资失信联合惩戒对象名单管理暂行办法》（人力资源和社会保障部令第45号）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1C2FB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46455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7DA7D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津市市人社局劳动人事争议仲裁院（劳动监察股）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C7C9CCD">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和</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一并在稳岗就业公开</w:t>
            </w:r>
          </w:p>
        </w:tc>
      </w:tr>
      <w:tr w14:paraId="39EA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1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0B6C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7D7E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26BAAE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就业创业融合服务</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6A004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就业创业政策清单、服务清单和经办机构清单</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1C9D2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《人力资源社会保障部关于开展就业政策落实服务落地专项行动的通知》（人社部函〔2019〕77号）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BFFA9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8993F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6F8CB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津市市人社局就业服务中心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F6CD14C">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和</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一并在稳岗就业公开</w:t>
            </w:r>
          </w:p>
        </w:tc>
      </w:tr>
      <w:tr w14:paraId="33E9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F77F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35A79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2C9DB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经营性人力资源服务机构信息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26E228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取得行政许可或者经过备案的经营性人力资源服务机构名单及其变更、延续等情况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8FD5B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《人力资源市场暂行条例》（国务院令 第700号）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2CA38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D2FD8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74507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津市市人社局就业服务中心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82E9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和</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一并在稳岗就业公开</w:t>
            </w:r>
          </w:p>
        </w:tc>
      </w:tr>
      <w:tr w14:paraId="6F8F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BCDE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3BE0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82421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特殊工种岗位职工提前退休信息</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11D1B2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企业申报特殊工种岗位职工提前退休信息</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A8FB6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《关于进一步加强企业特殊工种提前退休管理工作的通知》（人社部发〔2018〕73号）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341A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A9588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作出审批决定前脱敏公示不少于5个工作日</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2E80A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津市市人社局劳动人事争议仲裁院（劳动关系股）</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81701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和</w:t>
            </w: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促进就业信息</w:t>
            </w:r>
            <w:r>
              <w:rPr>
                <w:rFonts w:hint="eastAsia" w:eastAsia="方正仿宋_GBK" w:cs="Times New Roman"/>
                <w:i w:val="0"/>
                <w:iCs w:val="0"/>
                <w:color w:val="000000" w:themeColor="text1"/>
                <w:kern w:val="0"/>
                <w:sz w:val="20"/>
                <w:szCs w:val="20"/>
                <w:u w:val="none"/>
                <w:lang w:val="en-US" w:eastAsia="zh-CN" w:bidi="ar"/>
                <w14:textFill>
                  <w14:solidFill>
                    <w14:schemeClr w14:val="tx1"/>
                  </w14:solidFill>
                </w14:textFill>
              </w:rPr>
              <w:t>一并在稳岗就业公开</w:t>
            </w:r>
          </w:p>
        </w:tc>
      </w:tr>
      <w:tr w14:paraId="382B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BC6D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68F8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AC8FB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工伤认定</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A7371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工伤认定程序</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71750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《工伤认定办法》（人力资源和社会保障部令第8号）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BE849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A672B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自该政府信息形成或者变更之日起20个工作日内。公示期不少于5个工作日。</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34DC6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津市市人社局工伤保险服务中心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27163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http://zwfw-new.hunan.gov.cn/hnywtb/service/guide.html?id=32e77da504ba47b8970b312c9752ad5c&amp;rightsCode=002014007004&amp;ywCode=01&amp;approve_id=d673adf5619b4474b28e663b6d4e0ca8</w:t>
            </w:r>
          </w:p>
        </w:tc>
      </w:tr>
      <w:tr w14:paraId="74AA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45"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243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8184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6055FE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“高效办成一件事”</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35571E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涉及人力资源和社会保障系统牵头的“高效办成一件事”办理标准化工作规程和办事指南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E0883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《国务院办公厅关于加快推进“一件事一次办”打造政务服务升级版的指导意见》（国办发〔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2022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号）；《国务院关于进一步优化政务服务提升行政效能推动“高效办成一件事”的指导意见》（国发〔</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2024</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BE884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57CB7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60DBD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津市市人社局社会保险服务中心</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0FC663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https://zwfw-new.hunan.gov.cn/onething/v3/efficientOneThing/efficientOneThing.html</w:t>
            </w:r>
          </w:p>
        </w:tc>
      </w:tr>
      <w:tr w14:paraId="3DEC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00" w:hRule="atLeast"/>
          <w:jc w:val="center"/>
        </w:trPr>
        <w:tc>
          <w:tcPr>
            <w:tcW w:w="205" w:type="pct"/>
            <w:vMerge w:val="restart"/>
            <w:tcBorders>
              <w:top w:val="single" w:color="000000" w:sz="4" w:space="0"/>
              <w:left w:val="single" w:color="000000" w:sz="4" w:space="0"/>
              <w:bottom w:val="single" w:color="000000" w:sz="4" w:space="0"/>
              <w:right w:val="single" w:color="000000" w:sz="4" w:space="0"/>
            </w:tcBorders>
            <w:noWrap w:val="0"/>
            <w:vAlign w:val="center"/>
          </w:tcPr>
          <w:p w14:paraId="6A230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15</w:t>
            </w:r>
          </w:p>
        </w:tc>
        <w:tc>
          <w:tcPr>
            <w:tcW w:w="389" w:type="pct"/>
            <w:vMerge w:val="restart"/>
            <w:tcBorders>
              <w:top w:val="single" w:color="000000" w:sz="4" w:space="0"/>
              <w:left w:val="nil"/>
              <w:bottom w:val="single" w:color="000000" w:sz="4" w:space="0"/>
              <w:right w:val="single" w:color="000000" w:sz="4" w:space="0"/>
            </w:tcBorders>
            <w:noWrap w:val="0"/>
            <w:vAlign w:val="center"/>
          </w:tcPr>
          <w:p w14:paraId="3A678C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879C9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政府信息公开指南</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6E844F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政府信息主动公开、依申请公开有关情况，不予公开的内容，政府信息公开工作机构的名称、办公地址、办公时间、联系电话、传真号码、互联网联系方式等</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AA239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号）第十二条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6E08F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1BF45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A4AD2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themeColor="text1"/>
                <w:sz w:val="20"/>
                <w:szCs w:val="20"/>
                <w:u w:val="none"/>
                <w:lang w:eastAsia="zh-CN"/>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E8A907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https://www.jinshishi.gov.cn/zwgk/public/column/6616338?type=2&amp;nav=1</w:t>
            </w:r>
          </w:p>
        </w:tc>
      </w:tr>
      <w:tr w14:paraId="3E7C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63C46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nil"/>
              <w:bottom w:val="single" w:color="000000" w:sz="4" w:space="0"/>
              <w:right w:val="single" w:color="000000" w:sz="4" w:space="0"/>
            </w:tcBorders>
            <w:noWrap w:val="0"/>
            <w:vAlign w:val="center"/>
          </w:tcPr>
          <w:p w14:paraId="255B169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7D0BE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政府信息公开目录</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D9929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政府信息主动公开事项目录</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FBAA6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号）第十二条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E9DD9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953D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0E9B5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C2018C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snapToGrid w:val="0"/>
                <w:color w:val="000000" w:themeColor="text1"/>
                <w:kern w:val="21"/>
                <w:sz w:val="20"/>
                <w:szCs w:val="20"/>
                <w:lang w:val="en-US" w:eastAsia="zh-CN"/>
                <w14:textFill>
                  <w14:solidFill>
                    <w14:schemeClr w14:val="tx1"/>
                  </w14:solidFill>
                </w14:textFill>
              </w:rPr>
              <w:t>无部门网站，删减</w:t>
            </w:r>
          </w:p>
        </w:tc>
      </w:tr>
      <w:tr w14:paraId="4DE7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6B01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nil"/>
              <w:bottom w:val="single" w:color="000000" w:sz="4" w:space="0"/>
              <w:right w:val="single" w:color="000000" w:sz="4" w:space="0"/>
            </w:tcBorders>
            <w:noWrap w:val="0"/>
            <w:vAlign w:val="center"/>
          </w:tcPr>
          <w:p w14:paraId="572AE4A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1D8449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政府信息公开工作年度报告</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04E843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政府信息公开工作年度报告</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200708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《中华人民共和国政府信息公开条例》（国务院令第</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711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号）第四十九条</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8903A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C8236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每年</w:t>
            </w:r>
            <w:r>
              <w:rPr>
                <w:rStyle w:val="9"/>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月</w:t>
            </w:r>
            <w:r>
              <w:rPr>
                <w:rStyle w:val="9"/>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日前向社会公布</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D3D39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0CF153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https://www.jinshishi.gov.cn/zwgk/public/column/6616338?type=4&amp;action=list&amp;nav=4&amp;sub=&amp;catId=1018693471</w:t>
            </w:r>
          </w:p>
        </w:tc>
      </w:tr>
      <w:tr w14:paraId="5B0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F01F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89" w:type="pct"/>
            <w:vMerge w:val="continue"/>
            <w:tcBorders>
              <w:top w:val="single" w:color="000000" w:sz="4" w:space="0"/>
              <w:left w:val="nil"/>
              <w:bottom w:val="single" w:color="000000" w:sz="4" w:space="0"/>
              <w:right w:val="single" w:color="000000" w:sz="4" w:space="0"/>
            </w:tcBorders>
            <w:noWrap w:val="0"/>
            <w:vAlign w:val="center"/>
          </w:tcPr>
          <w:p w14:paraId="13819D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6CB41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政府信息公开工作制度</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4635F6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包括《中华人民共和国政府信息公开条例》，政府信息公开方面的地方性法规、自治条例、单行条例、规章，以及全国政府信息公开工作主管部门发布的法规解释性文件，原则上不包括其他制度文件</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3EDC1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《国务院办公厅政府信息与政务公开办公室关于规范政府信息公开平台有关事项的通知》（国办公开办函〔</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2019</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61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号）第二部分</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64357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F5E9A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自该政府信息形成或者变更之日起</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个工作日内</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0E1CDE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i w:val="0"/>
                <w:iCs w:val="0"/>
                <w:color w:val="000000" w:themeColor="text1"/>
                <w:sz w:val="20"/>
                <w:szCs w:val="20"/>
                <w:u w:val="none"/>
                <w:lang w:eastAsia="zh-CN"/>
                <w14:textFill>
                  <w14:solidFill>
                    <w14:schemeClr w14:val="tx1"/>
                  </w14:solidFill>
                </w14:textFill>
              </w:rPr>
              <w:t>津市市人社局办公室</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BFB66A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t>https://www.jinshishi.gov.cn/zwgk/public/column/6616338?type=1&amp;action=list&amp;nav=2</w:t>
            </w:r>
          </w:p>
        </w:tc>
      </w:tr>
      <w:tr w14:paraId="29AF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05" w:type="pct"/>
            <w:tcBorders>
              <w:top w:val="single" w:color="000000" w:sz="4" w:space="0"/>
              <w:left w:val="single" w:color="000000" w:sz="4" w:space="0"/>
              <w:bottom w:val="single" w:color="000000" w:sz="4" w:space="0"/>
              <w:right w:val="single" w:color="000000" w:sz="4" w:space="0"/>
            </w:tcBorders>
            <w:noWrap w:val="0"/>
            <w:vAlign w:val="center"/>
          </w:tcPr>
          <w:p w14:paraId="48D31B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u w:val="none"/>
                <w:lang w:val="en-US" w:eastAsia="zh-CN" w:bidi="ar"/>
                <w14:textFill>
                  <w14:solidFill>
                    <w14:schemeClr w14:val="tx1"/>
                  </w14:solidFill>
                </w14:textFill>
              </w:rPr>
              <w:t>16</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0211E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政府网站报表</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86B7F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政府网站工作年度报表</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14:paraId="5F5B4C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包括信息发布、专栏专题、解读回应、办事服务、互动交流、安全防护、移动新媒体、创新发展等情况</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B761B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《国务院办公厅关于做好政府网站年度报表发布工作的通知》（国办函〔</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2018</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12</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号）</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4557E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政府网站</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7D434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每年</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月</w:t>
            </w:r>
            <w:r>
              <w:rPr>
                <w:rStyle w:val="8"/>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31</w:t>
            </w:r>
            <w:r>
              <w:rPr>
                <w:rStyle w:val="7"/>
                <w:rFonts w:hint="default" w:ascii="Times New Roman" w:hAnsi="Times New Roman" w:eastAsia="方正仿宋_GBK" w:cs="Times New Roman"/>
                <w:color w:val="000000" w:themeColor="text1"/>
                <w:sz w:val="20"/>
                <w:szCs w:val="20"/>
                <w:lang w:val="en-US" w:eastAsia="zh-CN" w:bidi="ar"/>
                <w14:textFill>
                  <w14:solidFill>
                    <w14:schemeClr w14:val="tx1"/>
                  </w14:solidFill>
                </w14:textFill>
              </w:rPr>
              <w:t>日前发布</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EEB23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p>
        </w:tc>
        <w:tc>
          <w:tcPr>
            <w:tcW w:w="838" w:type="pct"/>
            <w:tcBorders>
              <w:top w:val="single" w:color="000000" w:sz="4" w:space="0"/>
              <w:left w:val="single" w:color="000000" w:sz="4" w:space="0"/>
              <w:bottom w:val="single" w:color="000000" w:sz="4" w:space="0"/>
              <w:right w:val="single" w:color="000000" w:sz="4" w:space="0"/>
            </w:tcBorders>
            <w:noWrap/>
            <w:vAlign w:val="center"/>
          </w:tcPr>
          <w:p w14:paraId="0C4816E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themeColor="text1"/>
                <w:sz w:val="20"/>
                <w:szCs w:val="20"/>
                <w:u w:val="none"/>
                <w14:textFill>
                  <w14:solidFill>
                    <w14:schemeClr w14:val="tx1"/>
                  </w14:solidFill>
                </w14:textFill>
              </w:rPr>
            </w:pPr>
            <w:r>
              <w:rPr>
                <w:rFonts w:hint="eastAsia" w:eastAsia="方正仿宋_GBK" w:cs="Times New Roman"/>
                <w:snapToGrid w:val="0"/>
                <w:color w:val="000000" w:themeColor="text1"/>
                <w:kern w:val="21"/>
                <w:sz w:val="20"/>
                <w:szCs w:val="20"/>
                <w:lang w:val="en-US" w:eastAsia="zh-CN"/>
                <w14:textFill>
                  <w14:solidFill>
                    <w14:schemeClr w14:val="tx1"/>
                  </w14:solidFill>
                </w14:textFill>
              </w:rPr>
              <w:t>无部门网站，删减</w:t>
            </w:r>
          </w:p>
        </w:tc>
      </w:tr>
    </w:tbl>
    <w:p w14:paraId="205AFBDE">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8E27D9B"/>
    <w:rsid w:val="0A990900"/>
    <w:rsid w:val="0AEE2A27"/>
    <w:rsid w:val="0B2F3171"/>
    <w:rsid w:val="0CDB4A20"/>
    <w:rsid w:val="0D0117A1"/>
    <w:rsid w:val="0D6C7E89"/>
    <w:rsid w:val="0E3C1CFB"/>
    <w:rsid w:val="0F974DE1"/>
    <w:rsid w:val="0FA21EA3"/>
    <w:rsid w:val="110029E4"/>
    <w:rsid w:val="12371343"/>
    <w:rsid w:val="1265746D"/>
    <w:rsid w:val="12722E22"/>
    <w:rsid w:val="13913395"/>
    <w:rsid w:val="1441408E"/>
    <w:rsid w:val="14445DAD"/>
    <w:rsid w:val="146F472E"/>
    <w:rsid w:val="155142DE"/>
    <w:rsid w:val="15681628"/>
    <w:rsid w:val="1573621D"/>
    <w:rsid w:val="16135C04"/>
    <w:rsid w:val="170C5378"/>
    <w:rsid w:val="194976FB"/>
    <w:rsid w:val="1B5C3420"/>
    <w:rsid w:val="1B6F3704"/>
    <w:rsid w:val="1B7C5E2D"/>
    <w:rsid w:val="1BCE77F6"/>
    <w:rsid w:val="1D616970"/>
    <w:rsid w:val="1DCD06D6"/>
    <w:rsid w:val="1F890B18"/>
    <w:rsid w:val="1FFCF5E0"/>
    <w:rsid w:val="210A46C7"/>
    <w:rsid w:val="21402E17"/>
    <w:rsid w:val="21C06A96"/>
    <w:rsid w:val="21D02AEC"/>
    <w:rsid w:val="229F5A60"/>
    <w:rsid w:val="22FF0DF7"/>
    <w:rsid w:val="239F090A"/>
    <w:rsid w:val="23E46C65"/>
    <w:rsid w:val="24481B8A"/>
    <w:rsid w:val="248442B3"/>
    <w:rsid w:val="24AE598C"/>
    <w:rsid w:val="250E5D48"/>
    <w:rsid w:val="26F84C31"/>
    <w:rsid w:val="28061469"/>
    <w:rsid w:val="297445E7"/>
    <w:rsid w:val="29D27D87"/>
    <w:rsid w:val="2BCE179F"/>
    <w:rsid w:val="2BF13CCD"/>
    <w:rsid w:val="2C174710"/>
    <w:rsid w:val="2CB35427"/>
    <w:rsid w:val="2E9448C5"/>
    <w:rsid w:val="30073FE3"/>
    <w:rsid w:val="30154953"/>
    <w:rsid w:val="303C4FB1"/>
    <w:rsid w:val="30F7633B"/>
    <w:rsid w:val="324D04E7"/>
    <w:rsid w:val="32F87104"/>
    <w:rsid w:val="33D308DB"/>
    <w:rsid w:val="3447364E"/>
    <w:rsid w:val="352F3330"/>
    <w:rsid w:val="35672368"/>
    <w:rsid w:val="36FD5C1C"/>
    <w:rsid w:val="377E1946"/>
    <w:rsid w:val="377E55BA"/>
    <w:rsid w:val="3988BD52"/>
    <w:rsid w:val="39934BF2"/>
    <w:rsid w:val="3AD43C18"/>
    <w:rsid w:val="3B147B5F"/>
    <w:rsid w:val="3CD61AB3"/>
    <w:rsid w:val="3DF2140A"/>
    <w:rsid w:val="3F93772D"/>
    <w:rsid w:val="40794EC8"/>
    <w:rsid w:val="407E4C5C"/>
    <w:rsid w:val="408038F9"/>
    <w:rsid w:val="42630C69"/>
    <w:rsid w:val="438F3BF3"/>
    <w:rsid w:val="462B4255"/>
    <w:rsid w:val="48070DAE"/>
    <w:rsid w:val="483E7AF5"/>
    <w:rsid w:val="484F5658"/>
    <w:rsid w:val="485D29BF"/>
    <w:rsid w:val="4ABF2EDF"/>
    <w:rsid w:val="4AF173EE"/>
    <w:rsid w:val="4B46773A"/>
    <w:rsid w:val="4BE331DB"/>
    <w:rsid w:val="4C8A74C0"/>
    <w:rsid w:val="4C8F2132"/>
    <w:rsid w:val="4CF73037"/>
    <w:rsid w:val="4D0A479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7C419F"/>
    <w:rsid w:val="5CF65282"/>
    <w:rsid w:val="5DDF4540"/>
    <w:rsid w:val="5E895E64"/>
    <w:rsid w:val="5F7521F9"/>
    <w:rsid w:val="5F8465E7"/>
    <w:rsid w:val="5FF5A8F0"/>
    <w:rsid w:val="619A2DB5"/>
    <w:rsid w:val="61EE0BBE"/>
    <w:rsid w:val="637D586B"/>
    <w:rsid w:val="63CE60C7"/>
    <w:rsid w:val="65D53721"/>
    <w:rsid w:val="66411B4D"/>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1FF1BB6"/>
    <w:rsid w:val="720E1B29"/>
    <w:rsid w:val="728C069E"/>
    <w:rsid w:val="73083191"/>
    <w:rsid w:val="735F6D3B"/>
    <w:rsid w:val="73B33DAD"/>
    <w:rsid w:val="766F54E7"/>
    <w:rsid w:val="769855C4"/>
    <w:rsid w:val="775B571E"/>
    <w:rsid w:val="77B21B30"/>
    <w:rsid w:val="77F3CDD0"/>
    <w:rsid w:val="7919798C"/>
    <w:rsid w:val="795E4400"/>
    <w:rsid w:val="7A4B1DC7"/>
    <w:rsid w:val="7A5954D3"/>
    <w:rsid w:val="7A947128"/>
    <w:rsid w:val="7B1A27D3"/>
    <w:rsid w:val="7B3103DF"/>
    <w:rsid w:val="7B377C45"/>
    <w:rsid w:val="7B9E74CD"/>
    <w:rsid w:val="7BF22E42"/>
    <w:rsid w:val="7C2D4935"/>
    <w:rsid w:val="7DB10716"/>
    <w:rsid w:val="7E2664C0"/>
    <w:rsid w:val="7EA048F8"/>
    <w:rsid w:val="7F9C2FD7"/>
    <w:rsid w:val="FEBD61E4"/>
    <w:rsid w:val="FF9BF299"/>
    <w:rsid w:val="FFFF6E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71"/>
    <w:basedOn w:val="6"/>
    <w:qFormat/>
    <w:uiPriority w:val="0"/>
    <w:rPr>
      <w:rFonts w:hint="default" w:ascii="Times New Roman" w:hAnsi="Times New Roman" w:cs="Times New Roman"/>
      <w:color w:val="000000"/>
      <w:sz w:val="20"/>
      <w:szCs w:val="20"/>
      <w:u w:val="none"/>
    </w:rPr>
  </w:style>
  <w:style w:type="character" w:customStyle="1" w:styleId="9">
    <w:name w:val="font8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4734</Words>
  <Characters>6840</Characters>
  <Lines>0</Lines>
  <Paragraphs>0</Paragraphs>
  <TotalTime>0</TotalTime>
  <ScaleCrop>false</ScaleCrop>
  <LinksUpToDate>false</LinksUpToDate>
  <CharactersWithSpaces>6852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2020-12-03T03:27:00Z</dcterms:created>
  <dc:creator>王木木</dc:creator>
  <cp:lastModifiedBy>七七七七七七</cp:lastModifiedBy>
  <cp:lastPrinted>2025-12-24T17:13:00Z</cp:lastPrinted>
  <dcterms:modified xsi:type="dcterms:W3CDTF">2025-12-26T13:45:40Z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692A4C74529190B132A34B697AFF3426_43</vt:lpwstr>
  </property>
  <property fmtid="{D5CDD505-2E9C-101B-9397-08002B2CF9AE}" pid="4" name="KSOTemplateDocerSaveRecord">
    <vt:lpwstr>eyJoZGlkIjoiNjZmMDA2NjZmMWVhYmNjN2FlODViNjJjODUxZDE1MjEiLCJ1c2VySWQiOiI4Mzk0NDQ3NjIifQ==</vt:lpwstr>
  </property>
</Properties>
</file>