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53E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</w:p>
    <w:p w14:paraId="280EA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6C080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7B17A4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25154A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2025年度行政执法工作报告</w:t>
      </w:r>
    </w:p>
    <w:p w14:paraId="35288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468204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2025年，津市市交通运输局深入学习贯彻习近平法治思想，全面落实交通运输部《交通运输行政执法质量效能提升三年行动（2024—2026年）》要求，以“严格规范公正文明执法”为核心，聚焦道路、水路运输、海事管理、公路路政、超限治理等重点领域，统筹执法监管与服务优化，为我市交通运输事业高质量发展筑牢法治保障。现将本年度行政执法工作情况报告如下：</w:t>
      </w:r>
    </w:p>
    <w:p w14:paraId="39004D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一、年度执法工作总体情况</w:t>
      </w:r>
    </w:p>
    <w:p w14:paraId="08AC0F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（一）行政处罚实施情况：</w:t>
      </w:r>
    </w:p>
    <w:p w14:paraId="777F6F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2025年，我局共办结行政处罚案件119件，其中道路运输领域39件，水路运输领域6件，公路管理74件。在案件办理过程中均严格落实立案、调查取证、告知、听证、决定等法定程序，确保案件办理合法合规。同时，秉持包容审慎监管原则，落实轻微违法行为依法不予处罚制度。在规范执法的同时，兼顾营商环境优化，实现法律效果与社会效果的统一。</w:t>
      </w:r>
    </w:p>
    <w:p w14:paraId="043D12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（二）行政许可实施情况：</w:t>
      </w:r>
    </w:p>
    <w:p w14:paraId="6C556F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行政许可工作严格按照法定权限和程序开展，优化审批流程，提升服务效能。2025年度，全局共办理行政审批办件521件。其中行政许可45件（其中企业4件、个体41件）、许可注销14件、车辆年审329件、车辆换证108件、车辆迁入、迁出13件、车辆信息变更12件。所有许可事项均做到申请材料齐全、审批流程规范、办理时限明确，切实为企业发展提供便捷高效的政务服务，助力交通运输行业健康有序发展。</w:t>
      </w:r>
    </w:p>
    <w:p w14:paraId="189B03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二、主要工作举措与成效</w:t>
      </w:r>
    </w:p>
    <w:p w14:paraId="4E06C9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（一）规范执法行为，践行执法为民。</w:t>
      </w:r>
    </w:p>
    <w:p w14:paraId="221E10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依托省交通运输执法系统平台，全面实行线上执法、电子办案，严格落实行政执法“三项制度”，定期开展执法案卷集中评查，有效提升执法案卷质量。今年以来共办理交通运输各类行政处罚案件119起，电子化办案率跻身全省中游，且无一例行政复议或行政诉讼情况。</w:t>
      </w:r>
    </w:p>
    <w:p w14:paraId="2EA665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积极落实《行政处罚法》“首违不罚”法定要求，落实推行“一查二劝三改四罚五公开”举措，坚持管理与服务并重、教育与处罚相结合，彰显执法温度。今年以来，开展各类行政检查8次；集中约谈1次，开展行政劝导提示12次,实施行政告诫12次，行政指导3次，说服教育14次。通过全面推行行政柔性执法，提升了交通运输行政执法公信力和社会满意度。</w:t>
      </w:r>
    </w:p>
    <w:p w14:paraId="07EFA2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3.梳理涉企行政检查事项并制定年度计划，严格执行全流程闭环管理。通过计划管控、频次限制及“综合查一次”改革,涉企检查数量大幅下降。2025年度涉企检查次数为8次,较2024年同期的24次下降66%。</w:t>
      </w:r>
    </w:p>
    <w:p w14:paraId="712814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4.开展“涉企行政检查突出问题专项整治行动”，结合中央八项规定精神学习教育，纠治执法领域突出问题，执法质效明显提升。在专项整治期间共排查出执法案卷不规范问题3个，目前已全部整改完成。</w:t>
      </w:r>
    </w:p>
    <w:p w14:paraId="7DE37F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（二）深化“放管服”改革，</w:t>
      </w:r>
      <w:r>
        <w:rPr>
          <w:rFonts w:hint="default" w:ascii="楷体_GB2312" w:hAnsi="楷体_GB2312" w:eastAsia="楷体_GB2312" w:cs="楷体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提升政务服务效能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28DD54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聚焦企业群众高频办事需求，新增道路货物运输企业开办、大件运输申报、涉路施工许可等3个“一件事”集成服务，实现“多门跑”变“一门办”、“反复交”变“一次报”，相关事项办理时限平均压缩60%以上。</w:t>
      </w:r>
    </w:p>
    <w:p w14:paraId="613F51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2.推广电子证照应用，道路运输经营许可证、从业人员资格证、船员适任证等3类证照实现电子化，电子证件逐步替代实体证件。</w:t>
      </w:r>
    </w:p>
    <w:p w14:paraId="2A5DA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3.依托“一网通办”平台，实现交通运输政务服务事项线上办理全覆盖，其中32项高频事项支持“掌上申办”，切实让企业群众“少跑腿、好办事”。</w:t>
      </w:r>
    </w:p>
    <w:p w14:paraId="128C19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（三）加强法治宣传，夯实社会治理基础。</w:t>
      </w:r>
    </w:p>
    <w:p w14:paraId="24D20D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加强对内干部职工学法。建立健全的局党组中心学法制度，将依法行政、普法宣传与业务工作同安排、同部署。做好全局干部职工的普法教育，采用会议集中学、会后分散学的方式，深入学习宪法、民法典以及交通行政执法常用法律法规。</w:t>
      </w:r>
    </w:p>
    <w:p w14:paraId="3ACB8E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加强对外宣传普法。严格落实“谁执法谁普法”制度，将普法宣传教育融入行政执法的全过程，通过文明执法促进深度普法。3.15消费者权益保护日、国家安全日、民法典宣传月、路政宣传月、安全生产宣传月、宪法宣传周等向来往群众和司机发放宣传册3000余份。</w:t>
      </w:r>
    </w:p>
    <w:p w14:paraId="49D56F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三、存在的问题与不足</w:t>
      </w:r>
    </w:p>
    <w:p w14:paraId="596B2E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b w:val="0"/>
          <w:bCs w:val="0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serif" w:eastAsia="仿宋_GB2312" w:cs="仿宋_GB2312"/>
          <w:b w:val="0"/>
          <w:bCs w:val="0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1.交通综合执法改革后，尚有不少改革举措没有落实，交通执法人员整体老化，文化水平、法治意识、执法能力、执法水平有待进一步提高。</w:t>
      </w:r>
    </w:p>
    <w:p w14:paraId="00D25D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b w:val="0"/>
          <w:bCs w:val="0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serif" w:eastAsia="仿宋_GB2312" w:cs="仿宋_GB2312"/>
          <w:b w:val="0"/>
          <w:bCs w:val="0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2.行政处罚卷宗制作水平有待提升。少数案件存在笔录制作不规范、关键信息记录不全等问题。执法文书的规范性和准确性仍需提高，部分案卷存在法律条款引用不够精准、事实表述不清等情况。</w:t>
      </w:r>
    </w:p>
    <w:p w14:paraId="567797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3.普法宣传精准性不足，普法形式仍以传统方式为主，针对农村群众、新业态从业人员等群体的个性化普法供给不够。</w:t>
      </w:r>
    </w:p>
    <w:p w14:paraId="4104CE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四、2026年度工作打算</w:t>
      </w:r>
    </w:p>
    <w:p w14:paraId="5D0923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b w:val="0"/>
          <w:bCs w:val="0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serif" w:eastAsia="仿宋_GB2312" w:cs="仿宋_GB2312"/>
          <w:b w:val="0"/>
          <w:bCs w:val="0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Fonts w:hint="default" w:ascii="仿宋_GB2312" w:hAnsi="serif" w:eastAsia="仿宋_GB2312" w:cs="仿宋_GB2312"/>
          <w:b w:val="0"/>
          <w:bCs w:val="0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提升执法规范化水平。强化执法培训，组织执法人员参与法律知识学习，确保执法人员熟练掌握法律知识和执法技能。规范执法流程和标准，全面梳理现行执法流程，明确各类执法行为的程序要求，减少执法随意性。建立健全执法监督机制，加大执法过错责任追究力度，倒逼执法水平提升。</w:t>
      </w:r>
    </w:p>
    <w:p w14:paraId="074033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serif" w:eastAsia="仿宋_GB2312" w:cs="仿宋_GB2312"/>
          <w:b w:val="0"/>
          <w:bCs w:val="0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serif" w:eastAsia="仿宋_GB2312" w:cs="仿宋_GB2312"/>
          <w:b w:val="0"/>
          <w:bCs w:val="0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</w:t>
      </w:r>
      <w:r>
        <w:rPr>
          <w:rFonts w:hint="default" w:ascii="仿宋_GB2312" w:hAnsi="serif" w:eastAsia="仿宋_GB2312" w:cs="仿宋_GB2312"/>
          <w:b w:val="0"/>
          <w:bCs w:val="0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强化法治队伍建设。丰富培训内容、载体和形式，注重学法用法能力培养，提高法治思维和创新能力，提升一线干部业务水平和实践能力，不断纠正在执法过程中存在的问题和短板，努力打造一支业务硬、本领强、善执法的高素质交通管理执法队伍。</w:t>
      </w:r>
    </w:p>
    <w:p w14:paraId="30C7C7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serif" w:eastAsia="仿宋_GB2312" w:cs="仿宋_GB2312"/>
          <w:b w:val="0"/>
          <w:bCs w:val="0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serif" w:eastAsia="仿宋_GB2312" w:cs="仿宋_GB2312"/>
          <w:b w:val="0"/>
          <w:bCs w:val="0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</w:t>
      </w:r>
      <w:r>
        <w:rPr>
          <w:rFonts w:hint="default" w:ascii="仿宋_GB2312" w:hAnsi="serif" w:eastAsia="仿宋_GB2312" w:cs="仿宋_GB2312"/>
          <w:b w:val="0"/>
          <w:bCs w:val="0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深入开展普法宣传工作。继续通过多渠道、多平台进行普法宣传工作，结合交通运输行业特点，建设一批法治文化阵地，加大普及力度，扩大覆盖面，营造浓厚法治氛围。</w:t>
      </w:r>
    </w:p>
    <w:p w14:paraId="38697F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36639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9322D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0F8986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54F7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津市市交通运输局</w:t>
      </w:r>
    </w:p>
    <w:p w14:paraId="1D3894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2026年1月14日</w:t>
      </w:r>
    </w:p>
    <w:p w14:paraId="185245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serif" w:eastAsia="仿宋_GB2312" w:cs="仿宋_GB2312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67C9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3D60C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1FA285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2AFAE8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4E05A8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57831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5A997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20013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sectPr>
      <w:pgSz w:w="11906" w:h="16838"/>
      <w:pgMar w:top="198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rif">
    <w:altName w:val="C059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E202D"/>
    <w:rsid w:val="5DEFB6E6"/>
    <w:rsid w:val="625FD779"/>
    <w:rsid w:val="6FF4C48D"/>
    <w:rsid w:val="72DF4536"/>
    <w:rsid w:val="75DCEA63"/>
    <w:rsid w:val="77F1623A"/>
    <w:rsid w:val="7F79433B"/>
    <w:rsid w:val="A772D3F0"/>
    <w:rsid w:val="EFEF28D1"/>
    <w:rsid w:val="FAF31392"/>
    <w:rsid w:val="FC9E8B4B"/>
    <w:rsid w:val="FF7B71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215.666666666667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2026-01-15T14:35:05Z</dcterms:created>
  <dc:creator>tianzm008223</dc:creator>
  <cp:lastModifiedBy>七七七七七七</cp:lastModifiedBy>
  <cp:lastPrinted>2026-01-20T17:12:35Z</cp:lastPrinted>
  <dcterms:modified xsi:type="dcterms:W3CDTF">2026-01-30T11:49:45Z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F6E720DFE49EA5F6592A7C69CF9A5889_43</vt:lpwstr>
  </property>
</Properties>
</file>