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DE13">
      <w:pPr>
        <w:pStyle w:val="16"/>
      </w:pPr>
      <mc:AlternateContent>
        <mc:Choice Requires="wpsCustomData">
          <wpsCustomData:docfieldStart id="0" docfieldname="标题_1" hidden="0" print="1" readonly="0" index="3"/>
        </mc:Choice>
      </mc:AlternateContent>
    </w:p>
    <w:p w14:paraId="718441DB">
      <w:pPr>
        <w:pStyle w:val="16"/>
        <w:jc w:val="both"/>
      </w:pPr>
    </w:p>
    <w:p w14:paraId="562652EB">
      <w:pPr>
        <w:pStyle w:val="16"/>
      </w:pPr>
      <w:r>
        <w:t>津市市医疗保障局2025年度行政执法</w:t>
      </w:r>
    </w:p>
    <w:p w14:paraId="5D68C6B5">
      <w:pPr>
        <w:pStyle w:val="16"/>
        <w:rPr>
          <w:rFonts w:hint="eastAsia" w:eastAsia="方正小标宋简体"/>
          <w:lang w:eastAsia="zh-CN"/>
        </w:rPr>
      </w:pPr>
      <w:r>
        <w:t>工作年报</w:t>
      </w:r>
      <mc:AlternateContent>
        <mc:Choice Requires="wpsCustomData">
          <wpsCustomData:docfieldEnd id="0"/>
        </mc:Choice>
      </mc:AlternateContent>
    </w:p>
    <w:p w14:paraId="2B2A4D84">
      <w:pPr>
        <w:pStyle w:val="11"/>
        <w:bidi w:val="0"/>
        <w:spacing w:beforeAutospacing="0" w:afterAutospacing="0" w:line="300" w:lineRule="exact"/>
      </w:pPr>
    </w:p>
    <w:p w14:paraId="76DE58B2">
      <w:pPr>
        <w:pStyle w:val="11"/>
        <w:rPr>
          <w:rFonts w:hint="eastAsia"/>
        </w:rPr>
      </w:pPr>
      <w:r>
        <w:t>2025年，津市市医疗保障局在市委、市政府的坚强领导和上级主管部门的有力指导下，坚持以习近平新时代中国特色社会主义思想为指导，全面贯彻党的二十大和二十届三中全会精神，深入落</w:t>
      </w:r>
      <w:bookmarkStart w:id="0" w:name="_GoBack"/>
      <w:bookmarkEnd w:id="0"/>
      <w:r>
        <w:t>实习近平总书记关于医疗保障工作的重要指示批示精神。我局严格遵循《法治政府建设实施纲要（2021－2025年）》及省市相关部署，以“清廉医保”建设为牵引，以维护医保基金安全为核心使命，全面推进严格规范公正文明执法，不断提升依法行政能力和水平。现将全年行政执法工作情况报告如下：</w:t>
      </w:r>
    </w:p>
    <w:p w14:paraId="47D63164">
      <w:pPr>
        <w:pStyle w:val="2"/>
        <w:rPr>
          <w:rFonts w:hint="eastAsia"/>
        </w:rPr>
      </w:pPr>
      <w:r>
        <w:t xml:space="preserve"> 一、 行政执法工作总体情况与基本数据</w:t>
      </w:r>
    </w:p>
    <w:p w14:paraId="26A14E1B">
      <w:pPr>
        <w:pStyle w:val="11"/>
        <w:rPr>
          <w:rFonts w:hint="eastAsia"/>
        </w:rPr>
      </w:pPr>
      <w:r>
        <w:t>2025年，我局持续加大医保基金监管执法力度，丰富监管手段，推动执法工作从“治已病”向“防未病”深化，确保了医保基金安全高效、合理规范使用。</w:t>
      </w:r>
    </w:p>
    <w:p w14:paraId="622A1F3E">
      <w:pPr>
        <w:pStyle w:val="3"/>
        <w:rPr>
          <w:rFonts w:hint="eastAsia" w:eastAsia="楷体_GB2312"/>
          <w:lang w:eastAsia="zh-CN"/>
        </w:rPr>
      </w:pPr>
      <w:r>
        <w:t>（一）行政执法资源与基础配置</w:t>
      </w:r>
    </w:p>
    <w:p w14:paraId="3C1A1EEA">
      <w:pPr>
        <w:pStyle w:val="11"/>
        <w:rPr>
          <w:rFonts w:hint="eastAsia"/>
        </w:rPr>
      </w:pPr>
      <w:r>
        <w:t>截至2025年12月31日，我局共有持有有效湖南省行政执法证件的人员1</w:t>
      </w:r>
      <w:r>
        <w:rPr>
          <w:rFonts w:hint="eastAsia"/>
          <w:lang w:val="en-US" w:eastAsia="zh-CN"/>
        </w:rPr>
        <w:t>2</w:t>
      </w:r>
      <w:r>
        <w:t>名。配备执法记录仪2台，便携式打印机等设备。</w:t>
      </w:r>
    </w:p>
    <w:p w14:paraId="7972B761">
      <w:pPr>
        <w:pStyle w:val="3"/>
        <w:rPr>
          <w:rFonts w:hint="eastAsia" w:eastAsia="楷体_GB2312"/>
          <w:lang w:eastAsia="zh-CN"/>
        </w:rPr>
      </w:pPr>
      <w:r>
        <w:t>（二）行政执法案件办理情况</w:t>
      </w:r>
    </w:p>
    <w:p w14:paraId="31921368">
      <w:pPr>
        <w:pStyle w:val="11"/>
        <w:rPr>
          <w:rFonts w:hint="eastAsia"/>
        </w:rPr>
      </w:pPr>
      <w:r>
        <w:t>全年通过日常巡查、专项检查、投诉举报核查、“双随机、一公开”抽查及接收上级移交线索等多种方式，共对全市定点医药机构开展各类检查覆盖率达到100％。</w:t>
      </w:r>
    </w:p>
    <w:p w14:paraId="229A73A4">
      <w:pPr>
        <w:pStyle w:val="3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全年共办结行政执法案件7件，实施行政罚没款45.65万元，并对涉及的7家定点医疗机构依法予以罚款、责令整改及约谈。同时，依据服务协议对多家医药机构进行处理，共追回医保基金17.98万元，暂停2家医药机构医保服务协议1个月，对3家机构进行约谈。全年累计向市纪委监委、市卫生健康局等部门移交案件线索8条。通过开展行政执法、协议处理，并结合定点医药机构自查自纠与医保智能审核系统筛查等多种方式，全年共追回并返还医保基金110.67万元，执行行政罚没款及违约金45.65万元。有力震慑了违法违规行为。所有案件的处罚结果均已按要求在“信用常德”网站公示，接受社会监督。</w:t>
      </w:r>
    </w:p>
    <w:p w14:paraId="0F6A65DF">
      <w:pPr>
        <w:pStyle w:val="3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t>（三）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行政复议与诉讼情况</w:t>
      </w:r>
    </w:p>
    <w:p w14:paraId="675B649E">
      <w:pPr>
        <w:pStyle w:val="11"/>
        <w:rPr>
          <w:rFonts w:hint="eastAsia"/>
        </w:rPr>
      </w:pPr>
      <w:r>
        <w:t>2025年度，我局未发生因行政执法行为引发的行政复议和行政诉讼案件，执法决定的合法性与合理性得到普遍认可。</w:t>
      </w:r>
    </w:p>
    <w:p w14:paraId="6ED000CC">
      <w:pPr>
        <w:pStyle w:val="2"/>
        <w:rPr>
          <w:rFonts w:hint="eastAsia"/>
        </w:rPr>
      </w:pPr>
      <w:r>
        <w:t xml:space="preserve"> 二、 主要工作举措与成效</w:t>
      </w:r>
    </w:p>
    <w:p w14:paraId="2292690D">
      <w:pPr>
        <w:pStyle w:val="3"/>
        <w:rPr>
          <w:rFonts w:hint="eastAsia" w:eastAsia="楷体_GB2312"/>
          <w:lang w:eastAsia="zh-CN"/>
        </w:rPr>
      </w:pPr>
      <w:r>
        <w:t>（一）纵深推进执法制度改革，规范执法权力运行</w:t>
      </w:r>
    </w:p>
    <w:p w14:paraId="7ECB526A">
      <w:pPr>
        <w:pStyle w:val="11"/>
        <w:numPr>
          <w:ilvl w:val="0"/>
          <w:numId w:val="1"/>
        </w:numPr>
        <w:topLinePunct w:val="0"/>
        <w:ind w:left="0" w:leftChars="0" w:firstLine="616" w:firstLineChars="0"/>
        <w:rPr>
          <w:b w:val="0"/>
        </w:rPr>
      </w:pPr>
      <w:r>
        <w:rPr>
          <w:rStyle w:val="20"/>
        </w:rPr>
        <w:t>全面严格落实行政执法“三项制度”</w:t>
      </w:r>
      <w:r>
        <w:t>：一是强化公示制度，及时主动公开行政执法事项清单、人员清单、年度检查计划及处罚结果。二是深化全过程记录制度，为所有现场检查、调查取证、送达执行等环节配备音像记录，实现执法全过程留痕和可回溯管理。三是健全重大执法决定法制审核制度，对情节复杂或拟作出重大处罚的案件，均由法制审核机构进行合法性、合理性审核，未经审核或审核不通过的不得作出决定，确保每一项重大决定都经得起法律检验。</w:t>
      </w:r>
    </w:p>
    <w:p w14:paraId="3797B7F7">
      <w:pPr>
        <w:pStyle w:val="11"/>
        <w:numPr>
          <w:ilvl w:val="0"/>
          <w:numId w:val="1"/>
        </w:numPr>
        <w:topLinePunct w:val="0"/>
        <w:ind w:left="0" w:leftChars="0" w:firstLine="616" w:firstLineChars="0"/>
        <w:rPr>
          <w:b w:val="0"/>
        </w:rPr>
      </w:pPr>
      <w:r>
        <w:rPr>
          <w:rStyle w:val="20"/>
        </w:rPr>
        <w:t>创新推行包容审慎与柔性执法</w:t>
      </w:r>
      <w:r>
        <w:t>：积极落实《湖南省医疗保障基金使用监督管理行政处罚裁量基准》，制定并公布本市医保监管领域“不予处罚、从轻处罚、减轻处罚”三张清单。同时，对屡查屡犯、主观恶意骗保的行为，坚决依法从严从重处罚，彰显执法“力度”。</w:t>
      </w:r>
    </w:p>
    <w:p w14:paraId="0710946E">
      <w:pPr>
        <w:pStyle w:val="11"/>
        <w:numPr>
          <w:ilvl w:val="0"/>
          <w:numId w:val="1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20"/>
        </w:rPr>
        <w:t>实施医保支付资格“驾照式”记分管理</w:t>
      </w:r>
      <w:r>
        <w:t>：根据省级统一部署，自2025年下半年起，对定点医药机构相关责任人员的医保支付资格实施记分管理。将违法违规行为量化为记分，根据年度累计记分情况，对应进行约谈、暂停医保处方权或支付资格等处理。年内对</w:t>
      </w:r>
      <w:r>
        <w:rPr>
          <w:rFonts w:hint="eastAsia"/>
          <w:lang w:val="en-US" w:eastAsia="zh-CN"/>
        </w:rPr>
        <w:t>9</w:t>
      </w:r>
      <w:r>
        <w:t>名医师、药师进行了记分，此举将监管责任精准传导至医疗服务行为个体，强化了源头治理。</w:t>
      </w:r>
    </w:p>
    <w:p w14:paraId="29E7DCF3">
      <w:pPr>
        <w:pStyle w:val="3"/>
        <w:rPr>
          <w:rFonts w:hint="eastAsia" w:eastAsia="楷体_GB2312"/>
          <w:lang w:eastAsia="zh-CN"/>
        </w:rPr>
      </w:pPr>
      <w:r>
        <w:t>（二）构建智慧协同监管体系，提升执法综合效能</w:t>
      </w:r>
    </w:p>
    <w:p w14:paraId="245B8874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b w:val="0"/>
        </w:rPr>
      </w:pPr>
      <w:r>
        <w:rPr>
          <w:rStyle w:val="20"/>
        </w:rPr>
        <w:t>深化“互联网＋监管”应用</w:t>
      </w:r>
      <w:r>
        <w:t>：全面升级医保智能监控系统，利用大数据模型对诊疗、用药、收费等数据进行实时筛查和自动预警。通过“湘易办”APP落实涉企行政检查“扫码入企”，实现了检查计划、过程、结果的线上全流程记录与公开。</w:t>
      </w:r>
    </w:p>
    <w:p w14:paraId="3974A714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20"/>
        </w:rPr>
        <w:t>强化跨部门协同联动</w:t>
      </w:r>
      <w:r>
        <w:t>：持续完善与公安、检察、法院、卫健、市场监管等部门的案件线索移送、信息共享和联席会议机制。主动接受司法监督，对检察院移送的</w:t>
      </w:r>
      <w:r>
        <w:rPr>
          <w:rFonts w:hint="eastAsia"/>
          <w:lang w:val="en-US" w:eastAsia="zh-CN"/>
        </w:rPr>
        <w:t>2</w:t>
      </w:r>
      <w:r>
        <w:t>起检察建议书涉及的问题进行了彻底整改并回复。</w:t>
      </w:r>
    </w:p>
    <w:p w14:paraId="1E29125C">
      <w:pPr>
        <w:pStyle w:val="3"/>
        <w:rPr>
          <w:rFonts w:hint="eastAsia" w:eastAsia="楷体_GB2312"/>
          <w:lang w:eastAsia="zh-CN"/>
        </w:rPr>
      </w:pPr>
      <w:r>
        <w:t>（三）营造全民守法共治氛围，优化执法外部环境</w:t>
      </w:r>
    </w:p>
    <w:p w14:paraId="574144BE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b w:val="0"/>
        </w:rPr>
      </w:pPr>
      <w:r>
        <w:rPr>
          <w:rStyle w:val="20"/>
        </w:rPr>
        <w:t>落实“谁执法谁普法”责任制</w:t>
      </w:r>
      <w:r>
        <w:t>：结合“医保基金监管集中宣传月”活动，深入社区、乡镇举办政策宣讲会场，发放宣传资料万余份。通过政务新媒体平台，以案释法，公开曝光典型案例，有力提升了政策法规的知晓度和威慑力。</w:t>
      </w:r>
    </w:p>
    <w:p w14:paraId="2B42A611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20"/>
        </w:rPr>
        <w:t>畅通社会监督渠道</w:t>
      </w:r>
      <w:r>
        <w:t>：公开医保基金监督举报电话和邮箱，严格落实举报奖励制度，形成了群防群治的良好局面。</w:t>
      </w:r>
    </w:p>
    <w:p w14:paraId="30C8BF68">
      <w:pPr>
        <w:pStyle w:val="2"/>
        <w:rPr>
          <w:rFonts w:hint="eastAsia"/>
        </w:rPr>
      </w:pPr>
      <w:r>
        <w:t xml:space="preserve"> 三、 存在的问题与不足</w:t>
      </w:r>
    </w:p>
    <w:p w14:paraId="3F14797F">
      <w:pPr>
        <w:pStyle w:val="11"/>
      </w:pPr>
      <w:r>
        <w:t>在总结成绩的同时，我们也清醒地认识到当前执法工作面临的挑战：</w:t>
      </w:r>
    </w:p>
    <w:p w14:paraId="28A36AA0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Times New Roman" w:hAnsi="Times New Roman" w:eastAsia="楷体_GB2312" w:cs="楷体_GB2312"/>
          <w:spacing w:val="0"/>
          <w:sz w:val="32"/>
          <w:szCs w:val="32"/>
        </w:rPr>
        <w:t>（一）</w:t>
      </w:r>
      <w:r>
        <w:rPr>
          <w:rStyle w:val="21"/>
        </w:rPr>
        <w:t>监管任务与专业力量不匹配的矛盾依然突出</w:t>
      </w:r>
      <w:r>
        <w:t>：随着监管向纵深发展，涉及医学、药学、大数据、法律、财务等多学科的复合型人才缺口较大。现有执法人员面对日益复杂的欺诈骗保手法，在违规数据深度分析、疑难问题定性等方面有时感到力不从心。</w:t>
      </w:r>
    </w:p>
    <w:p w14:paraId="406FC45A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 w:ascii="Times New Roman" w:hAnsi="Times New Roman" w:eastAsia="楷体_GB2312" w:cs="楷体_GB2312"/>
          <w:spacing w:val="0"/>
          <w:sz w:val="32"/>
          <w:szCs w:val="32"/>
        </w:rPr>
        <w:t>（二）</w:t>
      </w:r>
      <w:r>
        <w:rPr>
          <w:rStyle w:val="21"/>
        </w:rPr>
        <w:t>执法信息化与智能化水平有待进一步提升</w:t>
      </w:r>
      <w:r>
        <w:t>：虽然已建立智能监控系统，但数据模型的精准度、预警规则的完备性仍有提升空间。与医疗机构HIS系统、卫健部门监管系统的数据实时对接尚未完全实现，数据壁垒在一定程度上影响了监管效率和穿透力。</w:t>
      </w:r>
    </w:p>
    <w:p w14:paraId="375AE5C7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rFonts w:hint="eastAsia"/>
        </w:rPr>
      </w:pPr>
      <w:r>
        <w:rPr>
          <w:rFonts w:hint="eastAsia" w:ascii="Times New Roman" w:hAnsi="Times New Roman" w:eastAsia="楷体_GB2312" w:cs="楷体_GB2312"/>
          <w:spacing w:val="0"/>
          <w:sz w:val="32"/>
          <w:szCs w:val="32"/>
        </w:rPr>
        <w:t>（三）</w:t>
      </w:r>
      <w:r>
        <w:rPr>
          <w:rStyle w:val="21"/>
        </w:rPr>
        <w:t>政策宣传的渗透力与精准度需加强</w:t>
      </w:r>
      <w:r>
        <w:t>：对部分小型民营医疗机构、零售药店以及老年参保群体的政策宣传方式仍显单一，政策理解的“最后一公里”问题尚未完全解决，导致部分违法违规行为源于对政策的无知或误解。</w:t>
      </w:r>
    </w:p>
    <w:p w14:paraId="4771A4AD">
      <w:pPr>
        <w:pStyle w:val="2"/>
        <w:rPr>
          <w:rFonts w:hint="eastAsia"/>
        </w:rPr>
      </w:pPr>
      <w:r>
        <w:t xml:space="preserve"> 四、 2026年工作计划</w:t>
      </w:r>
    </w:p>
    <w:p w14:paraId="3A4939C4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</w:rPr>
      </w:pPr>
      <w:r>
        <w:rPr>
          <w:rFonts w:hint="eastAsia"/>
        </w:rPr>
        <w:t>展望2026年，我局将继续坚持以维护基金安全为核心，以规范执法行为为主线，在巩固现有工作成效的基础上，着力夯实执法基础、优化监管方式、提升服务效能。我们将持续加强执法队伍的能力建设与作风建设，深化法治宣传教育，积极运用更有效的监管手段提升执法精准性，并不断完善内部执法流程与跨部门协作机制，推动形成更加规范、高效、透明的基金监管长效机制，稳步提升医疗保障行政执法工作的整体水平，为基金安全稳健运行提供坚实保障。</w:t>
      </w:r>
    </w:p>
    <w:p w14:paraId="726EDB56">
      <w:pPr>
        <w:rPr>
          <w:rFonts w:hint="eastAsia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858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津市市医疗保障局</w:t>
      </w:r>
      <mc:AlternateContent>
        <mc:Choice Requires="wpsCustomData">
          <wpsCustomData:docfieldEnd id="1"/>
        </mc:Choice>
      </mc:AlternateContent>
    </w:p>
    <w:p w14:paraId="573EC62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2025年12月31日</w:t>
      </w:r>
      <mc:AlternateContent>
        <mc:Choice Requires="wpsCustomData">
          <wpsCustomData:docfieldEnd id="2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147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519E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98519E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A593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2622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332622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274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9AD1B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1ED17"/>
    <w:multiLevelType w:val="singleLevel"/>
    <w:tmpl w:val="E291ED17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0CFB3A03"/>
    <w:multiLevelType w:val="singleLevel"/>
    <w:tmpl w:val="0CFB3A03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5C9ED757"/>
    <w:multiLevelType w:val="singleLevel"/>
    <w:tmpl w:val="5C9ED757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300B2"/>
    <w:rsid w:val="2DE520BC"/>
    <w:rsid w:val="35A658D3"/>
    <w:rsid w:val="3BB01D08"/>
    <w:rsid w:val="3C8C13E6"/>
    <w:rsid w:val="47E36768"/>
    <w:rsid w:val="50CD4459"/>
    <w:rsid w:val="60C203D6"/>
    <w:rsid w:val="687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2278</Words>
  <Characters>2340</Characters>
  <Lines>0</Lines>
  <Paragraphs>0</Paragraphs>
  <TotalTime>34</TotalTime>
  <ScaleCrop>false</ScaleCrop>
  <LinksUpToDate>false</LinksUpToDate>
  <CharactersWithSpaces>2348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2026-01-13T08:46:00Z</dcterms:created>
  <dc:creator>Administrator</dc:creator>
  <cp:lastModifiedBy>啊水</cp:lastModifiedBy>
  <cp:lastPrinted>2026-01-14T08:08:00Z</cp:lastPrinted>
  <dcterms:modified xsi:type="dcterms:W3CDTF">2026-01-19T23:55:40Z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eyJoZGlkIjoiYjBlNmY4MzQ0OTBlMDk3NmQ1ZWM0MzkwNzc0OGQxMjkiLCJ1c2VySWQiOiIxNTg1NzM2NTQ2In0=</vt:lpwstr>
  </property>
  <property fmtid="{D5CDD505-2E9C-101B-9397-08002B2CF9AE}" pid="4" name="ICV">
    <vt:lpwstr>56880C3033224F768DC6206B05CB2F78_12</vt:lpwstr>
  </property>
</Properties>
</file>