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C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2025年度津市市财政局行政执法工作年报</w:t>
      </w:r>
    </w:p>
    <w:p w14:paraId="5922F946">
      <w:pPr>
        <w:keepNext w:val="0"/>
        <w:keepLines w:val="0"/>
        <w:widowControl/>
        <w:suppressLineNumbers w:val="0"/>
        <w:jc w:val="center"/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510861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2025年，津市市财政局在市委、市政府的坚强领导和市委全面依法治市委员会办公室的精心指导下，深入贯彻党的二十大和二十届二中、三中、四中全会精神，科学统筹推进财政法治建设，不断完善财政法治制度，规范财政执法行为，强化法治监督，进一步提升依法行政和依法理财的能力和水平。现将2025年行政执法情况报告如下：</w:t>
      </w:r>
    </w:p>
    <w:p w14:paraId="07637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一、2025年度推进法治政府建设的主要举措和成效</w:t>
      </w:r>
    </w:p>
    <w:p w14:paraId="6BBBBD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1、推进严格规范公正文明执法，全面提升执法人员能力素质。</w:t>
      </w:r>
    </w:p>
    <w:p w14:paraId="0AD50E6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财政执法部门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严格落实行政执法“三项制度”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对执法人员信息、执法职责、执法依据、执法程序、行政处罚裁量基准、执法结果等信息在政府网站进行了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公示，进一步推动了我局行政执法公开透明、合法规范。</w:t>
      </w:r>
    </w:p>
    <w:p w14:paraId="19A55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落实财政执法人员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业务提升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年初，通过制定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2025年津市市财政局行政执法人员学习培训工作方案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》和年度工作计划，定期组织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执法人员参加行政执法人员公共法律知识培训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和业务交流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，切实加强财政执法人员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业务能力和专业技能提升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1A1CAC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26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落实法律顾问制度。财政局不断完善并加强法律顾问制度，聘请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湖南正泰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律师事务所法律顾问1名，为财政局提供常年法律顾问服务，加大对重大行政决策及行政规范性文件的合法性审查，并依法维护财政局合法权益。</w:t>
      </w:r>
    </w:p>
    <w:p w14:paraId="23017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26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规范政务信息公开，强化行政权力制约和监督</w:t>
      </w:r>
    </w:p>
    <w:p w14:paraId="474DC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全面推进政务公开。严格按照政府信息公开的规定，积极推进信息公开，根据《预算法》文件精神，除涉及国家秘密的信息外，部门预决算、预算执行情况、三公经费均已在政府网站公开，并保持长期公开状态，接受社会监督。</w:t>
      </w:r>
    </w:p>
    <w:p w14:paraId="47BA1DF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加大监督指导力度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0"/>
          <w:lang w:eastAsia="zh-CN"/>
        </w:rPr>
        <w:t>在监督绩效方面，今</w:t>
      </w:r>
      <w:r>
        <w:rPr>
          <w:rFonts w:hint="eastAsia" w:ascii="仿宋_GB2312" w:hAnsi="黑体" w:eastAsia="仿宋_GB2312"/>
          <w:sz w:val="32"/>
          <w:szCs w:val="30"/>
          <w:lang w:val="en-US" w:eastAsia="zh-CN"/>
        </w:rPr>
        <w:t>年共抽取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8家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预算单位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重点专项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资金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开展了监督检查；在采购管理方面，开展了政府采购领域“四类”违法违规专项整治工作，共抽查检查限额以上项目3个，检查内容包括是否存在采购人设置差别歧视条款、代理机构乱收费、供应商提供虚假材料、供应商围标串标等“四类”违法违规行为；内控管理方面，积极开展财政系统内部会计基础工作自清自查。被检单位涉及局机关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14个业务股室和9个镇街财政所，旨在加强对重点岗位、关键环节的财务风险防控。本次清查共发现基础问题29个、重大问题0个，所有问题已于2025年10月全部整改到位。</w:t>
      </w:r>
    </w:p>
    <w:p w14:paraId="64EADC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财务管理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，完善代理机构制度建设。202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年针对辖区内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家代理记账机构进行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走访调查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座谈交流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及时解答和指导当前行业疑问和突出问题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各代理记账机构会计业务和会计行为，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良好的代理记账环境。</w:t>
      </w:r>
    </w:p>
    <w:p w14:paraId="5D759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3、落实“谁执法谁普法”责任制，助推“八五”普法规划全面实施。</w:t>
      </w:r>
    </w:p>
    <w:p w14:paraId="13338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结合财政职能及服务对象特点，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及时整理和修订了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津市市涉企行政处罚“三项清单”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津市市财政局行政执法事项目录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和《津市市财政局领导干部应知应会党内法规和法律法规规章清单》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3746AC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在财政系统内普法的同时，组织党员干部深入社区基层，结合今年我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国家安全教育日、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信访法治宣传月、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民法典宣传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、宪法宣传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周等系列活动，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通过张贴标语、悬挂横幅、现场咨询、向群众发放《中华人民共和国民法典》、《中华人民共和国宪法》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、《中华人民共和国会计法（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等宣传资料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形式开展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普法宣传。营造浓厚的普法工作社会氛围，对于进一步增强广大群众法治意识，有效推动“八五”普法规划实施，共创和谐社会起到积极作用。</w:t>
      </w:r>
    </w:p>
    <w:p w14:paraId="16D25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二、2025年度推进法治政府建设存在的不足和原因</w:t>
      </w:r>
    </w:p>
    <w:p w14:paraId="032E79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right="0" w:firstLine="641" w:firstLineChars="200"/>
        <w:jc w:val="left"/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存在不足</w:t>
      </w:r>
    </w:p>
    <w:p w14:paraId="25756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法治理论学习深度不够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部分干部职工对习近平法治思想的学习缺乏系统性和深入性，存在浅尝辄止、学用脱节的现象，运用法治思维和法治方式解决复杂财政问题的能力有待进一步提升。</w:t>
      </w:r>
    </w:p>
    <w:p w14:paraId="5285E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财政制度执行力度有待加强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我局虽然制定了一系列财政管理制度，但在实际执行过程中，部分股室和工作人员存在制度意识不强、执行不到位的情况，存在重制定、轻执行的问题，影响了制度的权威性和实效性。</w:t>
      </w:r>
    </w:p>
    <w:p w14:paraId="7DBAB6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普法宣传实效性有待增强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普法宣传形式不够丰富多样，针对性和实效性不强，对不同群体的普法需求关注不够，部分宣传内容过于理论化，难以让群众真正理解和接受，法治宣传的覆盖面和影响力有待进一步扩大。</w:t>
      </w:r>
    </w:p>
    <w:p w14:paraId="7638B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（二）原因分析 </w:t>
      </w:r>
    </w:p>
    <w:p w14:paraId="123D9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思想认识存在偏差</w:t>
      </w:r>
      <w:r>
        <w:rPr>
          <w:rStyle w:val="5"/>
          <w:rFonts w:hint="eastAsia" w:ascii="CESI仿宋-GB2312" w:hAnsi="CESI仿宋-GB2312" w:eastAsia="CESI仿宋-GB2312" w:cs="CESI仿宋-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部分干部职工对法治政府建设的重要性认识不足，没有充分认识到法治建设对财政工作的引领和保障作用，存在重业务、轻法治的思想，导致法治建设工作推进力度不够。</w:t>
      </w:r>
    </w:p>
    <w:p w14:paraId="1AC25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培训教育机制不够完善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法治培训内容和形式相对单一，缺乏针对性和实用性，培训效果评估机制不健全，难以有效激发干部职工的学习积极性和主动性，影响了培训质量和效果。</w:t>
      </w:r>
    </w:p>
    <w:p w14:paraId="55A247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　　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3、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资源保障力度不足</w:t>
      </w:r>
      <w:r>
        <w:rPr>
          <w:rStyle w:val="5"/>
          <w:rFonts w:hint="eastAsia" w:ascii="CESI仿宋-GB2312" w:hAnsi="CESI仿宋-GB2312" w:eastAsia="CESI仿宋-GB2312" w:cs="CESI仿宋-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法治建设所需的人力、物力、财力等资源保障不够充分，行政执法队伍建设有待加强，行政执法信息化建设投入不足，一定程度上影响了法治政府建设工作的效率。</w:t>
      </w:r>
    </w:p>
    <w:p w14:paraId="4A37F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三、202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年度党政主要负责人履行推进法治建设第一责任人职责</w:t>
      </w:r>
    </w:p>
    <w:p w14:paraId="6734C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1、深入学习宣传贯彻习近平法治思想</w:t>
      </w:r>
    </w:p>
    <w:p w14:paraId="18314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抓住领导干部这个“关键少数”，将习近平法治思想纳入局党组理论学习的重点学习内容。9月18日，局党组集体学会了《习近平法治思想纲要》、《习近平法治思想需要把握好十大关系》等内容；统筹抓好干部思想学习，今年我局先后于5月9日、7月18日、10月29日三次组织全体干部职工开展政治理论学习，专题学习二十届四中全会精神和习近平法治思想，深刻学习领悟习近平法治思想的精髓实质和核心要义。</w:t>
      </w:r>
    </w:p>
    <w:p w14:paraId="224DC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2、党政主要负责人履行推进法治建设第一责任人职责情况</w:t>
      </w:r>
    </w:p>
    <w:p w14:paraId="71B2E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局党组将法治建设工作纳入本年度工作计划，认真履行法治建设第一责任人职责，年初结合我市财政普法工作实际，研究年度普法工作要点，明确普法范围和普法对象及普法内容。定期听取班子成员关于法治建设有关工作汇报，坚持主要领导对法治建设重要工作亲自部署、重大问题亲自过问、重点环节亲自协调、重要任务亲自督办。着力解决领导干部“尊法学法守法用法”表率作用发挥不强，不善于运用法治思维法治方式想问题、做决策、办事情的问题。</w:t>
      </w:r>
    </w:p>
    <w:p w14:paraId="579F2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下一年度推进行政执法的工作思路</w:t>
      </w:r>
    </w:p>
    <w:p w14:paraId="18C25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26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今后，我们将持续把牢法治政府建设正确方向，把党的领导贯彻到法治政府建设的全过程和各方面，坚持以习近平法治思想为引领，结合各级政府关于法治政府建设相关政策，研究部署法治政府建设各项工作任务。</w:t>
      </w:r>
    </w:p>
    <w:p w14:paraId="776DD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0" w:right="0" w:firstLine="640" w:firstLineChars="20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  <w:lang w:val="en-US" w:eastAsia="zh-CN"/>
        </w:rPr>
        <w:t>1、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推动落实法治建设领导责任制。提高财政法治思维和依法行政水平，在工作中自觉运用法治思维和法治方式深化改革、推动发展。</w:t>
      </w:r>
    </w:p>
    <w:p w14:paraId="3415F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　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  <w:lang w:val="en-US" w:eastAsia="zh-CN"/>
        </w:rPr>
        <w:t>2、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进一步增强行政执法规范化建设。落实“双随机、一公开”执法检查；严格落实行政处罚自由裁量基准；执行财政行政执法人员持证上岗和资格管理制度；全面推行行政执法“三项制度”。</w:t>
      </w:r>
    </w:p>
    <w:p w14:paraId="750EB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　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进一步增强干部职工法治观念。加强学习培训，制定年度培训方案，通过集中学习、自学、法律顾问讲座等方式开展学习，将学习成果与工作内容相结合。</w:t>
      </w:r>
    </w:p>
    <w:p w14:paraId="72D47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left="0" w:right="0" w:firstLine="0"/>
        <w:jc w:val="left"/>
        <w:textAlignment w:val="baseline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　　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  <w:lang w:val="en-US" w:eastAsia="zh-CN"/>
        </w:rPr>
        <w:t>4、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424242"/>
          <w:spacing w:val="0"/>
          <w:sz w:val="32"/>
          <w:szCs w:val="32"/>
          <w:u w:val="none"/>
          <w:vertAlign w:val="baseline"/>
        </w:rPr>
        <w:t>进一步增强规范性文件管理水平。严格落实行政规范性文件制定程序，建立行政规范性文件定期清理长效机制。</w:t>
      </w:r>
    </w:p>
    <w:p w14:paraId="023B73A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4EF3A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津市市财政局</w:t>
      </w:r>
    </w:p>
    <w:p w14:paraId="2B8807D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2026年1月20日</w:t>
      </w:r>
    </w:p>
    <w:sectPr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DED54"/>
    <w:rsid w:val="0FE25955"/>
    <w:rsid w:val="2FE57A79"/>
    <w:rsid w:val="59EF9B7E"/>
    <w:rsid w:val="5A5B44AF"/>
    <w:rsid w:val="5F15940F"/>
    <w:rsid w:val="60B14507"/>
    <w:rsid w:val="73FE5258"/>
    <w:rsid w:val="7EF9E682"/>
    <w:rsid w:val="7FBF99DE"/>
    <w:rsid w:val="F1BDED54"/>
    <w:rsid w:val="F3EAC1E3"/>
    <w:rsid w:val="F74F7CB4"/>
    <w:rsid w:val="FB7C5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2721</Words>
  <Characters>2763</Characters>
  <Lines>0</Lines>
  <Paragraphs>0</Paragraphs>
  <TotalTime>17.6666666666667</TotalTime>
  <ScaleCrop>false</ScaleCrop>
  <LinksUpToDate>false</LinksUpToDate>
  <CharactersWithSpaces>2859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2025-01-17T11:32:00Z</dcterms:created>
  <dc:creator>kylin</dc:creator>
  <cp:lastModifiedBy>七七七七七七</cp:lastModifiedBy>
  <cp:lastPrinted>2026-01-21T17:10:17Z</cp:lastPrinted>
  <dcterms:modified xsi:type="dcterms:W3CDTF">2026-01-30T11:48:22Z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eyJoZGlkIjoiOGVjMzY5YjQ1NTNjMTY5NjQzNjFmNTA2ZWU3NDM4MzEiLCJ1c2VySWQiOiI0Mjg4NzIwNDgifQ==</vt:lpwstr>
  </property>
  <property fmtid="{D5CDD505-2E9C-101B-9397-08002B2CF9AE}" pid="4" name="ICV">
    <vt:lpwstr>CA1060000BDBC06C062A7C69E9BD5F81_43</vt:lpwstr>
  </property>
</Properties>
</file>