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textAlignment w:val="center"/>
        <w:rPr>
          <w:rFonts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常德市生态环境</w:t>
      </w:r>
      <w:r>
        <w:rPr>
          <w:rFonts w:hint="eastAsia" w:ascii="方正小标宋简体" w:hAnsi="方正小标宋简体" w:eastAsia="方正小标宋简体" w:cs="宋体"/>
          <w:kern w:val="0"/>
          <w:sz w:val="44"/>
          <w:szCs w:val="44"/>
          <w:lang w:eastAsia="zh-CN"/>
        </w:rPr>
        <w:t>津市分局</w:t>
      </w:r>
      <w:r>
        <w:rPr>
          <w:rFonts w:hint="eastAsia" w:ascii="方正小标宋简体" w:hAnsi="方正小标宋简体" w:eastAsia="方正小标宋简体" w:cs="宋体"/>
          <w:kern w:val="0"/>
          <w:sz w:val="44"/>
          <w:szCs w:val="44"/>
        </w:rPr>
        <w:t>涉企行政检查事项清单（</w:t>
      </w:r>
      <w:r>
        <w:rPr>
          <w:rFonts w:ascii="方正小标宋简体" w:hAnsi="方正小标宋简体" w:eastAsia="方正小标宋简体" w:cs="宋体"/>
          <w:kern w:val="0"/>
          <w:sz w:val="44"/>
          <w:szCs w:val="44"/>
        </w:rPr>
        <w:t>202</w:t>
      </w:r>
      <w:r>
        <w:rPr>
          <w:rFonts w:hint="eastAsia" w:ascii="方正小标宋简体" w:hAnsi="方正小标宋简体" w:eastAsia="方正小标宋简体" w:cs="宋体"/>
          <w:kern w:val="0"/>
          <w:sz w:val="44"/>
          <w:szCs w:val="44"/>
          <w:lang w:val="en-US" w:eastAsia="zh-CN"/>
        </w:rPr>
        <w:t>6</w:t>
      </w:r>
      <w:r>
        <w:rPr>
          <w:rFonts w:hint="eastAsia" w:ascii="方正小标宋简体" w:hAnsi="方正小标宋简体" w:eastAsia="方正小标宋简体" w:cs="宋体"/>
          <w:kern w:val="0"/>
          <w:sz w:val="44"/>
          <w:szCs w:val="44"/>
        </w:rPr>
        <w:t>版）</w:t>
      </w:r>
    </w:p>
    <w:p>
      <w:pPr>
        <w:spacing w:line="800" w:lineRule="exact"/>
        <w:textAlignment w:val="center"/>
        <w:rPr>
          <w:rFonts w:ascii="楷体_GB2312" w:hAnsi="方正楷体_GBK" w:eastAsia="楷体_GB2312" w:cs="方正楷体_GBK"/>
          <w:kern w:val="0"/>
          <w:sz w:val="28"/>
          <w:szCs w:val="28"/>
        </w:rPr>
      </w:pPr>
      <w:r>
        <w:rPr>
          <w:rFonts w:hint="eastAsia" w:ascii="楷体_GB2312" w:hAnsi="方正小标宋简体" w:eastAsia="楷体_GB2312" w:cs="宋体"/>
          <w:kern w:val="0"/>
          <w:sz w:val="28"/>
          <w:szCs w:val="28"/>
        </w:rPr>
        <w:t>制定单位：常德市生态环境</w:t>
      </w:r>
      <w:r>
        <w:rPr>
          <w:rFonts w:hint="eastAsia" w:ascii="楷体_GB2312" w:hAnsi="方正小标宋简体" w:eastAsia="楷体_GB2312" w:cs="宋体"/>
          <w:kern w:val="0"/>
          <w:sz w:val="28"/>
          <w:szCs w:val="28"/>
          <w:lang w:eastAsia="zh-CN"/>
        </w:rPr>
        <w:t>津市分</w:t>
      </w:r>
      <w:r>
        <w:rPr>
          <w:rFonts w:hint="eastAsia" w:ascii="楷体_GB2312" w:hAnsi="方正小标宋简体" w:eastAsia="楷体_GB2312" w:cs="宋体"/>
          <w:kern w:val="0"/>
          <w:sz w:val="28"/>
          <w:szCs w:val="28"/>
        </w:rPr>
        <w:t>局</w:t>
      </w:r>
    </w:p>
    <w:tbl>
      <w:tblPr>
        <w:tblStyle w:val="8"/>
        <w:tblW w:w="1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23"/>
        <w:gridCol w:w="4009"/>
        <w:gridCol w:w="1573"/>
        <w:gridCol w:w="1599"/>
        <w:gridCol w:w="1246"/>
        <w:gridCol w:w="1370"/>
        <w:gridCol w:w="1203"/>
        <w:gridCol w:w="1491"/>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88"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序号</w:t>
            </w:r>
          </w:p>
        </w:tc>
        <w:tc>
          <w:tcPr>
            <w:tcW w:w="1723"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检查事项</w:t>
            </w:r>
          </w:p>
        </w:tc>
        <w:tc>
          <w:tcPr>
            <w:tcW w:w="4009"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执法依据</w:t>
            </w:r>
          </w:p>
        </w:tc>
        <w:tc>
          <w:tcPr>
            <w:tcW w:w="1573"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检查主体（实施层级）</w:t>
            </w:r>
          </w:p>
        </w:tc>
        <w:tc>
          <w:tcPr>
            <w:tcW w:w="1599"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承办机构</w:t>
            </w:r>
          </w:p>
        </w:tc>
        <w:tc>
          <w:tcPr>
            <w:tcW w:w="1246"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检查对象</w:t>
            </w:r>
          </w:p>
        </w:tc>
        <w:tc>
          <w:tcPr>
            <w:tcW w:w="1370" w:type="dxa"/>
            <w:vAlign w:val="center"/>
          </w:tcPr>
          <w:p>
            <w:pPr>
              <w:widowControl w:val="0"/>
              <w:adjustRightInd w:val="0"/>
              <w:snapToGrid w:val="0"/>
              <w:spacing w:line="300" w:lineRule="exact"/>
              <w:jc w:val="center"/>
              <w:textAlignment w:val="center"/>
              <w:rPr>
                <w:rFonts w:ascii="仿宋" w:hAnsi="仿宋" w:eastAsia="仿宋" w:cs="仿宋"/>
                <w:b/>
                <w:kern w:val="0"/>
                <w:szCs w:val="21"/>
              </w:rPr>
            </w:pPr>
            <w:r>
              <w:rPr>
                <w:rFonts w:hint="eastAsia" w:ascii="仿宋" w:hAnsi="仿宋" w:eastAsia="仿宋" w:cs="仿宋"/>
                <w:b/>
                <w:kern w:val="0"/>
                <w:szCs w:val="21"/>
              </w:rPr>
              <w:t>检查内容</w:t>
            </w:r>
          </w:p>
        </w:tc>
        <w:tc>
          <w:tcPr>
            <w:tcW w:w="1203" w:type="dxa"/>
            <w:vAlign w:val="center"/>
          </w:tcPr>
          <w:p>
            <w:pPr>
              <w:widowControl w:val="0"/>
              <w:adjustRightInd w:val="0"/>
              <w:snapToGrid w:val="0"/>
              <w:spacing w:line="300" w:lineRule="exact"/>
              <w:jc w:val="center"/>
              <w:textAlignment w:val="center"/>
              <w:rPr>
                <w:rFonts w:ascii="仿宋" w:hAnsi="仿宋" w:eastAsia="仿宋" w:cs="仿宋"/>
                <w:b/>
                <w:kern w:val="0"/>
                <w:szCs w:val="21"/>
              </w:rPr>
            </w:pPr>
            <w:r>
              <w:rPr>
                <w:rFonts w:hint="eastAsia" w:ascii="仿宋" w:hAnsi="仿宋" w:eastAsia="仿宋" w:cs="仿宋"/>
                <w:b/>
                <w:kern w:val="0"/>
                <w:szCs w:val="21"/>
              </w:rPr>
              <w:t>检查方式</w:t>
            </w:r>
          </w:p>
        </w:tc>
        <w:tc>
          <w:tcPr>
            <w:tcW w:w="1491" w:type="dxa"/>
            <w:vAlign w:val="center"/>
          </w:tcPr>
          <w:p>
            <w:pPr>
              <w:widowControl w:val="0"/>
              <w:adjustRightInd w:val="0"/>
              <w:snapToGrid w:val="0"/>
              <w:spacing w:line="300" w:lineRule="exact"/>
              <w:jc w:val="center"/>
              <w:textAlignment w:val="center"/>
              <w:rPr>
                <w:rFonts w:ascii="仿宋" w:hAnsi="仿宋" w:eastAsia="仿宋" w:cs="仿宋"/>
                <w:b/>
                <w:kern w:val="0"/>
                <w:szCs w:val="21"/>
              </w:rPr>
            </w:pPr>
            <w:r>
              <w:rPr>
                <w:rFonts w:hint="eastAsia" w:ascii="仿宋" w:hAnsi="仿宋" w:eastAsia="仿宋" w:cs="仿宋"/>
                <w:b/>
                <w:kern w:val="0"/>
                <w:szCs w:val="21"/>
              </w:rPr>
              <w:t>检查频次</w:t>
            </w:r>
          </w:p>
        </w:tc>
        <w:tc>
          <w:tcPr>
            <w:tcW w:w="996" w:type="dxa"/>
            <w:vAlign w:val="center"/>
          </w:tcPr>
          <w:p>
            <w:pPr>
              <w:widowControl w:val="0"/>
              <w:adjustRightInd w:val="0"/>
              <w:snapToGrid w:val="0"/>
              <w:spacing w:line="300" w:lineRule="exact"/>
              <w:jc w:val="center"/>
              <w:textAlignment w:val="center"/>
              <w:rPr>
                <w:rFonts w:ascii="仿宋" w:hAnsi="仿宋" w:eastAsia="仿宋" w:cs="仿宋"/>
                <w:b/>
                <w:szCs w:val="21"/>
              </w:rPr>
            </w:pPr>
            <w:r>
              <w:rPr>
                <w:rFonts w:hint="eastAsia" w:ascii="仿宋" w:hAnsi="仿宋" w:eastAsia="仿宋" w:cs="仿宋"/>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ascii="仿宋" w:hAnsi="仿宋" w:eastAsia="仿宋" w:cs="仿宋"/>
                <w:szCs w:val="21"/>
              </w:rPr>
            </w:pPr>
            <w:r>
              <w:rPr>
                <w:rFonts w:ascii="仿宋" w:hAnsi="仿宋" w:eastAsia="仿宋" w:cs="仿宋"/>
                <w:szCs w:val="21"/>
              </w:rPr>
              <w:t>1</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对企业环境信息依法披露情况的行政检查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《企业环境信息依法披露管理办法》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2.</w:t>
            </w:r>
            <w:r>
              <w:rPr>
                <w:rFonts w:hint="eastAsia" w:ascii="仿宋" w:hAnsi="仿宋" w:eastAsia="仿宋" w:cs="仿宋"/>
                <w:b/>
                <w:bCs/>
                <w:szCs w:val="21"/>
              </w:rPr>
              <w:t>《常德市生活垃圾管理条例》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第二十七条</w:t>
            </w:r>
            <w:r>
              <w:rPr>
                <w:rFonts w:ascii="仿宋" w:hAnsi="仿宋" w:eastAsia="仿宋" w:cs="仿宋"/>
                <w:szCs w:val="21"/>
              </w:rPr>
              <w:t xml:space="preserve"> </w:t>
            </w:r>
            <w:r>
              <w:rPr>
                <w:rFonts w:hint="eastAsia" w:ascii="仿宋" w:hAnsi="仿宋" w:eastAsia="仿宋" w:cs="仿宋"/>
                <w:szCs w:val="21"/>
              </w:rPr>
              <w:t>生态环境部门应当将生活垃圾焚烧发电厂、填埋场、餐厨垃圾处理场等处理场所纳入重点排污单位名录；生活垃圾焚烧发电厂、填埋场、餐厨垃圾处理场应当依法披露环境监测等信息。</w:t>
            </w:r>
          </w:p>
        </w:tc>
        <w:tc>
          <w:tcPr>
            <w:tcW w:w="1573" w:type="dxa"/>
            <w:vAlign w:val="center"/>
          </w:tcPr>
          <w:p>
            <w:pPr>
              <w:widowControl w:val="0"/>
              <w:overflowPunct w:val="0"/>
              <w:topLinePunct/>
              <w:adjustRightInd w:val="0"/>
              <w:snapToGrid w:val="0"/>
              <w:spacing w:line="300" w:lineRule="exact"/>
              <w:rPr>
                <w:rFonts w:hint="eastAsia" w:ascii="仿宋" w:hAnsi="仿宋" w:eastAsia="仿宋" w:cs="仿宋"/>
                <w:szCs w:val="21"/>
                <w:lang w:eastAsia="zh-CN"/>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局办公室、执法局及分局承担相应职责的股站室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纳入环境信息依法披露名单的相关企业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企业环境信息依法披露情况监督检查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对排放水污染物的企业事业单位和其他生产经营者的行政检查</w:t>
            </w:r>
          </w:p>
        </w:tc>
        <w:tc>
          <w:tcPr>
            <w:tcW w:w="4009" w:type="dxa"/>
            <w:vAlign w:val="center"/>
          </w:tcPr>
          <w:p>
            <w:pPr>
              <w:widowControl w:val="0"/>
              <w:tabs>
                <w:tab w:val="center" w:pos="4153"/>
                <w:tab w:val="right" w:pos="8306"/>
              </w:tabs>
              <w:adjustRightInd w:val="0"/>
              <w:snapToGrid w:val="0"/>
              <w:spacing w:line="26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260" w:lineRule="exact"/>
              <w:ind w:firstLine="420" w:firstLineChars="200"/>
              <w:rPr>
                <w:rFonts w:ascii="仿宋" w:hAnsi="仿宋" w:eastAsia="仿宋" w:cs="仿宋"/>
                <w:b/>
                <w:bCs/>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val="0"/>
              <w:tabs>
                <w:tab w:val="center" w:pos="4153"/>
                <w:tab w:val="right" w:pos="8306"/>
              </w:tabs>
              <w:adjustRightInd w:val="0"/>
              <w:snapToGrid w:val="0"/>
              <w:spacing w:line="26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《中华人民共和国水污染防治法》</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第三十条</w:t>
            </w:r>
            <w:r>
              <w:rPr>
                <w:rFonts w:ascii="仿宋" w:hAnsi="仿宋" w:eastAsia="仿宋" w:cs="仿宋"/>
                <w:szCs w:val="21"/>
              </w:rPr>
              <w:t xml:space="preserve"> </w:t>
            </w:r>
            <w:r>
              <w:rPr>
                <w:rFonts w:hint="eastAsia" w:ascii="仿宋" w:hAnsi="仿宋" w:eastAsia="仿宋" w:cs="仿宋"/>
                <w:szCs w:val="21"/>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widowControl w:val="0"/>
              <w:tabs>
                <w:tab w:val="center" w:pos="4153"/>
                <w:tab w:val="right" w:pos="8306"/>
              </w:tabs>
              <w:adjustRightInd w:val="0"/>
              <w:snapToGrid w:val="0"/>
              <w:spacing w:line="260" w:lineRule="exact"/>
              <w:rPr>
                <w:rFonts w:ascii="仿宋" w:hAnsi="仿宋" w:eastAsia="仿宋" w:cs="仿宋"/>
                <w:b/>
                <w:bCs/>
                <w:szCs w:val="21"/>
                <w:shd w:val="clear" w:color="auto" w:fill="FFFFFF"/>
              </w:rPr>
            </w:pPr>
            <w:r>
              <w:rPr>
                <w:rFonts w:ascii="仿宋" w:hAnsi="仿宋" w:eastAsia="仿宋" w:cs="仿宋"/>
                <w:b/>
                <w:bCs/>
                <w:szCs w:val="21"/>
                <w:shd w:val="clear" w:color="auto" w:fill="FFFFFF"/>
              </w:rPr>
              <w:t>3.</w:t>
            </w:r>
            <w:r>
              <w:rPr>
                <w:rFonts w:hint="eastAsia" w:ascii="仿宋" w:hAnsi="仿宋" w:eastAsia="仿宋" w:cs="仿宋"/>
                <w:b/>
                <w:bCs/>
                <w:szCs w:val="21"/>
                <w:shd w:val="clear" w:color="auto" w:fill="FFFFFF"/>
              </w:rPr>
              <w:t>《湖南省环境保护条例》</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被检查者应当配合检查，如实反映情况，提供必要的资料。</w:t>
            </w:r>
          </w:p>
          <w:p>
            <w:pPr>
              <w:widowControl w:val="0"/>
              <w:tabs>
                <w:tab w:val="center" w:pos="4153"/>
                <w:tab w:val="right" w:pos="8306"/>
              </w:tabs>
              <w:adjustRightInd w:val="0"/>
              <w:snapToGrid w:val="0"/>
              <w:spacing w:line="260" w:lineRule="exact"/>
              <w:rPr>
                <w:rFonts w:ascii="仿宋" w:hAnsi="仿宋" w:eastAsia="仿宋" w:cs="仿宋"/>
                <w:szCs w:val="21"/>
                <w:shd w:val="clear" w:color="auto" w:fill="FFFFFF"/>
              </w:rPr>
            </w:pPr>
            <w:r>
              <w:rPr>
                <w:rFonts w:ascii="仿宋" w:hAnsi="仿宋" w:eastAsia="仿宋" w:cs="仿宋"/>
                <w:b/>
                <w:szCs w:val="21"/>
                <w:shd w:val="clear" w:color="auto" w:fill="FFFFFF"/>
              </w:rPr>
              <w:t>4.</w:t>
            </w:r>
            <w:r>
              <w:rPr>
                <w:rFonts w:hint="eastAsia" w:ascii="仿宋" w:hAnsi="仿宋" w:eastAsia="仿宋" w:cs="仿宋"/>
                <w:b/>
                <w:szCs w:val="21"/>
                <w:shd w:val="clear" w:color="auto" w:fill="FFFFFF"/>
              </w:rPr>
              <w:t>《湖南省水污染防治条例》</w:t>
            </w:r>
            <w:r>
              <w:rPr>
                <w:rFonts w:hint="eastAsia" w:ascii="仿宋" w:hAnsi="仿宋" w:eastAsia="仿宋" w:cs="仿宋"/>
                <w:szCs w:val="21"/>
                <w:shd w:val="clear" w:color="auto" w:fill="FFFFFF"/>
              </w:rPr>
              <w:t>（自</w:t>
            </w:r>
            <w:r>
              <w:rPr>
                <w:rFonts w:ascii="仿宋" w:hAnsi="仿宋" w:eastAsia="仿宋" w:cs="仿宋"/>
                <w:szCs w:val="21"/>
                <w:shd w:val="clear" w:color="auto" w:fill="FFFFFF"/>
              </w:rPr>
              <w:t>2025</w:t>
            </w:r>
            <w:r>
              <w:rPr>
                <w:rFonts w:hint="eastAsia" w:ascii="仿宋" w:hAnsi="仿宋" w:eastAsia="仿宋" w:cs="仿宋"/>
                <w:szCs w:val="21"/>
                <w:shd w:val="clear" w:color="auto" w:fill="FFFFFF"/>
              </w:rPr>
              <w:t>年</w:t>
            </w:r>
            <w:r>
              <w:rPr>
                <w:rFonts w:ascii="仿宋" w:hAnsi="仿宋" w:eastAsia="仿宋" w:cs="仿宋"/>
                <w:szCs w:val="21"/>
                <w:shd w:val="clear" w:color="auto" w:fill="FFFFFF"/>
              </w:rPr>
              <w:t>5</w:t>
            </w:r>
            <w:r>
              <w:rPr>
                <w:rFonts w:hint="eastAsia" w:ascii="仿宋" w:hAnsi="仿宋" w:eastAsia="仿宋" w:cs="仿宋"/>
                <w:szCs w:val="21"/>
                <w:shd w:val="clear" w:color="auto" w:fill="FFFFFF"/>
              </w:rPr>
              <w:t>月</w:t>
            </w:r>
            <w:r>
              <w:rPr>
                <w:rFonts w:ascii="仿宋" w:hAnsi="仿宋" w:eastAsia="仿宋" w:cs="仿宋"/>
                <w:szCs w:val="21"/>
                <w:shd w:val="clear" w:color="auto" w:fill="FFFFFF"/>
              </w:rPr>
              <w:t>1</w:t>
            </w:r>
            <w:r>
              <w:rPr>
                <w:rFonts w:hint="eastAsia" w:ascii="仿宋" w:hAnsi="仿宋" w:eastAsia="仿宋" w:cs="仿宋"/>
                <w:szCs w:val="21"/>
                <w:shd w:val="clear" w:color="auto" w:fill="FFFFFF"/>
              </w:rPr>
              <w:t>日起施行）</w:t>
            </w:r>
            <w:r>
              <w:rPr>
                <w:rFonts w:ascii="仿宋" w:hAnsi="仿宋" w:eastAsia="仿宋" w:cs="仿宋"/>
                <w:szCs w:val="21"/>
                <w:shd w:val="clear" w:color="auto" w:fill="FFFFFF"/>
              </w:rPr>
              <w:t xml:space="preserve"> </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第十三条</w:t>
            </w:r>
            <w:r>
              <w:rPr>
                <w:rFonts w:ascii="仿宋" w:hAnsi="仿宋" w:eastAsia="仿宋" w:cs="仿宋"/>
                <w:szCs w:val="21"/>
                <w:shd w:val="clear" w:color="auto" w:fill="FFFFFF"/>
              </w:rPr>
              <w:t xml:space="preserve"> </w:t>
            </w:r>
            <w:r>
              <w:rPr>
                <w:rFonts w:hint="eastAsia" w:ascii="仿宋" w:hAnsi="仿宋" w:eastAsia="仿宋" w:cs="仿宋"/>
                <w:szCs w:val="21"/>
                <w:shd w:val="clear" w:color="auto" w:fill="FFFFFF"/>
              </w:rPr>
              <w:t>设区的市（自治州）人民政府生态环境主管部门及其派出机构应当会同有关部门对废水接入城镇污水集中处理设施的工业企业开展专项评估；经评估认定污染物不能被城镇污水集中处理设施有效处理或者可能影响出水稳定达标的，督促企业整改或者限期退出城镇污水收集管网。</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排放工业废水的企业应当采取有效措施，推进工业废水循环利用，并收集和处理产生的全部废水，防止污染环境。含有毒有害水污染物的工业废水应当分类收集和处理，不得稀释排放。</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lang w:eastAsia="zh-CN"/>
              </w:rPr>
              <w:t>污</w:t>
            </w:r>
            <w:r>
              <w:rPr>
                <w:rFonts w:hint="eastAsia" w:ascii="仿宋" w:hAnsi="仿宋" w:eastAsia="仿宋" w:cs="仿宋"/>
                <w:szCs w:val="21"/>
              </w:rPr>
              <w:t>防股、执法局及分局承担相应职责的股站室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pacing w:val="-10"/>
                <w:szCs w:val="21"/>
              </w:rPr>
            </w:pPr>
            <w:r>
              <w:rPr>
                <w:rFonts w:hint="eastAsia" w:ascii="仿宋" w:hAnsi="仿宋" w:eastAsia="仿宋" w:cs="仿宋"/>
                <w:spacing w:val="-10"/>
                <w:szCs w:val="21"/>
              </w:rPr>
              <w:t>排放水污染物的企业和其他生产经营者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污染防治设施运行情况监督检查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达标排放情况监督检查</w:t>
            </w:r>
          </w:p>
        </w:tc>
        <w:tc>
          <w:tcPr>
            <w:tcW w:w="1203" w:type="dxa"/>
            <w:vAlign w:val="center"/>
          </w:tcPr>
          <w:p>
            <w:pPr>
              <w:widowControl w:val="0"/>
              <w:adjustRightInd w:val="0"/>
              <w:snapToGrid w:val="0"/>
              <w:spacing w:line="300" w:lineRule="exact"/>
              <w:textAlignment w:val="center"/>
              <w:rPr>
                <w:rFonts w:ascii="仿宋" w:hAnsi="仿宋" w:eastAsia="仿宋" w:cs="仿宋"/>
                <w:bCs/>
                <w:kern w:val="0"/>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bCs/>
                <w:kern w:val="0"/>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3" w:hRule="atLeast"/>
          <w:jc w:val="center"/>
        </w:trPr>
        <w:tc>
          <w:tcPr>
            <w:tcW w:w="788" w:type="dxa"/>
            <w:vAlign w:val="center"/>
          </w:tcPr>
          <w:p>
            <w:pPr>
              <w:widowControl w:val="0"/>
              <w:adjustRightInd w:val="0"/>
              <w:snapToGrid w:val="0"/>
              <w:spacing w:line="280" w:lineRule="exact"/>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3</w:t>
            </w:r>
          </w:p>
        </w:tc>
        <w:tc>
          <w:tcPr>
            <w:tcW w:w="1723"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对城镇污水集中处理设施的出水水质和水量的行政检查</w:t>
            </w:r>
          </w:p>
        </w:tc>
        <w:tc>
          <w:tcPr>
            <w:tcW w:w="4009" w:type="dxa"/>
            <w:vAlign w:val="center"/>
          </w:tcPr>
          <w:p>
            <w:pPr>
              <w:widowControl w:val="0"/>
              <w:tabs>
                <w:tab w:val="center" w:pos="4153"/>
                <w:tab w:val="right" w:pos="8306"/>
              </w:tabs>
              <w:adjustRightInd w:val="0"/>
              <w:snapToGrid w:val="0"/>
              <w:spacing w:line="260" w:lineRule="exact"/>
              <w:rPr>
                <w:rFonts w:ascii="仿宋" w:hAnsi="仿宋" w:eastAsia="仿宋" w:cs="仿宋"/>
                <w:b/>
                <w:szCs w:val="21"/>
              </w:rPr>
            </w:pPr>
            <w:r>
              <w:rPr>
                <w:rFonts w:ascii="仿宋" w:hAnsi="仿宋" w:eastAsia="仿宋" w:cs="仿宋"/>
                <w:b/>
                <w:szCs w:val="21"/>
              </w:rPr>
              <w:t>1.</w:t>
            </w:r>
            <w:r>
              <w:rPr>
                <w:rFonts w:hint="eastAsia" w:ascii="仿宋" w:hAnsi="仿宋" w:eastAsia="仿宋" w:cs="仿宋"/>
                <w:b/>
                <w:szCs w:val="21"/>
              </w:rPr>
              <w:t>《中华人民共和国水污染防治法》</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第五十条</w:t>
            </w:r>
            <w:r>
              <w:rPr>
                <w:rFonts w:ascii="仿宋" w:hAnsi="仿宋" w:eastAsia="仿宋" w:cs="仿宋"/>
                <w:szCs w:val="21"/>
              </w:rPr>
              <w:t xml:space="preserve"> </w:t>
            </w:r>
            <w:r>
              <w:rPr>
                <w:rFonts w:hint="eastAsia" w:ascii="仿宋" w:hAnsi="仿宋" w:eastAsia="仿宋" w:cs="仿宋"/>
                <w:szCs w:val="21"/>
              </w:rPr>
              <w:t>向城镇污水集中处理设施排放水污染物，应当符合国家或者地方规定的水污染物排放标准。</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城镇污水集中处理设施的运营单位，应当对城镇污水集中处理设施的出水水质负责。</w:t>
            </w:r>
          </w:p>
          <w:p>
            <w:pPr>
              <w:widowControl w:val="0"/>
              <w:tabs>
                <w:tab w:val="center" w:pos="4153"/>
                <w:tab w:val="right" w:pos="8306"/>
              </w:tabs>
              <w:adjustRightInd w:val="0"/>
              <w:snapToGrid w:val="0"/>
              <w:spacing w:line="260" w:lineRule="exact"/>
              <w:ind w:firstLine="420" w:firstLineChars="200"/>
              <w:rPr>
                <w:rFonts w:ascii="仿宋" w:hAnsi="仿宋" w:eastAsia="仿宋" w:cs="仿宋"/>
                <w:szCs w:val="21"/>
              </w:rPr>
            </w:pPr>
            <w:r>
              <w:rPr>
                <w:rFonts w:hint="eastAsia" w:ascii="仿宋" w:hAnsi="仿宋" w:eastAsia="仿宋" w:cs="仿宋"/>
                <w:szCs w:val="21"/>
              </w:rPr>
              <w:t>环境保护主管部门应当对城镇污水集中处理设施的出水水质和水量进行监督检查。</w:t>
            </w:r>
          </w:p>
          <w:p>
            <w:pPr>
              <w:widowControl w:val="0"/>
              <w:tabs>
                <w:tab w:val="center" w:pos="4153"/>
                <w:tab w:val="right" w:pos="8306"/>
              </w:tabs>
              <w:adjustRightInd w:val="0"/>
              <w:snapToGrid w:val="0"/>
              <w:spacing w:line="260" w:lineRule="exact"/>
              <w:rPr>
                <w:rFonts w:ascii="仿宋" w:hAnsi="仿宋" w:eastAsia="仿宋" w:cs="仿宋"/>
                <w:szCs w:val="21"/>
              </w:rPr>
            </w:pPr>
            <w:r>
              <w:rPr>
                <w:rFonts w:ascii="仿宋" w:hAnsi="仿宋" w:eastAsia="仿宋" w:cs="仿宋"/>
                <w:b/>
                <w:szCs w:val="21"/>
              </w:rPr>
              <w:t>2.</w:t>
            </w:r>
            <w:r>
              <w:rPr>
                <w:rFonts w:hint="eastAsia" w:ascii="仿宋" w:hAnsi="仿宋" w:eastAsia="仿宋" w:cs="仿宋"/>
                <w:b/>
                <w:szCs w:val="21"/>
              </w:rPr>
              <w:t>《湖南省城镇污水管网建设运行管理若干规定》</w:t>
            </w:r>
            <w:r>
              <w:rPr>
                <w:rFonts w:ascii="仿宋" w:hAnsi="仿宋" w:eastAsia="仿宋" w:cs="仿宋"/>
                <w:b/>
                <w:szCs w:val="21"/>
              </w:rPr>
              <w:t xml:space="preserve">  </w:t>
            </w:r>
            <w:r>
              <w:rPr>
                <w:rFonts w:hint="eastAsia" w:ascii="仿宋" w:hAnsi="仿宋" w:eastAsia="仿宋" w:cs="仿宋"/>
                <w:szCs w:val="21"/>
              </w:rPr>
              <w:t>第一条第三款：县级以上人民政府发展改革、财政、自然资源、生态环境、水利等部门按照各自职责，做好相关工作。</w:t>
            </w:r>
          </w:p>
        </w:tc>
        <w:tc>
          <w:tcPr>
            <w:tcW w:w="1573"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污防股、执法局及分局承担相应职责的股站室</w:t>
            </w:r>
          </w:p>
        </w:tc>
        <w:tc>
          <w:tcPr>
            <w:tcW w:w="1246"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城镇污水集中处理设施的运营企业</w:t>
            </w:r>
          </w:p>
        </w:tc>
        <w:tc>
          <w:tcPr>
            <w:tcW w:w="1370" w:type="dxa"/>
            <w:vAlign w:val="center"/>
          </w:tcPr>
          <w:p>
            <w:pPr>
              <w:widowControl w:val="0"/>
              <w:overflowPunct w:val="0"/>
              <w:topLinePunct/>
              <w:adjustRightInd w:val="0"/>
              <w:snapToGrid w:val="0"/>
              <w:spacing w:line="280" w:lineRule="exact"/>
              <w:rPr>
                <w:rFonts w:ascii="仿宋" w:hAnsi="仿宋" w:eastAsia="仿宋" w:cs="仿宋"/>
                <w:szCs w:val="21"/>
              </w:rPr>
            </w:pPr>
            <w:r>
              <w:rPr>
                <w:rFonts w:hint="eastAsia" w:ascii="仿宋" w:hAnsi="仿宋" w:eastAsia="仿宋" w:cs="仿宋"/>
                <w:szCs w:val="21"/>
              </w:rPr>
              <w:t>达标排放情况监督检查</w:t>
            </w:r>
          </w:p>
        </w:tc>
        <w:tc>
          <w:tcPr>
            <w:tcW w:w="1203" w:type="dxa"/>
            <w:vAlign w:val="center"/>
          </w:tcPr>
          <w:p>
            <w:pPr>
              <w:widowControl w:val="0"/>
              <w:adjustRightInd w:val="0"/>
              <w:snapToGrid w:val="0"/>
              <w:spacing w:line="28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28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788" w:type="dxa"/>
            <w:vAlign w:val="center"/>
          </w:tcPr>
          <w:p>
            <w:pPr>
              <w:widowControl w:val="0"/>
              <w:adjustRightInd w:val="0"/>
              <w:snapToGrid w:val="0"/>
              <w:spacing w:line="300" w:lineRule="exact"/>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4</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对排放大气污染物的企业事业单位和其他生产经营者的行政检查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b/>
                <w:bCs/>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第二十九条</w:t>
            </w:r>
            <w:r>
              <w:rPr>
                <w:rFonts w:ascii="仿宋" w:hAnsi="仿宋" w:eastAsia="仿宋" w:cs="仿宋"/>
                <w:szCs w:val="21"/>
              </w:rPr>
              <w:t xml:space="preserve"> </w:t>
            </w:r>
            <w:r>
              <w:rPr>
                <w:rFonts w:hint="eastAsia" w:ascii="仿宋" w:hAnsi="仿宋" w:eastAsia="仿宋" w:cs="仿宋"/>
                <w:szCs w:val="21"/>
              </w:rPr>
              <w:t>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widowControl w:val="0"/>
              <w:tabs>
                <w:tab w:val="center" w:pos="4153"/>
                <w:tab w:val="right" w:pos="8306"/>
              </w:tabs>
              <w:adjustRightInd w:val="0"/>
              <w:snapToGrid w:val="0"/>
              <w:spacing w:line="300" w:lineRule="exact"/>
              <w:rPr>
                <w:rFonts w:ascii="仿宋" w:hAnsi="仿宋" w:eastAsia="仿宋" w:cs="仿宋"/>
                <w:b/>
                <w:bCs/>
                <w:szCs w:val="21"/>
                <w:shd w:val="clear" w:color="auto" w:fill="FFFFFF"/>
              </w:rPr>
            </w:pPr>
            <w:r>
              <w:rPr>
                <w:rFonts w:ascii="仿宋" w:hAnsi="仿宋" w:eastAsia="仿宋" w:cs="仿宋"/>
                <w:b/>
                <w:bCs/>
                <w:szCs w:val="21"/>
                <w:shd w:val="clear" w:color="auto" w:fill="FFFFFF"/>
              </w:rPr>
              <w:t>3.</w:t>
            </w:r>
            <w:r>
              <w:rPr>
                <w:rFonts w:hint="eastAsia" w:ascii="仿宋" w:hAnsi="仿宋" w:eastAsia="仿宋" w:cs="仿宋"/>
                <w:b/>
                <w:bCs/>
                <w:szCs w:val="21"/>
                <w:shd w:val="clear" w:color="auto" w:fill="FFFFFF"/>
              </w:rPr>
              <w:t>《湖南省环境保护条例》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shd w:val="clear" w:color="auto" w:fill="FFFFFF"/>
              </w:rPr>
              <w:t>被检查者应当配合检查，如实反映情况，提供必要的资料。</w:t>
            </w:r>
          </w:p>
          <w:p>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auto"/>
                <w:szCs w:val="21"/>
              </w:rPr>
            </w:pPr>
            <w:r>
              <w:rPr>
                <w:rFonts w:hint="eastAsia" w:ascii="仿宋" w:hAnsi="仿宋" w:eastAsia="仿宋" w:cs="仿宋"/>
                <w:szCs w:val="21"/>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w:t>
            </w:r>
            <w:r>
              <w:rPr>
                <w:rFonts w:hint="eastAsia" w:ascii="仿宋" w:hAnsi="仿宋" w:eastAsia="仿宋" w:cs="仿宋"/>
                <w:color w:val="auto"/>
                <w:szCs w:val="21"/>
              </w:rPr>
              <w:t>公布。</w:t>
            </w:r>
          </w:p>
          <w:p>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
                <w:bCs/>
                <w:color w:val="auto"/>
                <w:kern w:val="2"/>
                <w:sz w:val="21"/>
                <w:szCs w:val="21"/>
                <w:lang w:val="en-US" w:eastAsia="zh-CN" w:bidi="ar"/>
              </w:rPr>
            </w:pPr>
            <w:r>
              <w:rPr>
                <w:rFonts w:hint="eastAsia" w:ascii="仿宋" w:hAnsi="仿宋" w:eastAsia="仿宋" w:cs="仿宋"/>
                <w:b/>
                <w:bCs/>
                <w:color w:val="auto"/>
                <w:kern w:val="2"/>
                <w:sz w:val="21"/>
                <w:szCs w:val="21"/>
                <w:lang w:val="en-US" w:eastAsia="zh-CN" w:bidi="ar"/>
              </w:rPr>
              <w:t>4.《湖南省大气污染防治条例》（2020年修正）</w:t>
            </w:r>
          </w:p>
          <w:p>
            <w:pPr>
              <w:keepNext w:val="0"/>
              <w:keepLines w:val="0"/>
              <w:widowControl w:val="0"/>
              <w:suppressLineNumbers w:val="0"/>
              <w:spacing w:before="0" w:beforeLines="0" w:beforeAutospacing="0" w:after="0" w:afterLines="0" w:afterAutospacing="0"/>
              <w:ind w:left="0" w:leftChars="0" w:right="0" w:rightChars="0" w:firstLine="420" w:firstLineChars="200"/>
              <w:jc w:val="both"/>
              <w:rPr>
                <w:rFonts w:hint="eastAsia" w:ascii="仿宋" w:hAnsi="仿宋" w:eastAsia="仿宋" w:cs="仿宋"/>
                <w:color w:val="auto"/>
                <w:kern w:val="2"/>
                <w:sz w:val="21"/>
                <w:szCs w:val="21"/>
                <w:lang w:val="en-US" w:eastAsia="zh-CN" w:bidi="ar"/>
              </w:rPr>
            </w:pPr>
            <w:r>
              <w:rPr>
                <w:rFonts w:hint="eastAsia" w:ascii="仿宋" w:hAnsi="仿宋" w:eastAsia="仿宋" w:cs="仿宋"/>
                <w:color w:val="auto"/>
                <w:kern w:val="2"/>
                <w:sz w:val="21"/>
                <w:szCs w:val="21"/>
                <w:lang w:val="en-US" w:eastAsia="zh-CN" w:bidi="ar"/>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
                <w:bCs/>
                <w:color w:val="auto"/>
                <w:kern w:val="2"/>
                <w:sz w:val="21"/>
                <w:szCs w:val="21"/>
                <w:lang w:val="en-US" w:eastAsia="zh-CN" w:bidi="ar"/>
              </w:rPr>
            </w:pPr>
            <w:r>
              <w:rPr>
                <w:rFonts w:hint="eastAsia" w:ascii="仿宋" w:hAnsi="仿宋" w:eastAsia="仿宋" w:cs="仿宋"/>
                <w:b/>
                <w:bCs/>
                <w:color w:val="auto"/>
                <w:kern w:val="2"/>
                <w:sz w:val="21"/>
                <w:szCs w:val="21"/>
                <w:lang w:val="en-US" w:eastAsia="zh-CN" w:bidi="ar"/>
              </w:rPr>
              <w:t>5.《湖南省重污染天气防治若干规定》（2024年1月1日施行）</w:t>
            </w:r>
          </w:p>
          <w:p>
            <w:pPr>
              <w:keepNext w:val="0"/>
              <w:keepLines w:val="0"/>
              <w:widowControl w:val="0"/>
              <w:suppressLineNumbers w:val="0"/>
              <w:spacing w:before="0" w:beforeLines="0" w:beforeAutospacing="0" w:after="0" w:afterLines="0" w:afterAutospacing="0"/>
              <w:ind w:left="0" w:leftChars="0" w:right="0" w:rightChars="0" w:firstLine="420" w:firstLineChars="200"/>
              <w:jc w:val="both"/>
              <w:rPr>
                <w:rFonts w:hint="eastAsia" w:ascii="仿宋" w:hAnsi="仿宋" w:eastAsia="仿宋" w:cs="仿宋"/>
                <w:color w:val="auto"/>
                <w:kern w:val="2"/>
                <w:sz w:val="21"/>
                <w:szCs w:val="21"/>
                <w:lang w:val="en-US" w:eastAsia="zh-CN" w:bidi="ar"/>
              </w:rPr>
            </w:pPr>
            <w:r>
              <w:rPr>
                <w:rFonts w:hint="eastAsia" w:ascii="仿宋" w:hAnsi="仿宋" w:eastAsia="仿宋" w:cs="仿宋"/>
                <w:color w:val="auto"/>
                <w:kern w:val="2"/>
                <w:sz w:val="21"/>
                <w:szCs w:val="21"/>
                <w:lang w:val="en-US" w:eastAsia="zh-CN" w:bidi="ar"/>
              </w:rPr>
              <w:t>第一条第二款 县级以上人民政府生态环境主管部门对重污染天气防治实施统一监督管理，县级以上人民政府其他有关部门在各自职责范围内对重污染天气防治实施监督管理。</w:t>
            </w:r>
          </w:p>
          <w:p>
            <w:pPr>
              <w:widowControl w:val="0"/>
              <w:tabs>
                <w:tab w:val="center" w:pos="4153"/>
                <w:tab w:val="right" w:pos="8306"/>
              </w:tabs>
              <w:adjustRightInd w:val="0"/>
              <w:snapToGrid w:val="0"/>
              <w:spacing w:line="300" w:lineRule="exact"/>
              <w:rPr>
                <w:rFonts w:ascii="仿宋" w:hAnsi="仿宋" w:eastAsia="仿宋" w:cs="仿宋"/>
                <w:b/>
                <w:szCs w:val="21"/>
              </w:rPr>
            </w:pPr>
            <w:r>
              <w:rPr>
                <w:rFonts w:hint="default" w:ascii="仿宋" w:hAnsi="仿宋" w:eastAsia="仿宋" w:cs="仿宋"/>
                <w:b/>
                <w:szCs w:val="21"/>
                <w:lang w:val="en"/>
              </w:rPr>
              <w:t>6</w:t>
            </w:r>
            <w:r>
              <w:rPr>
                <w:rFonts w:ascii="仿宋" w:hAnsi="仿宋" w:eastAsia="仿宋" w:cs="仿宋"/>
                <w:b/>
                <w:szCs w:val="21"/>
              </w:rPr>
              <w:t>.</w:t>
            </w:r>
            <w:r>
              <w:rPr>
                <w:rFonts w:hint="eastAsia" w:ascii="仿宋" w:hAnsi="仿宋" w:eastAsia="仿宋" w:cs="仿宋"/>
                <w:b/>
                <w:szCs w:val="21"/>
              </w:rPr>
              <w:t>《湖南省秸秆综合利用若干规定》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第三条第三款</w:t>
            </w:r>
            <w:r>
              <w:rPr>
                <w:rFonts w:ascii="仿宋" w:hAnsi="仿宋" w:eastAsia="仿宋" w:cs="仿宋"/>
                <w:szCs w:val="21"/>
              </w:rPr>
              <w:t xml:space="preserve"> </w:t>
            </w:r>
            <w:r>
              <w:rPr>
                <w:rFonts w:hint="eastAsia" w:ascii="仿宋" w:hAnsi="仿宋" w:eastAsia="仿宋" w:cs="仿宋"/>
                <w:szCs w:val="21"/>
              </w:rPr>
              <w:t>县级以上人民政府农业农村主管部门负责本行政区域内秸秆综合利用的指导和监督管理工作，生态环境主管部门负责本行政区域内露天焚烧秸秆的指导和监督管理工作。</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第五条第三款</w:t>
            </w:r>
            <w:r>
              <w:rPr>
                <w:rFonts w:ascii="仿宋" w:hAnsi="仿宋" w:eastAsia="仿宋" w:cs="仿宋"/>
                <w:szCs w:val="21"/>
              </w:rPr>
              <w:t xml:space="preserve"> </w:t>
            </w:r>
            <w:r>
              <w:rPr>
                <w:rFonts w:hint="eastAsia" w:ascii="仿宋" w:hAnsi="仿宋" w:eastAsia="仿宋" w:cs="仿宋"/>
                <w:szCs w:val="21"/>
              </w:rPr>
              <w:t>对禁烧区带有经检疫确需焚烧的病虫害的秸秆，在县级人民政府农业农村、生态环境主管部门采取安全可控措施后，可以露天焚烧。</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default" w:ascii="仿宋" w:hAnsi="仿宋" w:eastAsia="仿宋" w:cs="仿宋"/>
                <w:b/>
                <w:bCs/>
                <w:szCs w:val="21"/>
                <w:lang w:val="en"/>
              </w:rPr>
              <w:t>7</w:t>
            </w:r>
            <w:r>
              <w:rPr>
                <w:rFonts w:ascii="仿宋" w:hAnsi="仿宋" w:eastAsia="仿宋" w:cs="仿宋"/>
                <w:b/>
                <w:bCs/>
                <w:szCs w:val="21"/>
              </w:rPr>
              <w:t>.</w:t>
            </w:r>
            <w:r>
              <w:rPr>
                <w:rFonts w:hint="eastAsia" w:ascii="仿宋" w:hAnsi="仿宋" w:eastAsia="仿宋" w:cs="仿宋"/>
                <w:b/>
                <w:bCs/>
                <w:szCs w:val="21"/>
              </w:rPr>
              <w:t>《常德市大气污染防治若干规定》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w:t>
            </w:r>
            <w:r>
              <w:rPr>
                <w:rFonts w:ascii="仿宋" w:hAnsi="仿宋" w:eastAsia="仿宋" w:cs="仿宋"/>
                <w:szCs w:val="21"/>
              </w:rPr>
              <w:t> </w:t>
            </w:r>
            <w:r>
              <w:rPr>
                <w:rFonts w:hint="eastAsia" w:ascii="仿宋" w:hAnsi="仿宋" w:eastAsia="仿宋" w:cs="仿宋"/>
                <w:szCs w:val="21"/>
              </w:rPr>
              <w:t>生态环境部门对本行政区域内的大气污染防治工作实施统一监督管理。　　</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第七条</w:t>
            </w:r>
            <w:r>
              <w:rPr>
                <w:rFonts w:ascii="仿宋" w:hAnsi="仿宋" w:eastAsia="仿宋" w:cs="仿宋"/>
                <w:szCs w:val="21"/>
              </w:rPr>
              <w:t> </w:t>
            </w:r>
            <w:r>
              <w:rPr>
                <w:rFonts w:hint="eastAsia" w:ascii="仿宋" w:hAnsi="仿宋" w:eastAsia="仿宋" w:cs="仿宋"/>
                <w:szCs w:val="21"/>
              </w:rPr>
              <w:t>生态环境部门应当监督指导产生挥发性有机物废气的生产经营企业，调整工艺和时间，实行错峰生产。</w:t>
            </w:r>
          </w:p>
        </w:tc>
        <w:tc>
          <w:tcPr>
            <w:tcW w:w="1573"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污防股、执法局及分局承担相应职责的股站室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排放大气污染物的企业和其他生产经营者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相关法律法规和排污许可规定事项监督检查</w:t>
            </w:r>
          </w:p>
        </w:tc>
        <w:tc>
          <w:tcPr>
            <w:tcW w:w="1203" w:type="dxa"/>
            <w:vAlign w:val="center"/>
          </w:tcPr>
          <w:p>
            <w:pPr>
              <w:widowControl w:val="0"/>
              <w:adjustRightInd w:val="0"/>
              <w:snapToGrid w:val="0"/>
              <w:spacing w:line="300" w:lineRule="exact"/>
              <w:textAlignment w:val="center"/>
              <w:rPr>
                <w:rFonts w:ascii="仿宋" w:hAnsi="仿宋" w:eastAsia="仿宋" w:cs="仿宋"/>
                <w:bCs/>
                <w:kern w:val="0"/>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bCs/>
                <w:kern w:val="0"/>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eastAsia" w:ascii="仿宋" w:hAnsi="仿宋" w:eastAsia="仿宋" w:cs="仿宋"/>
                <w:kern w:val="0"/>
                <w:szCs w:val="21"/>
                <w:lang w:eastAsia="zh-CN"/>
              </w:rPr>
            </w:pPr>
            <w:r>
              <w:rPr>
                <w:rFonts w:hint="eastAsia" w:ascii="仿宋" w:hAnsi="仿宋" w:eastAsia="仿宋" w:cs="仿宋"/>
                <w:szCs w:val="21"/>
                <w:lang w:val="en-US" w:eastAsia="zh-CN"/>
              </w:rPr>
              <w:t>5</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对机动车排放检验机构的排放检验情况的行政检查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rPr>
              <w:t>生态环境主管部门和认证认可监督管理部门应当对机动车排放检验机构的排放检验情况进行监督检查。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污防股、执法局及分局承担相应职责的股站室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机动车排放检验机构（经营主体）</w:t>
            </w:r>
          </w:p>
        </w:tc>
        <w:tc>
          <w:tcPr>
            <w:tcW w:w="1370" w:type="dxa"/>
            <w:vAlign w:val="center"/>
          </w:tcPr>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对是否未经检验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直接出具检验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数据和结果的监督检查</w:t>
            </w:r>
          </w:p>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对是否篡改、伪造、编造原始数据出具检验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数据和结果的监督检查</w:t>
            </w:r>
          </w:p>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对检验</w:t>
            </w:r>
            <w:r>
              <w:rPr>
                <w:rFonts w:ascii="仿宋" w:hAnsi="仿宋" w:eastAsia="仿宋" w:cs="仿宋"/>
                <w:szCs w:val="21"/>
              </w:rPr>
              <w:t>(</w:t>
            </w:r>
            <w:r>
              <w:rPr>
                <w:rFonts w:hint="eastAsia" w:ascii="仿宋" w:hAnsi="仿宋" w:eastAsia="仿宋" w:cs="仿宋"/>
                <w:szCs w:val="21"/>
              </w:rPr>
              <w:t>监测</w:t>
            </w:r>
            <w:r>
              <w:rPr>
                <w:rFonts w:ascii="仿宋" w:hAnsi="仿宋" w:eastAsia="仿宋" w:cs="仿宋"/>
                <w:szCs w:val="21"/>
              </w:rPr>
              <w:t>)</w:t>
            </w:r>
            <w:r>
              <w:rPr>
                <w:rFonts w:hint="eastAsia" w:ascii="仿宋" w:hAnsi="仿宋" w:eastAsia="仿宋" w:cs="仿宋"/>
                <w:szCs w:val="21"/>
              </w:rPr>
              <w:t>结果是否与原始数据不一致且无法溯源的监督检查</w:t>
            </w:r>
          </w:p>
          <w:p>
            <w:pPr>
              <w:widowControl w:val="0"/>
              <w:overflowPunct w:val="0"/>
              <w:topLinePunct/>
              <w:adjustRightInd w:val="0"/>
              <w:snapToGrid w:val="0"/>
              <w:spacing w:line="280" w:lineRule="exact"/>
              <w:rPr>
                <w:rFonts w:ascii="仿宋" w:hAnsi="仿宋" w:eastAsia="仿宋" w:cs="仿宋"/>
                <w:szCs w:val="21"/>
              </w:rPr>
            </w:pPr>
            <w:r>
              <w:rPr>
                <w:rFonts w:ascii="仿宋" w:hAnsi="仿宋" w:eastAsia="仿宋" w:cs="仿宋"/>
                <w:snapToGrid w:val="0"/>
                <w:spacing w:val="-6"/>
                <w:kern w:val="0"/>
                <w:szCs w:val="21"/>
              </w:rPr>
              <w:t>4.</w:t>
            </w:r>
            <w:r>
              <w:rPr>
                <w:rFonts w:hint="eastAsia" w:ascii="仿宋" w:hAnsi="仿宋" w:eastAsia="仿宋" w:cs="仿宋"/>
                <w:snapToGrid w:val="0"/>
                <w:spacing w:val="-6"/>
                <w:kern w:val="0"/>
                <w:szCs w:val="21"/>
              </w:rPr>
              <w:t>对是否出具虚假数据、结果或报告，是否严格执行国家、省相关规范的监督检查</w:t>
            </w:r>
          </w:p>
        </w:tc>
        <w:tc>
          <w:tcPr>
            <w:tcW w:w="1203"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rPr>
                <w:rFonts w:ascii="仿宋" w:hAnsi="仿宋" w:eastAsia="仿宋" w:cs="仿宋"/>
                <w:szCs w:val="21"/>
                <w:highlight w:val="yellow"/>
              </w:rPr>
            </w:pPr>
            <w:r>
              <w:rPr>
                <w:rFonts w:hint="eastAsia" w:ascii="仿宋" w:hAnsi="仿宋" w:eastAsia="仿宋" w:cs="仿宋"/>
                <w:szCs w:val="21"/>
              </w:rPr>
              <w:t>部分联合检查（请大气处列明联合检查的内容及单位）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1"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eastAsia" w:ascii="仿宋" w:hAnsi="仿宋" w:eastAsia="仿宋" w:cs="仿宋"/>
                <w:kern w:val="0"/>
                <w:szCs w:val="21"/>
                <w:lang w:eastAsia="zh-CN"/>
              </w:rPr>
            </w:pPr>
            <w:r>
              <w:rPr>
                <w:rFonts w:hint="eastAsia" w:ascii="仿宋" w:hAnsi="仿宋" w:eastAsia="仿宋" w:cs="仿宋"/>
                <w:szCs w:val="21"/>
                <w:lang w:val="en-US" w:eastAsia="zh-CN"/>
              </w:rPr>
              <w:t>6</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对非道路移动机械的大气污染物排放状况的行政检查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第五十六条</w:t>
            </w:r>
            <w:r>
              <w:rPr>
                <w:rFonts w:ascii="仿宋" w:hAnsi="仿宋" w:eastAsia="仿宋" w:cs="仿宋"/>
                <w:szCs w:val="21"/>
              </w:rPr>
              <w:t xml:space="preserve"> </w:t>
            </w:r>
            <w:r>
              <w:rPr>
                <w:rFonts w:hint="eastAsia" w:ascii="仿宋" w:hAnsi="仿宋" w:eastAsia="仿宋" w:cs="仿宋"/>
                <w:szCs w:val="21"/>
              </w:rPr>
              <w:t>生态环境主管部门应当会同交通运输、住房城乡建设、农业行政、水行政等有关部门对非道路移动机械的大气污染物排放状况进行监督检查，排放不合格的，不得使用。</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《湖南省大气污染防治条例》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第三条第一款</w:t>
            </w:r>
            <w:r>
              <w:rPr>
                <w:rFonts w:ascii="仿宋" w:hAnsi="仿宋" w:eastAsia="仿宋" w:cs="仿宋"/>
                <w:szCs w:val="21"/>
              </w:rPr>
              <w:t xml:space="preserve"> </w:t>
            </w:r>
            <w:r>
              <w:rPr>
                <w:rFonts w:hint="eastAsia" w:ascii="仿宋" w:hAnsi="仿宋" w:eastAsia="仿宋" w:cs="仿宋"/>
                <w:szCs w:val="21"/>
              </w:rPr>
              <w:t>县级以上人民政府生态环境主管部门对大气污染防治实施统一监督管理。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第二十一条</w:t>
            </w:r>
            <w:r>
              <w:rPr>
                <w:rFonts w:ascii="仿宋" w:hAnsi="仿宋" w:eastAsia="仿宋" w:cs="仿宋"/>
                <w:szCs w:val="21"/>
              </w:rPr>
              <w:t xml:space="preserve"> </w:t>
            </w:r>
            <w:r>
              <w:rPr>
                <w:rFonts w:hint="eastAsia" w:ascii="仿宋" w:hAnsi="仿宋" w:eastAsia="仿宋" w:cs="仿宋"/>
                <w:szCs w:val="21"/>
              </w:rPr>
              <w:t>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《常德市大气污染防治若干规定》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第八条</w:t>
            </w:r>
            <w:r>
              <w:rPr>
                <w:rFonts w:ascii="仿宋" w:hAnsi="仿宋" w:eastAsia="仿宋" w:cs="仿宋"/>
                <w:szCs w:val="21"/>
              </w:rPr>
              <w:t> </w:t>
            </w:r>
            <w:r>
              <w:rPr>
                <w:rFonts w:hint="eastAsia" w:ascii="仿宋" w:hAnsi="仿宋" w:eastAsia="仿宋" w:cs="仿宋"/>
                <w:szCs w:val="21"/>
              </w:rPr>
              <w:t>实行非道路移动机械登记制度。非道路移动机械所有人或者使用人应当在三十日内到生态环境部门申请编码登记。</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p>
        </w:tc>
        <w:tc>
          <w:tcPr>
            <w:tcW w:w="1573"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污防股、执法局及分局承担相应职责的股站室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在用非道路移动机械</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对在用非道路移动机械的大气污染物排放状况进行监督检查，排放不合格的，不得使用</w:t>
            </w:r>
          </w:p>
        </w:tc>
        <w:tc>
          <w:tcPr>
            <w:tcW w:w="1203"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现场检查</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1723"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对在用机动车大气污染物排放状况的行政检查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《中华人民共和国大气污染防治法》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第五十三条第二款</w:t>
            </w:r>
            <w:r>
              <w:rPr>
                <w:rFonts w:ascii="仿宋" w:hAnsi="仿宋" w:eastAsia="仿宋" w:cs="仿宋"/>
                <w:szCs w:val="21"/>
              </w:rPr>
              <w:t xml:space="preserve"> </w:t>
            </w:r>
            <w:r>
              <w:rPr>
                <w:rFonts w:hint="eastAsia" w:ascii="仿宋" w:hAnsi="仿宋" w:eastAsia="仿宋" w:cs="仿宋"/>
                <w:szCs w:val="21"/>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《湖南省重污染天气防治若干规定》</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第八条第二款</w:t>
            </w:r>
            <w:r>
              <w:rPr>
                <w:rFonts w:ascii="仿宋" w:hAnsi="仿宋" w:eastAsia="仿宋" w:cs="仿宋"/>
                <w:szCs w:val="21"/>
              </w:rPr>
              <w:t xml:space="preserve"> </w:t>
            </w:r>
            <w:r>
              <w:rPr>
                <w:rFonts w:hint="eastAsia" w:ascii="仿宋" w:hAnsi="仿宋" w:eastAsia="仿宋" w:cs="仿宋"/>
                <w:szCs w:val="21"/>
              </w:rPr>
              <w:t>县级以上人民政府生态环境主管部门可以会同公安机关交通管理部门，在不影响正常通行的情况下，通过遥感监测等技术手段对在道路上行驶的机动车的污染物排放情况进行监督抽测。</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大污防股、执法局及分局承担相应职责的股站室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在用机动车</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重点检查重型柴油货车</w:t>
            </w:r>
            <w:r>
              <w:rPr>
                <w:rFonts w:ascii="仿宋" w:hAnsi="仿宋" w:eastAsia="仿宋" w:cs="仿宋"/>
                <w:szCs w:val="21"/>
              </w:rPr>
              <w:t>OBD</w:t>
            </w:r>
            <w:r>
              <w:rPr>
                <w:rFonts w:hint="eastAsia" w:ascii="仿宋" w:hAnsi="仿宋" w:eastAsia="仿宋" w:cs="仿宋"/>
                <w:szCs w:val="21"/>
              </w:rPr>
              <w:t>屏蔽、刷机、尾气后处理装置簒改、不规范使用尿素以及尾气抽测等</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8</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kern w:val="0"/>
                <w:szCs w:val="21"/>
              </w:rPr>
              <w:t>对产生、收集、贮存、转移（运输）、利用、处置固体废物、危险废物的单位和其他生产经营者的行政检查（涉及行政许可检查除外）</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《中华人民共和国固体废物污染环境防治法》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第二十六条</w:t>
            </w:r>
            <w:r>
              <w:rPr>
                <w:rFonts w:ascii="仿宋" w:hAnsi="仿宋" w:eastAsia="仿宋" w:cs="仿宋"/>
                <w:szCs w:val="21"/>
              </w:rPr>
              <w:t xml:space="preserve"> </w:t>
            </w:r>
            <w:r>
              <w:rPr>
                <w:rFonts w:hint="eastAsia" w:ascii="仿宋" w:hAnsi="仿宋" w:eastAsia="仿宋" w:cs="仿宋"/>
                <w:szCs w:val="21"/>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实施现场检查，可以采取现场监测、采集样品、查阅或者复制与固体废物污染环境防治相关的资料等措施。检查人员进行现场检查，应当出示证件。对现场检查中知悉的商业秘密应当保密。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第八十五条</w:t>
            </w:r>
            <w:r>
              <w:rPr>
                <w:rFonts w:ascii="仿宋" w:hAnsi="仿宋" w:eastAsia="仿宋" w:cs="仿宋"/>
                <w:szCs w:val="21"/>
              </w:rPr>
              <w:t xml:space="preserve"> </w:t>
            </w:r>
            <w:r>
              <w:rPr>
                <w:rFonts w:hint="eastAsia" w:ascii="仿宋" w:hAnsi="仿宋" w:eastAsia="仿宋" w:cs="仿宋"/>
                <w:szCs w:val="21"/>
              </w:rPr>
              <w:t>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《危险化学品安全管理条例》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第六条第一款第（四）项</w:t>
            </w:r>
            <w:r>
              <w:rPr>
                <w:rFonts w:ascii="仿宋" w:hAnsi="仿宋" w:eastAsia="仿宋" w:cs="仿宋"/>
                <w:szCs w:val="21"/>
              </w:rPr>
              <w:t xml:space="preserve"> </w:t>
            </w:r>
            <w:r>
              <w:rPr>
                <w:rFonts w:hint="eastAsia" w:ascii="仿宋" w:hAnsi="仿宋" w:eastAsia="仿宋" w:cs="仿宋"/>
                <w:szCs w:val="21"/>
              </w:rPr>
              <w:t>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3.</w:t>
            </w:r>
            <w:r>
              <w:rPr>
                <w:rFonts w:hint="eastAsia" w:ascii="仿宋" w:hAnsi="仿宋" w:eastAsia="仿宋" w:cs="仿宋"/>
                <w:b/>
                <w:bCs/>
                <w:szCs w:val="21"/>
              </w:rPr>
              <w:t>《危险废物转移管理办法》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第四条</w:t>
            </w:r>
            <w:r>
              <w:rPr>
                <w:rFonts w:ascii="仿宋" w:hAnsi="仿宋" w:eastAsia="仿宋" w:cs="仿宋"/>
                <w:szCs w:val="21"/>
              </w:rPr>
              <w:t xml:space="preserve"> </w:t>
            </w:r>
            <w:r>
              <w:rPr>
                <w:rFonts w:hint="eastAsia" w:ascii="仿宋" w:hAnsi="仿宋" w:eastAsia="仿宋" w:cs="仿宋"/>
                <w:szCs w:val="21"/>
              </w:rPr>
              <w:t>生态环境主管部门依法对危险废物转移污染环境防治工作以及危险废物转移联单运行实施监督管理，查处危险废物污染环境违法行为。</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ascii="仿宋" w:hAnsi="仿宋" w:eastAsia="仿宋" w:cs="仿宋"/>
                <w:szCs w:val="21"/>
              </w:rPr>
              <w:t>......</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4.</w:t>
            </w:r>
            <w:r>
              <w:rPr>
                <w:rFonts w:hint="eastAsia" w:ascii="仿宋" w:hAnsi="仿宋" w:eastAsia="仿宋" w:cs="仿宋"/>
                <w:b/>
                <w:bCs/>
                <w:szCs w:val="21"/>
              </w:rPr>
              <w:t>《危险废物经营许可证管理办法》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第十七条</w:t>
            </w:r>
            <w:r>
              <w:rPr>
                <w:rFonts w:ascii="仿宋" w:hAnsi="仿宋" w:eastAsia="仿宋" w:cs="仿宋"/>
                <w:szCs w:val="21"/>
              </w:rPr>
              <w:t xml:space="preserve"> </w:t>
            </w:r>
            <w:r>
              <w:rPr>
                <w:rFonts w:hint="eastAsia" w:ascii="仿宋" w:hAnsi="仿宋" w:eastAsia="仿宋" w:cs="仿宋"/>
                <w:szCs w:val="21"/>
              </w:rPr>
              <w:t>县级以上人民政府环境保护主管部门应当通过书面核查和实地检查等方式，加强对危险废物经营单位的监督检查，并将监督检查情况和处理结果予以记录，由监督检查人员签字后归档。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公众有权查阅县级以上人民政府环境保护主管部门的监督检查记录。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县级以上人民政府环境保护主管部门发现危险废物经营单位在经营活动中有不符合原发证条件的情形的，应当责令其限期整改。</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5.</w:t>
            </w:r>
            <w:r>
              <w:rPr>
                <w:rFonts w:hint="eastAsia" w:ascii="仿宋" w:hAnsi="仿宋" w:eastAsia="仿宋" w:cs="仿宋"/>
                <w:b/>
                <w:bCs/>
                <w:szCs w:val="21"/>
              </w:rPr>
              <w:t>《湖南省实施</w:t>
            </w:r>
            <w:r>
              <w:rPr>
                <w:rFonts w:ascii="仿宋" w:hAnsi="仿宋" w:eastAsia="仿宋" w:cs="仿宋"/>
                <w:b/>
                <w:bCs/>
                <w:szCs w:val="21"/>
              </w:rPr>
              <w:t xml:space="preserve"> &lt;</w:t>
            </w:r>
            <w:r>
              <w:rPr>
                <w:rFonts w:hint="eastAsia" w:ascii="仿宋" w:hAnsi="仿宋" w:eastAsia="仿宋" w:cs="仿宋"/>
                <w:b/>
                <w:bCs/>
                <w:szCs w:val="21"/>
              </w:rPr>
              <w:t>中华人民共和国固体废物污染环境防治法</w:t>
            </w:r>
            <w:r>
              <w:rPr>
                <w:rFonts w:ascii="仿宋" w:hAnsi="仿宋" w:eastAsia="仿宋" w:cs="仿宋"/>
                <w:b/>
                <w:bCs/>
                <w:szCs w:val="21"/>
              </w:rPr>
              <w:t>&gt;</w:t>
            </w:r>
            <w:r>
              <w:rPr>
                <w:rFonts w:hint="eastAsia" w:ascii="仿宋" w:hAnsi="仿宋" w:eastAsia="仿宋" w:cs="仿宋"/>
                <w:b/>
                <w:bCs/>
                <w:szCs w:val="21"/>
              </w:rPr>
              <w:t>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第三条　生态环境主管部门对本行政区域内固体废物污染环境防治实施统一监督管理。</w:t>
            </w:r>
          </w:p>
          <w:p>
            <w:pPr>
              <w:widowControl w:val="0"/>
              <w:tabs>
                <w:tab w:val="center" w:pos="4153"/>
                <w:tab w:val="right" w:pos="8306"/>
              </w:tabs>
              <w:adjustRightInd w:val="0"/>
              <w:snapToGrid w:val="0"/>
              <w:spacing w:line="300" w:lineRule="exact"/>
              <w:rPr>
                <w:rFonts w:ascii="仿宋" w:hAnsi="仿宋" w:eastAsia="仿宋" w:cs="仿宋"/>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自然生态股，执法局及分局承担相应职责的股站室</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kern w:val="0"/>
                <w:szCs w:val="21"/>
              </w:rPr>
              <w:t>危险废物产生、收集、贮存、转移（运输）、利用、处置固体废物、危险废物的企业和其他经营者</w:t>
            </w:r>
          </w:p>
        </w:tc>
        <w:tc>
          <w:tcPr>
            <w:tcW w:w="1370"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kern w:val="0"/>
                <w:szCs w:val="21"/>
              </w:rPr>
              <w:t>1.</w:t>
            </w:r>
            <w:r>
              <w:rPr>
                <w:rFonts w:hint="eastAsia" w:ascii="仿宋" w:hAnsi="仿宋" w:eastAsia="仿宋" w:cs="仿宋"/>
                <w:kern w:val="0"/>
                <w:szCs w:val="21"/>
              </w:rPr>
              <w:t>对</w:t>
            </w:r>
            <w:r>
              <w:rPr>
                <w:rFonts w:hint="eastAsia" w:ascii="仿宋" w:hAnsi="仿宋" w:eastAsia="仿宋" w:cs="仿宋"/>
                <w:szCs w:val="21"/>
              </w:rPr>
              <w:t>危险废物产生单位、经营单位开展规范化环境管理情况的监督检查</w:t>
            </w:r>
          </w:p>
          <w:p>
            <w:pPr>
              <w:widowControl w:val="0"/>
              <w:overflowPunct w:val="0"/>
              <w:topLinePunct/>
              <w:adjustRightInd w:val="0"/>
              <w:snapToGrid w:val="0"/>
              <w:spacing w:line="300" w:lineRule="exact"/>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危险废物</w:t>
            </w:r>
            <w:r>
              <w:rPr>
                <w:rFonts w:hint="eastAsia" w:ascii="仿宋" w:hAnsi="仿宋" w:eastAsia="仿宋" w:cs="仿宋"/>
                <w:szCs w:val="21"/>
              </w:rPr>
              <w:t>收集、贮存、利用、处置等活动环境监管</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十四五”全国危险废物规范化环境管理评估工作方案》“（三）建立分级负责评估机制。危险废物规范化环境管理评估以省（区、市）组织开展为主。市级生态环境主管部门抽取产废单位和经营单位进行评估；省级生态环境主管部门对市级生态环境主管部门进行评估，抽取产废单位和经营单位进行评估。生态环境部抽取部分省（区、市）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9</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对医疗卫生机构和医疗废物集中处置单位环境污染防治工作的行政检查</w:t>
            </w:r>
          </w:p>
        </w:tc>
        <w:tc>
          <w:tcPr>
            <w:tcW w:w="4009" w:type="dxa"/>
            <w:vAlign w:val="center"/>
          </w:tcPr>
          <w:p>
            <w:pPr>
              <w:pStyle w:val="7"/>
              <w:shd w:val="clear" w:color="auto" w:fill="FFFFFF"/>
              <w:spacing w:before="150" w:beforeAutospacing="0" w:after="150" w:afterAutospacing="0" w:line="300" w:lineRule="exact"/>
              <w:jc w:val="both"/>
              <w:rPr>
                <w:rFonts w:ascii="仿宋" w:hAnsi="仿宋" w:eastAsia="仿宋" w:cs="仿宋"/>
                <w:b/>
                <w:bCs/>
                <w:kern w:val="2"/>
                <w:sz w:val="21"/>
                <w:szCs w:val="21"/>
              </w:rPr>
            </w:pPr>
            <w:r>
              <w:rPr>
                <w:rFonts w:ascii="仿宋" w:hAnsi="仿宋" w:eastAsia="仿宋" w:cs="仿宋"/>
                <w:b/>
                <w:bCs/>
                <w:kern w:val="2"/>
                <w:sz w:val="21"/>
                <w:szCs w:val="21"/>
              </w:rPr>
              <w:t>1.</w:t>
            </w:r>
            <w:r>
              <w:rPr>
                <w:rFonts w:hint="eastAsia" w:ascii="仿宋" w:hAnsi="仿宋" w:eastAsia="仿宋" w:cs="仿宋"/>
                <w:b/>
                <w:bCs/>
                <w:kern w:val="2"/>
                <w:sz w:val="21"/>
                <w:szCs w:val="21"/>
              </w:rPr>
              <w:t>《中华人民共和国固体废物污染环境防治法》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第九十条　</w:t>
            </w:r>
            <w:bookmarkStart w:id="0" w:name="No274_Z6T90K1"/>
            <w:bookmarkEnd w:id="0"/>
            <w:r>
              <w:rPr>
                <w:rFonts w:hint="eastAsia" w:ascii="仿宋" w:hAnsi="仿宋" w:eastAsia="仿宋" w:cs="仿宋"/>
                <w:szCs w:val="21"/>
              </w:rPr>
              <w:t>医疗废物按照国家危险废物名录管理。县级以上地方人民政府应当加强医疗废物集中处置能力建设。</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bookmarkStart w:id="1" w:name="No275_Z6T90K2"/>
            <w:bookmarkEnd w:id="1"/>
            <w:r>
              <w:rPr>
                <w:rFonts w:hint="eastAsia" w:ascii="仿宋" w:hAnsi="仿宋" w:eastAsia="仿宋" w:cs="仿宋"/>
                <w:szCs w:val="21"/>
              </w:rPr>
              <w:t>县级以上人民政府卫生健康、生态环境等主管部门应当在各自职责范围内加强对医疗废物收集、贮存、运输、处置的监督管理，防止危害公众健康、污染环境。</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bookmarkStart w:id="2" w:name="No276_Z6T90K3"/>
            <w:bookmarkEnd w:id="2"/>
            <w:r>
              <w:rPr>
                <w:rFonts w:hint="eastAsia" w:ascii="仿宋" w:hAnsi="仿宋" w:eastAsia="仿宋" w:cs="仿宋"/>
                <w:szCs w:val="21"/>
              </w:rPr>
              <w:t>医疗卫生机构应当依法分类收集本单位产生的医疗废物，交由医疗废物集中处置单位处置。医疗废物集中处置单位应当及时收集、运输和处置医疗废物。</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bookmarkStart w:id="3" w:name="No277_Z6T90K4"/>
            <w:bookmarkEnd w:id="3"/>
            <w:r>
              <w:rPr>
                <w:rFonts w:hint="eastAsia" w:ascii="仿宋" w:hAnsi="仿宋" w:eastAsia="仿宋" w:cs="仿宋"/>
                <w:szCs w:val="21"/>
              </w:rPr>
              <w:t>医疗卫生机构和医疗废物集中处置单位，应当采取有效措施，防止医疗废物流失、泄漏、渗漏、扩散。</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《医疗废物管理条例》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lang w:val="zh-CN"/>
              </w:rPr>
            </w:pPr>
            <w:r>
              <w:rPr>
                <w:rFonts w:hint="eastAsia" w:ascii="仿宋" w:hAnsi="仿宋" w:eastAsia="仿宋" w:cs="仿宋"/>
                <w:szCs w:val="21"/>
              </w:rPr>
              <w:t>第三十六条</w:t>
            </w:r>
            <w:r>
              <w:rPr>
                <w:rFonts w:ascii="仿宋" w:hAnsi="仿宋" w:eastAsia="仿宋" w:cs="仿宋"/>
                <w:szCs w:val="21"/>
              </w:rPr>
              <w:t xml:space="preserve"> </w:t>
            </w:r>
            <w:r>
              <w:rPr>
                <w:rFonts w:hint="eastAsia" w:ascii="仿宋" w:hAnsi="仿宋" w:eastAsia="仿宋" w:cs="仿宋"/>
                <w:szCs w:val="21"/>
              </w:rPr>
              <w:t>县级以上地方人民政府环境保护行政主管部门，应当对医疗卫生机构和医疗废物集中处置单位从事医疗废物收集、运送、贮存、处置中的环境污染防治工作进行定期监督检查或者不定期的抽查。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自然生态股，执法局及分局承担相应职责的股站室</w:t>
            </w:r>
          </w:p>
        </w:tc>
        <w:tc>
          <w:tcPr>
            <w:tcW w:w="1246" w:type="dxa"/>
            <w:vAlign w:val="center"/>
          </w:tcPr>
          <w:p>
            <w:pPr>
              <w:widowControl w:val="0"/>
              <w:tabs>
                <w:tab w:val="center" w:pos="4153"/>
                <w:tab w:val="right" w:pos="8306"/>
              </w:tabs>
              <w:adjustRightInd w:val="0"/>
              <w:snapToGrid w:val="0"/>
              <w:spacing w:line="300" w:lineRule="exact"/>
              <w:jc w:val="left"/>
              <w:rPr>
                <w:rFonts w:ascii="仿宋" w:hAnsi="仿宋" w:eastAsia="仿宋" w:cs="仿宋"/>
                <w:szCs w:val="21"/>
              </w:rPr>
            </w:pPr>
            <w:r>
              <w:rPr>
                <w:rFonts w:hint="eastAsia" w:ascii="仿宋" w:hAnsi="仿宋" w:eastAsia="仿宋" w:cs="仿宋"/>
                <w:szCs w:val="21"/>
              </w:rPr>
              <w:t>医疗废物产生（私立医院）、医疗废物集中处置的企业</w:t>
            </w:r>
          </w:p>
        </w:tc>
        <w:tc>
          <w:tcPr>
            <w:tcW w:w="1370" w:type="dxa"/>
            <w:vAlign w:val="center"/>
          </w:tcPr>
          <w:p>
            <w:pPr>
              <w:widowControl w:val="0"/>
              <w:tabs>
                <w:tab w:val="center" w:pos="4153"/>
                <w:tab w:val="right" w:pos="8306"/>
              </w:tabs>
              <w:adjustRightInd w:val="0"/>
              <w:snapToGrid w:val="0"/>
              <w:spacing w:line="300" w:lineRule="exact"/>
              <w:jc w:val="left"/>
              <w:rPr>
                <w:rFonts w:ascii="仿宋" w:hAnsi="仿宋" w:eastAsia="仿宋" w:cs="仿宋"/>
                <w:szCs w:val="21"/>
              </w:rPr>
            </w:pPr>
            <w:r>
              <w:rPr>
                <w:rFonts w:hint="eastAsia" w:ascii="仿宋" w:hAnsi="仿宋" w:eastAsia="仿宋" w:cs="仿宋"/>
                <w:szCs w:val="21"/>
              </w:rPr>
              <w:t>对医疗废物收集、贮存、利用、处置等活动环境监管检查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723" w:type="dxa"/>
            <w:vAlign w:val="center"/>
          </w:tcPr>
          <w:p>
            <w:pPr>
              <w:widowControl w:val="0"/>
              <w:overflowPunct w:val="0"/>
              <w:topLinePunct/>
              <w:adjustRightInd w:val="0"/>
              <w:snapToGrid w:val="0"/>
              <w:spacing w:line="300" w:lineRule="exact"/>
              <w:rPr>
                <w:rFonts w:ascii="仿宋" w:hAnsi="仿宋" w:eastAsia="仿宋" w:cs="仿宋"/>
                <w:kern w:val="0"/>
                <w:szCs w:val="21"/>
              </w:rPr>
            </w:pPr>
            <w:r>
              <w:rPr>
                <w:rFonts w:hint="eastAsia" w:ascii="仿宋" w:hAnsi="仿宋" w:eastAsia="仿宋" w:cs="仿宋"/>
                <w:szCs w:val="21"/>
              </w:rPr>
              <w:t>对新化学物质生产者、进口者和加工使用者是否按要求办理新化学物质环境管理登记、登记事项的真实性、登记证载明事项以及《新化学物质环境管理登记办法》其他相关规定的落实情况的行政检查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b/>
                <w:bCs/>
                <w:szCs w:val="21"/>
              </w:rPr>
              <w:t>《新化学物质环境管理登记办法》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第四十三条</w:t>
            </w:r>
            <w:r>
              <w:rPr>
                <w:rFonts w:ascii="仿宋" w:hAnsi="仿宋" w:eastAsia="仿宋" w:cs="仿宋"/>
                <w:szCs w:val="21"/>
              </w:rPr>
              <w:t xml:space="preserve"> </w:t>
            </w:r>
            <w:r>
              <w:rPr>
                <w:rFonts w:hint="eastAsia" w:ascii="仿宋" w:hAnsi="仿宋" w:eastAsia="仿宋" w:cs="仿宋"/>
                <w:szCs w:val="21"/>
              </w:rPr>
              <w:t>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lang w:val="zh-CN"/>
              </w:rPr>
            </w:pPr>
            <w:r>
              <w:rPr>
                <w:rFonts w:hint="eastAsia" w:ascii="仿宋" w:hAnsi="仿宋" w:eastAsia="仿宋" w:cs="仿宋"/>
                <w:szCs w:val="21"/>
              </w:rPr>
              <w:t>新化学物质的研究者、生产者、进口者和加工使用者应当如实提供相关资料，接受生态环境主管部门的监督抽查。</w:t>
            </w: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自然生态股，执法局、污防股、及分局承担相应职责的股站室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新化学物质环境管理登记企业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对新化学物质的研究、生产和加工使用情况环境监管检查</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88" w:type="dxa"/>
            <w:vAlign w:val="center"/>
          </w:tcPr>
          <w:p>
            <w:pPr>
              <w:widowControl w:val="0"/>
              <w:adjustRightInd w:val="0"/>
              <w:snapToGrid w:val="0"/>
              <w:spacing w:line="300" w:lineRule="exact"/>
              <w:jc w:val="center"/>
              <w:textAlignment w:val="center"/>
              <w:rPr>
                <w:rFonts w:hint="default" w:ascii="仿宋" w:hAnsi="仿宋" w:eastAsia="仿宋" w:cs="仿宋"/>
                <w:szCs w:val="21"/>
                <w:lang w:val="en-US" w:eastAsia="zh-CN"/>
              </w:rPr>
            </w:pPr>
            <w:r>
              <w:rPr>
                <w:rFonts w:hint="eastAsia" w:ascii="仿宋" w:hAnsi="仿宋" w:eastAsia="仿宋" w:cs="仿宋"/>
                <w:kern w:val="0"/>
                <w:szCs w:val="21"/>
                <w:lang w:val="en-US" w:eastAsia="zh-CN"/>
              </w:rPr>
              <w:t>11</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shd w:val="clear" w:color="auto" w:fill="FFFFFF"/>
              </w:rPr>
              <w:t>对排污许可事中事后的行政检查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color w:val="auto"/>
                <w:szCs w:val="21"/>
                <w:shd w:val="clear" w:color="auto" w:fill="FFFFFF"/>
              </w:rPr>
            </w:pPr>
            <w:r>
              <w:rPr>
                <w:rFonts w:hint="default" w:ascii="仿宋" w:hAnsi="仿宋" w:eastAsia="仿宋" w:cs="仿宋"/>
                <w:b/>
                <w:bCs/>
                <w:color w:val="auto"/>
                <w:szCs w:val="21"/>
                <w:shd w:val="clear" w:color="auto" w:fill="FFFFFF"/>
                <w:lang w:val="en"/>
              </w:rPr>
              <w:t>1.</w:t>
            </w:r>
            <w:r>
              <w:rPr>
                <w:rFonts w:hint="eastAsia" w:ascii="仿宋" w:hAnsi="仿宋" w:eastAsia="仿宋" w:cs="仿宋"/>
                <w:b/>
                <w:bCs/>
                <w:color w:val="auto"/>
                <w:szCs w:val="21"/>
                <w:shd w:val="clear" w:color="auto" w:fill="FFFFFF"/>
              </w:rPr>
              <w:t>《排污许可管理条例》</w:t>
            </w:r>
          </w:p>
          <w:p>
            <w:pPr>
              <w:widowControl w:val="0"/>
              <w:spacing w:line="300" w:lineRule="exact"/>
              <w:ind w:firstLine="420" w:firstLineChars="200"/>
              <w:rPr>
                <w:rFonts w:hint="eastAsia" w:ascii="仿宋" w:hAnsi="仿宋" w:eastAsia="仿宋" w:cs="仿宋"/>
                <w:color w:val="auto"/>
                <w:szCs w:val="21"/>
                <w:shd w:val="clear" w:color="auto" w:fill="FFFFFF"/>
              </w:rPr>
            </w:pPr>
            <w:r>
              <w:rPr>
                <w:rFonts w:hint="eastAsia" w:ascii="仿宋" w:hAnsi="仿宋" w:eastAsia="仿宋" w:cs="仿宋"/>
                <w:color w:val="auto"/>
                <w:szCs w:val="21"/>
                <w:shd w:val="clear" w:color="auto" w:fill="FFFFFF"/>
              </w:rPr>
              <w:t>第二十五条第一款</w:t>
            </w:r>
            <w:r>
              <w:rPr>
                <w:rFonts w:ascii="仿宋" w:hAnsi="仿宋" w:eastAsia="仿宋" w:cs="仿宋"/>
                <w:color w:val="auto"/>
                <w:szCs w:val="21"/>
                <w:shd w:val="clear" w:color="auto" w:fill="FFFFFF"/>
              </w:rPr>
              <w:t xml:space="preserve"> </w:t>
            </w:r>
            <w:r>
              <w:rPr>
                <w:rFonts w:hint="eastAsia" w:ascii="仿宋" w:hAnsi="仿宋" w:eastAsia="仿宋" w:cs="仿宋"/>
                <w:color w:val="auto"/>
                <w:szCs w:val="21"/>
                <w:shd w:val="clear" w:color="auto" w:fill="FFFFFF"/>
              </w:rPr>
              <w:t>生态环境主管部门应当加强对排污许可的事中事后监管，将排污许可执法检查纳入生态环境执法年度计划，根据排污许可管理类别、排污单位信用记录和生态环境管理需要等因素，合理确定检查频次和检查方式。</w:t>
            </w:r>
          </w:p>
          <w:p>
            <w:pPr>
              <w:widowControl w:val="0"/>
              <w:spacing w:line="300" w:lineRule="exact"/>
              <w:rPr>
                <w:rFonts w:ascii="仿宋" w:hAnsi="仿宋" w:eastAsia="仿宋" w:cs="仿宋"/>
                <w:b/>
                <w:color w:val="auto"/>
                <w:szCs w:val="21"/>
              </w:rPr>
            </w:pPr>
            <w:r>
              <w:rPr>
                <w:rFonts w:hint="default" w:ascii="仿宋" w:hAnsi="仿宋" w:eastAsia="仿宋" w:cs="仿宋"/>
                <w:b/>
                <w:color w:val="auto"/>
                <w:szCs w:val="21"/>
                <w:lang w:val="en"/>
              </w:rPr>
              <w:t>2</w:t>
            </w:r>
            <w:r>
              <w:rPr>
                <w:rFonts w:ascii="仿宋" w:hAnsi="仿宋" w:eastAsia="仿宋" w:cs="仿宋"/>
                <w:b/>
                <w:color w:val="auto"/>
                <w:szCs w:val="21"/>
              </w:rPr>
              <w:t>.</w:t>
            </w:r>
            <w:r>
              <w:rPr>
                <w:rFonts w:hint="eastAsia" w:ascii="仿宋" w:hAnsi="仿宋" w:eastAsia="仿宋" w:cs="仿宋"/>
                <w:b/>
                <w:color w:val="auto"/>
                <w:szCs w:val="21"/>
              </w:rPr>
              <w:t>《排污许可管理办法》</w:t>
            </w:r>
          </w:p>
          <w:p>
            <w:pPr>
              <w:widowControl w:val="0"/>
              <w:spacing w:line="300" w:lineRule="exact"/>
              <w:ind w:firstLine="420" w:firstLineChars="200"/>
              <w:rPr>
                <w:rFonts w:ascii="仿宋" w:hAnsi="仿宋" w:eastAsia="仿宋" w:cs="仿宋"/>
                <w:bCs/>
                <w:color w:val="auto"/>
                <w:szCs w:val="21"/>
              </w:rPr>
            </w:pPr>
            <w:r>
              <w:rPr>
                <w:rFonts w:hint="eastAsia" w:ascii="仿宋" w:hAnsi="仿宋" w:eastAsia="仿宋" w:cs="仿宋"/>
                <w:bCs/>
                <w:color w:val="auto"/>
                <w:szCs w:val="21"/>
              </w:rPr>
              <w:t>第四十条第一款 </w:t>
            </w:r>
            <w:r>
              <w:rPr>
                <w:rFonts w:ascii="仿宋" w:hAnsi="仿宋" w:eastAsia="仿宋" w:cs="仿宋"/>
                <w:bCs/>
                <w:color w:val="auto"/>
                <w:szCs w:val="21"/>
              </w:rPr>
              <w:t xml:space="preserve"> </w:t>
            </w:r>
            <w:r>
              <w:rPr>
                <w:rFonts w:hint="eastAsia" w:ascii="仿宋" w:hAnsi="仿宋" w:eastAsia="仿宋" w:cs="仿宋"/>
                <w:bCs/>
                <w:color w:val="auto"/>
                <w:szCs w:val="21"/>
              </w:rPr>
              <w:t>生态环境主管部门应当将排污许可证和排污登记信息纳入执法监管数据库，将排污许可执法检查纳入生态环境执法年度计划，加强对排污许可证记载事项的清单式执法检查。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bCs/>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行政审批办、执法局及分局承担相应职责的股站室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纳入固定污染源排污许可重点或简化管理的排污企业</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排污许可证质量、排污许可证与现场一致性、排污许可要求执行情况监督检查</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adjustRightInd w:val="0"/>
              <w:snapToGrid w:val="0"/>
              <w:spacing w:line="300" w:lineRule="exact"/>
              <w:jc w:val="center"/>
              <w:textAlignment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对建设项目投入生产或者使用后所产生的环境影响的行政检查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kern w:val="0"/>
                <w:szCs w:val="21"/>
              </w:rPr>
            </w:pPr>
            <w:r>
              <w:rPr>
                <w:rFonts w:ascii="仿宋" w:hAnsi="仿宋" w:eastAsia="仿宋" w:cs="仿宋"/>
                <w:b/>
                <w:bCs/>
                <w:kern w:val="0"/>
                <w:szCs w:val="21"/>
              </w:rPr>
              <w:t>1.</w:t>
            </w:r>
            <w:r>
              <w:rPr>
                <w:rFonts w:hint="eastAsia" w:ascii="仿宋" w:hAnsi="仿宋" w:eastAsia="仿宋" w:cs="仿宋"/>
                <w:b/>
                <w:bCs/>
                <w:kern w:val="0"/>
                <w:szCs w:val="21"/>
              </w:rPr>
              <w:t>《中华人民共和国环境影响评价法》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第二十八条</w:t>
            </w:r>
            <w:r>
              <w:rPr>
                <w:rFonts w:ascii="仿宋" w:hAnsi="仿宋" w:eastAsia="仿宋" w:cs="仿宋"/>
                <w:szCs w:val="21"/>
              </w:rPr>
              <w:t xml:space="preserve"> </w:t>
            </w:r>
            <w:r>
              <w:rPr>
                <w:rFonts w:hint="eastAsia" w:ascii="仿宋" w:hAnsi="仿宋" w:eastAsia="仿宋" w:cs="仿宋"/>
                <w:szCs w:val="21"/>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widowControl w:val="0"/>
              <w:tabs>
                <w:tab w:val="center" w:pos="4153"/>
                <w:tab w:val="right" w:pos="8306"/>
              </w:tabs>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《建设项目环境保护管理条例》</w:t>
            </w:r>
          </w:p>
          <w:p>
            <w:pPr>
              <w:widowControl w:val="0"/>
              <w:tabs>
                <w:tab w:val="center" w:pos="4153"/>
                <w:tab w:val="right" w:pos="8306"/>
              </w:tabs>
              <w:snapToGrid w:val="0"/>
              <w:spacing w:line="300" w:lineRule="exact"/>
              <w:ind w:firstLine="420" w:firstLineChars="200"/>
              <w:rPr>
                <w:rFonts w:ascii="仿宋" w:hAnsi="仿宋" w:eastAsia="仿宋" w:cs="仿宋"/>
                <w:bCs/>
                <w:szCs w:val="21"/>
              </w:rPr>
            </w:pPr>
            <w:r>
              <w:rPr>
                <w:rFonts w:hint="eastAsia" w:ascii="仿宋" w:hAnsi="仿宋" w:eastAsia="仿宋" w:cs="仿宋"/>
                <w:bCs/>
                <w:szCs w:val="21"/>
              </w:rPr>
              <w:t>第二十一条　建设单位有下列行为之一的，依照《中华人民共和国环境影响评价法》的规定处罚：</w:t>
            </w:r>
          </w:p>
          <w:p>
            <w:pPr>
              <w:widowControl w:val="0"/>
              <w:tabs>
                <w:tab w:val="center" w:pos="4153"/>
                <w:tab w:val="right" w:pos="8306"/>
              </w:tabs>
              <w:snapToGrid w:val="0"/>
              <w:spacing w:line="300" w:lineRule="exact"/>
              <w:ind w:firstLine="420" w:firstLineChars="200"/>
              <w:rPr>
                <w:rFonts w:ascii="仿宋" w:hAnsi="仿宋" w:eastAsia="仿宋" w:cs="仿宋"/>
                <w:bCs/>
                <w:szCs w:val="21"/>
              </w:rPr>
            </w:pPr>
            <w:r>
              <w:rPr>
                <w:rFonts w:ascii="仿宋" w:hAnsi="仿宋" w:eastAsia="仿宋" w:cs="仿宋"/>
                <w:bCs/>
                <w:szCs w:val="21"/>
              </w:rPr>
              <w:t>(</w:t>
            </w:r>
            <w:r>
              <w:rPr>
                <w:rFonts w:hint="eastAsia" w:ascii="仿宋" w:hAnsi="仿宋" w:eastAsia="仿宋" w:cs="仿宋"/>
                <w:bCs/>
                <w:szCs w:val="21"/>
              </w:rPr>
              <w:t>一</w:t>
            </w:r>
            <w:r>
              <w:rPr>
                <w:rFonts w:ascii="仿宋" w:hAnsi="仿宋" w:eastAsia="仿宋" w:cs="仿宋"/>
                <w:bCs/>
                <w:szCs w:val="21"/>
              </w:rPr>
              <w:t>)</w:t>
            </w:r>
            <w:r>
              <w:rPr>
                <w:rFonts w:hint="eastAsia" w:ascii="仿宋" w:hAnsi="仿宋" w:eastAsia="仿宋" w:cs="仿宋"/>
                <w:bCs/>
                <w:szCs w:val="21"/>
              </w:rPr>
              <w:t>建设项目环境影响报告书、环境影响报告表未依法报批或者报请重新审核，擅自开工建设</w:t>
            </w:r>
            <w:r>
              <w:rPr>
                <w:rFonts w:ascii="仿宋" w:hAnsi="仿宋" w:eastAsia="仿宋" w:cs="仿宋"/>
                <w:bCs/>
                <w:szCs w:val="21"/>
              </w:rPr>
              <w:t>;</w:t>
            </w:r>
          </w:p>
          <w:p>
            <w:pPr>
              <w:widowControl w:val="0"/>
              <w:tabs>
                <w:tab w:val="center" w:pos="4153"/>
                <w:tab w:val="right" w:pos="8306"/>
              </w:tabs>
              <w:snapToGrid w:val="0"/>
              <w:spacing w:line="300" w:lineRule="exact"/>
              <w:ind w:firstLine="420" w:firstLineChars="200"/>
              <w:rPr>
                <w:rFonts w:ascii="仿宋" w:hAnsi="仿宋" w:eastAsia="仿宋" w:cs="仿宋"/>
                <w:bCs/>
                <w:szCs w:val="21"/>
              </w:rPr>
            </w:pPr>
            <w:r>
              <w:rPr>
                <w:rFonts w:ascii="仿宋" w:hAnsi="仿宋" w:eastAsia="仿宋" w:cs="仿宋"/>
                <w:bCs/>
                <w:szCs w:val="21"/>
              </w:rPr>
              <w:t>(</w:t>
            </w:r>
            <w:r>
              <w:rPr>
                <w:rFonts w:hint="eastAsia" w:ascii="仿宋" w:hAnsi="仿宋" w:eastAsia="仿宋" w:cs="仿宋"/>
                <w:bCs/>
                <w:szCs w:val="21"/>
              </w:rPr>
              <w:t>二</w:t>
            </w:r>
            <w:r>
              <w:rPr>
                <w:rFonts w:ascii="仿宋" w:hAnsi="仿宋" w:eastAsia="仿宋" w:cs="仿宋"/>
                <w:bCs/>
                <w:szCs w:val="21"/>
              </w:rPr>
              <w:t>)</w:t>
            </w:r>
            <w:r>
              <w:rPr>
                <w:rFonts w:hint="eastAsia" w:ascii="仿宋" w:hAnsi="仿宋" w:eastAsia="仿宋" w:cs="仿宋"/>
                <w:bCs/>
                <w:szCs w:val="21"/>
              </w:rPr>
              <w:t>建设项目环境影响报告书、环境影响报告表未经批准或者重新审核同意，擅自开工建设</w:t>
            </w:r>
            <w:r>
              <w:rPr>
                <w:rFonts w:ascii="仿宋" w:hAnsi="仿宋" w:eastAsia="仿宋" w:cs="仿宋"/>
                <w:bCs/>
                <w:szCs w:val="21"/>
              </w:rPr>
              <w:t>;</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ascii="仿宋" w:hAnsi="仿宋" w:eastAsia="仿宋" w:cs="仿宋"/>
                <w:bCs/>
                <w:szCs w:val="21"/>
              </w:rPr>
              <w:t>(</w:t>
            </w:r>
            <w:r>
              <w:rPr>
                <w:rFonts w:hint="eastAsia" w:ascii="仿宋" w:hAnsi="仿宋" w:eastAsia="仿宋" w:cs="仿宋"/>
                <w:bCs/>
                <w:szCs w:val="21"/>
              </w:rPr>
              <w:t>三</w:t>
            </w:r>
            <w:r>
              <w:rPr>
                <w:rFonts w:ascii="仿宋" w:hAnsi="仿宋" w:eastAsia="仿宋" w:cs="仿宋"/>
                <w:bCs/>
                <w:szCs w:val="21"/>
              </w:rPr>
              <w:t>)</w:t>
            </w:r>
            <w:r>
              <w:rPr>
                <w:rFonts w:hint="eastAsia" w:ascii="仿宋" w:hAnsi="仿宋" w:eastAsia="仿宋" w:cs="仿宋"/>
                <w:bCs/>
                <w:szCs w:val="21"/>
              </w:rPr>
              <w:t>建设项目环境影响登记表未依法备案。</w:t>
            </w:r>
          </w:p>
          <w:p>
            <w:pPr>
              <w:widowControl w:val="0"/>
              <w:spacing w:line="300" w:lineRule="exact"/>
              <w:rPr>
                <w:rFonts w:ascii="仿宋" w:hAnsi="仿宋" w:eastAsia="仿宋" w:cs="仿宋"/>
                <w:bCs/>
                <w:szCs w:val="21"/>
              </w:rPr>
            </w:pPr>
            <w:r>
              <w:rPr>
                <w:rFonts w:hint="default" w:ascii="仿宋" w:hAnsi="仿宋" w:eastAsia="仿宋" w:cs="仿宋"/>
                <w:b/>
                <w:szCs w:val="21"/>
                <w:lang w:val="en"/>
              </w:rPr>
              <w:t>3</w:t>
            </w:r>
            <w:r>
              <w:rPr>
                <w:rFonts w:ascii="仿宋" w:hAnsi="仿宋" w:eastAsia="仿宋" w:cs="仿宋"/>
                <w:b/>
                <w:szCs w:val="21"/>
              </w:rPr>
              <w:t>.</w:t>
            </w:r>
            <w:r>
              <w:rPr>
                <w:rFonts w:hint="eastAsia" w:ascii="仿宋" w:hAnsi="仿宋" w:eastAsia="仿宋" w:cs="仿宋"/>
                <w:b/>
                <w:szCs w:val="21"/>
              </w:rPr>
              <w:t>《建设项目环境影响登记表备案管理办法》</w:t>
            </w:r>
          </w:p>
          <w:p>
            <w:pPr>
              <w:widowControl w:val="0"/>
              <w:spacing w:line="300" w:lineRule="exact"/>
              <w:ind w:firstLine="420" w:firstLineChars="200"/>
              <w:rPr>
                <w:rFonts w:ascii="仿宋" w:hAnsi="仿宋" w:eastAsia="仿宋" w:cs="仿宋"/>
                <w:bCs/>
                <w:szCs w:val="21"/>
              </w:rPr>
            </w:pPr>
            <w:r>
              <w:rPr>
                <w:rFonts w:hint="eastAsia" w:ascii="仿宋" w:hAnsi="仿宋" w:eastAsia="仿宋" w:cs="仿宋"/>
                <w:bCs/>
                <w:szCs w:val="21"/>
              </w:rPr>
              <w:t>第十七条</w:t>
            </w:r>
            <w:r>
              <w:rPr>
                <w:rFonts w:ascii="仿宋" w:hAnsi="仿宋" w:eastAsia="仿宋" w:cs="仿宋"/>
                <w:bCs/>
                <w:szCs w:val="21"/>
              </w:rPr>
              <w:t xml:space="preserve">  </w:t>
            </w:r>
            <w:r>
              <w:rPr>
                <w:rFonts w:hint="eastAsia" w:ascii="仿宋" w:hAnsi="仿宋" w:eastAsia="仿宋" w:cs="仿宋"/>
                <w:bCs/>
                <w:szCs w:val="21"/>
              </w:rPr>
              <w:t>环境保护主管部门或者其他负有环境保护监督管理职责的部门可以采取抽查、根据举报进行检查等方式，对建设单位遵守本办法规定的情况开展监督检查，并根据监督检查认定的事实，按照以下情形处理：</w:t>
            </w:r>
          </w:p>
          <w:p>
            <w:pPr>
              <w:widowControl w:val="0"/>
              <w:numPr>
                <w:ilvl w:val="0"/>
                <w:numId w:val="1"/>
              </w:numPr>
              <w:spacing w:line="300" w:lineRule="exact"/>
              <w:ind w:firstLine="420" w:firstLineChars="200"/>
              <w:rPr>
                <w:rFonts w:ascii="仿宋" w:hAnsi="仿宋" w:eastAsia="仿宋" w:cs="仿宋"/>
                <w:bCs/>
                <w:szCs w:val="21"/>
              </w:rPr>
            </w:pPr>
            <w:r>
              <w:rPr>
                <w:rFonts w:hint="eastAsia" w:ascii="仿宋" w:hAnsi="仿宋" w:eastAsia="仿宋" w:cs="仿宋"/>
                <w:bCs/>
                <w:szCs w:val="21"/>
              </w:rPr>
              <w:t>构成行政违法的，依照有关环境保护法律法规和规定，予以行政处罚；</w:t>
            </w:r>
          </w:p>
          <w:p>
            <w:pPr>
              <w:widowControl w:val="0"/>
              <w:numPr>
                <w:ilvl w:val="0"/>
                <w:numId w:val="1"/>
              </w:numPr>
              <w:spacing w:line="300" w:lineRule="exact"/>
              <w:ind w:firstLine="420" w:firstLineChars="200"/>
              <w:rPr>
                <w:rFonts w:ascii="仿宋" w:hAnsi="仿宋" w:eastAsia="仿宋" w:cs="仿宋"/>
                <w:bCs/>
                <w:szCs w:val="21"/>
              </w:rPr>
            </w:pPr>
            <w:r>
              <w:rPr>
                <w:rFonts w:hint="eastAsia" w:ascii="仿宋" w:hAnsi="仿宋" w:eastAsia="仿宋" w:cs="仿宋"/>
                <w:bCs/>
                <w:szCs w:val="21"/>
              </w:rPr>
              <w:t>构成环境侵权的，依法承担环境侵权责任；</w:t>
            </w:r>
          </w:p>
          <w:p>
            <w:pPr>
              <w:widowControl w:val="0"/>
              <w:numPr>
                <w:ilvl w:val="0"/>
                <w:numId w:val="1"/>
              </w:numPr>
              <w:spacing w:line="300" w:lineRule="exact"/>
              <w:ind w:firstLine="420" w:firstLineChars="200"/>
              <w:rPr>
                <w:rFonts w:ascii="仿宋" w:hAnsi="仿宋" w:eastAsia="仿宋" w:cs="仿宋"/>
                <w:bCs/>
                <w:szCs w:val="21"/>
              </w:rPr>
            </w:pPr>
            <w:r>
              <w:rPr>
                <w:rFonts w:hint="eastAsia" w:ascii="仿宋" w:hAnsi="仿宋" w:eastAsia="仿宋" w:cs="仿宋"/>
                <w:bCs/>
                <w:szCs w:val="21"/>
              </w:rPr>
              <w:t>涉嫌构成犯罪的，依法移送司法机关。</w:t>
            </w:r>
          </w:p>
          <w:p>
            <w:pPr>
              <w:widowControl w:val="0"/>
              <w:spacing w:line="300" w:lineRule="exact"/>
              <w:ind w:firstLine="420" w:firstLineChars="200"/>
              <w:rPr>
                <w:rFonts w:ascii="仿宋" w:hAnsi="仿宋" w:eastAsia="仿宋" w:cs="仿宋"/>
                <w:bCs/>
                <w:szCs w:val="21"/>
              </w:rPr>
            </w:pPr>
            <w:r>
              <w:rPr>
                <w:rFonts w:ascii="仿宋" w:hAnsi="仿宋" w:eastAsia="仿宋" w:cs="仿宋"/>
                <w:bCs/>
                <w:szCs w:val="21"/>
              </w:rPr>
              <w:t xml:space="preserve">   </w:t>
            </w:r>
          </w:p>
          <w:p>
            <w:pPr>
              <w:widowControl w:val="0"/>
              <w:tabs>
                <w:tab w:val="center" w:pos="4153"/>
                <w:tab w:val="right" w:pos="8306"/>
              </w:tabs>
              <w:adjustRightInd w:val="0"/>
              <w:snapToGrid w:val="0"/>
              <w:spacing w:line="300" w:lineRule="exact"/>
              <w:rPr>
                <w:rFonts w:ascii="仿宋" w:hAnsi="仿宋" w:eastAsia="仿宋" w:cs="仿宋"/>
                <w:bCs/>
                <w:szCs w:val="21"/>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行政审批办、执法局及分局承担相应职责的股站室</w:t>
            </w:r>
          </w:p>
        </w:tc>
        <w:tc>
          <w:tcPr>
            <w:tcW w:w="1246" w:type="dxa"/>
            <w:vAlign w:val="center"/>
          </w:tcPr>
          <w:p>
            <w:pPr>
              <w:widowControl w:val="0"/>
              <w:overflowPunct w:val="0"/>
              <w:topLinePunct/>
              <w:adjustRightInd w:val="0"/>
              <w:snapToGrid w:val="0"/>
              <w:spacing w:line="300" w:lineRule="exact"/>
              <w:jc w:val="left"/>
              <w:rPr>
                <w:rFonts w:ascii="仿宋" w:hAnsi="仿宋" w:eastAsia="仿宋" w:cs="仿宋"/>
                <w:szCs w:val="21"/>
              </w:rPr>
            </w:pPr>
            <w:r>
              <w:rPr>
                <w:rFonts w:hint="eastAsia" w:ascii="仿宋" w:hAnsi="仿宋" w:eastAsia="仿宋" w:cs="仿宋"/>
                <w:szCs w:val="21"/>
              </w:rPr>
              <w:t>相关项目建设企业、环评文件技术企业、环评文件编制人员</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环评文件及批文提出的环境保护措施、环境管理要求等落实情况；</w:t>
            </w:r>
          </w:p>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建设项目投入生产或者使用后所产生的环境影响；</w:t>
            </w:r>
          </w:p>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建设项目环评文件是否存在基础资料明显不实，内容存在重大缺陷、遗漏或者虚假，环境影响评价结论不正确或者不合理等严重质量问题；</w:t>
            </w:r>
          </w:p>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建设项目是否存在降级管理或</w:t>
            </w:r>
            <w:r>
              <w:rPr>
                <w:rFonts w:hint="eastAsia" w:ascii="仿宋" w:hAnsi="仿宋" w:eastAsia="仿宋" w:cs="仿宋"/>
                <w:bCs/>
                <w:szCs w:val="21"/>
              </w:rPr>
              <w:t>环境影响登记表未依法备案的问题。</w:t>
            </w:r>
          </w:p>
        </w:tc>
        <w:tc>
          <w:tcPr>
            <w:tcW w:w="120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4" w:hRule="atLeast"/>
          <w:jc w:val="center"/>
        </w:trPr>
        <w:tc>
          <w:tcPr>
            <w:tcW w:w="788" w:type="dxa"/>
            <w:vAlign w:val="center"/>
          </w:tcPr>
          <w:p>
            <w:pPr>
              <w:widowControl w:val="0"/>
              <w:tabs>
                <w:tab w:val="left" w:pos="0"/>
              </w:tabs>
              <w:overflowPunct w:val="0"/>
              <w:topLinePunct/>
              <w:adjustRightInd w:val="0"/>
              <w:snapToGrid w:val="0"/>
              <w:spacing w:line="300" w:lineRule="exact"/>
              <w:jc w:val="center"/>
              <w:rPr>
                <w:rFonts w:hint="default" w:ascii="仿宋" w:hAnsi="仿宋" w:eastAsia="仿宋" w:cs="仿宋"/>
                <w:kern w:val="0"/>
                <w:szCs w:val="21"/>
                <w:lang w:val="en-US" w:eastAsia="zh-CN"/>
              </w:rPr>
            </w:pPr>
            <w:r>
              <w:rPr>
                <w:rFonts w:hint="eastAsia" w:ascii="仿宋" w:hAnsi="仿宋" w:eastAsia="仿宋" w:cs="仿宋"/>
                <w:szCs w:val="21"/>
                <w:lang w:val="en-US" w:eastAsia="zh-CN"/>
              </w:rPr>
              <w:t>13</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对污染源自动监控设施现场的监督检查；对自动监控系统的建设、运行和维护等的行政检查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《中华人民共和国水污染防治法》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实行排污许可管理的企业事业单位和其他生产经营者应当对监测数据的真实性和准确性负责。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环境保护主管部门发现重点排污单位的水污染物排放自动监测设备传输数据异常，应当及时进行调查。</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《污染源自动监控设施现场监督检查办法》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第四条</w:t>
            </w:r>
            <w:r>
              <w:rPr>
                <w:rFonts w:ascii="仿宋" w:hAnsi="仿宋" w:eastAsia="仿宋" w:cs="仿宋"/>
                <w:szCs w:val="21"/>
              </w:rPr>
              <w:t xml:space="preserve"> </w:t>
            </w:r>
            <w:r>
              <w:rPr>
                <w:rFonts w:hint="eastAsia" w:ascii="仿宋" w:hAnsi="仿宋" w:eastAsia="仿宋" w:cs="仿宋"/>
                <w:szCs w:val="21"/>
              </w:rPr>
              <w:t>污染源自动监控设施的现场监督检查，由各级环境保护主管部门或者其委托的行使现场监督检查职责的机构（以下统称监督检查机构）具体负责。</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省级以下环境保护主管部门对污染源自动监控设施进行监督管理和现场监督检查的权限划分，由省级环境保护主管部门确定。</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《污染源自动监控管理办法》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第六条第（三）项</w:t>
            </w:r>
            <w:r>
              <w:rPr>
                <w:rFonts w:ascii="仿宋" w:hAnsi="仿宋" w:eastAsia="仿宋" w:cs="仿宋"/>
                <w:szCs w:val="21"/>
              </w:rPr>
              <w:t xml:space="preserve"> </w:t>
            </w:r>
            <w:r>
              <w:rPr>
                <w:rFonts w:hint="eastAsia" w:ascii="仿宋" w:hAnsi="仿宋" w:eastAsia="仿宋" w:cs="仿宋"/>
                <w:szCs w:val="21"/>
              </w:rPr>
              <w:t>环境监察机构负责以下工作：（三）对自动监控系统的建设、运行和维护等进行监督检查。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p>
        </w:tc>
        <w:tc>
          <w:tcPr>
            <w:tcW w:w="157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污防股、执法局、及分局承担相应职责的股站室</w:t>
            </w:r>
          </w:p>
        </w:tc>
        <w:tc>
          <w:tcPr>
            <w:tcW w:w="1246"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重点排污的企业和其他生产经营者</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数据监测异常</w:t>
            </w:r>
          </w:p>
        </w:tc>
        <w:tc>
          <w:tcPr>
            <w:tcW w:w="1203" w:type="dxa"/>
            <w:vAlign w:val="center"/>
          </w:tcPr>
          <w:p>
            <w:pPr>
              <w:widowControl w:val="0"/>
              <w:adjustRightInd w:val="0"/>
              <w:snapToGrid w:val="0"/>
              <w:spacing w:line="300" w:lineRule="exact"/>
              <w:textAlignment w:val="center"/>
              <w:rPr>
                <w:rFonts w:ascii="仿宋" w:hAnsi="仿宋" w:eastAsia="仿宋" w:cs="仿宋"/>
                <w:szCs w:val="21"/>
              </w:rPr>
            </w:pPr>
            <w:r>
              <w:rPr>
                <w:rFonts w:hint="eastAsia" w:ascii="仿宋" w:hAnsi="仿宋" w:eastAsia="仿宋" w:cs="仿宋"/>
                <w:szCs w:val="21"/>
              </w:rPr>
              <w:t>现场检查、非现场检查相结合</w:t>
            </w:r>
          </w:p>
        </w:tc>
        <w:tc>
          <w:tcPr>
            <w:tcW w:w="1491" w:type="dxa"/>
            <w:vAlign w:val="center"/>
          </w:tcPr>
          <w:p>
            <w:pPr>
              <w:widowControl w:val="0"/>
              <w:overflowPunct w:val="0"/>
              <w:topLinePunct/>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不受年度频次上限限制</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省政府办公厅《关于严格规范涉企行政检查的实施方案》第三大点第十小点：优化触发式行政检查机制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val="0"/>
              <w:adjustRightInd w:val="0"/>
              <w:snapToGrid w:val="0"/>
              <w:spacing w:line="30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14</w:t>
            </w:r>
          </w:p>
        </w:tc>
        <w:tc>
          <w:tcPr>
            <w:tcW w:w="1723"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对畜禽养殖污染防治情况的行政检查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b/>
                <w:bCs/>
                <w:szCs w:val="21"/>
              </w:rPr>
            </w:pPr>
            <w:r>
              <w:rPr>
                <w:rFonts w:hint="eastAsia" w:ascii="仿宋" w:hAnsi="仿宋" w:eastAsia="仿宋" w:cs="仿宋"/>
                <w:szCs w:val="21"/>
              </w:rPr>
              <w:t>第二十四条</w:t>
            </w:r>
            <w:r>
              <w:rPr>
                <w:rFonts w:ascii="仿宋" w:hAnsi="仿宋" w:eastAsia="仿宋" w:cs="仿宋"/>
                <w:szCs w:val="21"/>
              </w:rPr>
              <w:t xml:space="preserve"> </w:t>
            </w:r>
            <w:r>
              <w:rPr>
                <w:rFonts w:hint="eastAsia" w:ascii="仿宋" w:hAnsi="仿宋" w:eastAsia="仿宋" w:cs="仿宋"/>
                <w:szCs w:val="21"/>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val="0"/>
              <w:tabs>
                <w:tab w:val="center" w:pos="4153"/>
                <w:tab w:val="right" w:pos="8306"/>
              </w:tabs>
              <w:adjustRightInd w:val="0"/>
              <w:snapToGrid w:val="0"/>
              <w:spacing w:line="300" w:lineRule="exact"/>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《畜禽规模养殖污染防治条例》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第二十三条</w:t>
            </w:r>
            <w:r>
              <w:rPr>
                <w:rFonts w:ascii="仿宋" w:hAnsi="仿宋" w:eastAsia="仿宋" w:cs="仿宋"/>
                <w:szCs w:val="21"/>
              </w:rPr>
              <w:t xml:space="preserve"> </w:t>
            </w:r>
            <w:r>
              <w:rPr>
                <w:rFonts w:hint="eastAsia" w:ascii="仿宋" w:hAnsi="仿宋" w:eastAsia="仿宋" w:cs="仿宋"/>
                <w:szCs w:val="21"/>
              </w:rPr>
              <w:t>县级以上人民政府环境保护主管部门应当依据职责对畜禽养殖污染防治情况进行监督检查，并加强对畜禽养殖环境污染的监测。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乡镇人民政府、基层群众自治组织发现畜禽养殖环境污染行为的，应当及时制止和报告。</w:t>
            </w:r>
          </w:p>
          <w:p>
            <w:pPr>
              <w:widowControl w:val="0"/>
              <w:tabs>
                <w:tab w:val="center" w:pos="4153"/>
                <w:tab w:val="right" w:pos="8306"/>
              </w:tabs>
              <w:adjustRightInd w:val="0"/>
              <w:snapToGrid w:val="0"/>
              <w:spacing w:line="300" w:lineRule="exact"/>
              <w:rPr>
                <w:rFonts w:ascii="仿宋" w:hAnsi="仿宋" w:eastAsia="仿宋" w:cs="仿宋"/>
                <w:b/>
                <w:bCs/>
                <w:szCs w:val="21"/>
                <w:shd w:val="clear" w:color="auto" w:fill="FFFFFF"/>
              </w:rPr>
            </w:pPr>
            <w:r>
              <w:rPr>
                <w:rFonts w:ascii="仿宋" w:hAnsi="仿宋" w:eastAsia="仿宋" w:cs="仿宋"/>
                <w:b/>
                <w:bCs/>
                <w:szCs w:val="21"/>
                <w:shd w:val="clear" w:color="auto" w:fill="FFFFFF"/>
              </w:rPr>
              <w:t>3.</w:t>
            </w:r>
            <w:r>
              <w:rPr>
                <w:rFonts w:hint="eastAsia" w:ascii="仿宋" w:hAnsi="仿宋" w:eastAsia="仿宋" w:cs="仿宋"/>
                <w:b/>
                <w:bCs/>
                <w:szCs w:val="21"/>
                <w:shd w:val="clear" w:color="auto" w:fill="FFFFFF"/>
              </w:rPr>
              <w:t>《湖南省环境保护条例》</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rPr>
              <w:t>被检查者应当配合检查，如实反映情况，提供必要的资料。</w:t>
            </w:r>
          </w:p>
        </w:tc>
        <w:tc>
          <w:tcPr>
            <w:tcW w:w="1573"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生态环境</w:t>
            </w:r>
            <w:r>
              <w:rPr>
                <w:rFonts w:hint="eastAsia" w:ascii="仿宋" w:hAnsi="仿宋" w:eastAsia="仿宋" w:cs="仿宋"/>
                <w:szCs w:val="21"/>
                <w:lang w:eastAsia="zh-CN"/>
              </w:rPr>
              <w:t>分局</w:t>
            </w:r>
          </w:p>
        </w:tc>
        <w:tc>
          <w:tcPr>
            <w:tcW w:w="159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自然生态股、执法局及分局承担相应职责的股站室</w:t>
            </w:r>
          </w:p>
        </w:tc>
        <w:tc>
          <w:tcPr>
            <w:tcW w:w="1246"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hint="eastAsia" w:ascii="仿宋" w:hAnsi="仿宋" w:eastAsia="仿宋" w:cs="仿宋"/>
                <w:szCs w:val="21"/>
              </w:rPr>
              <w:t>全省畜禽规模养殖场的经营主体</w:t>
            </w:r>
          </w:p>
        </w:tc>
        <w:tc>
          <w:tcPr>
            <w:tcW w:w="1370" w:type="dxa"/>
            <w:vAlign w:val="center"/>
          </w:tcPr>
          <w:p>
            <w:pPr>
              <w:widowControl w:val="0"/>
              <w:overflowPunct w:val="0"/>
              <w:topLinePunct/>
              <w:adjustRightInd w:val="0"/>
              <w:snapToGrid w:val="0"/>
              <w:spacing w:line="300" w:lineRule="exact"/>
              <w:rPr>
                <w:rFonts w:ascii="仿宋" w:hAnsi="仿宋" w:eastAsia="仿宋" w:cs="仿宋"/>
                <w:szCs w:val="21"/>
              </w:rPr>
            </w:pPr>
            <w:r>
              <w:rPr>
                <w:rFonts w:hint="eastAsia" w:ascii="仿宋" w:hAnsi="仿宋" w:eastAsia="仿宋" w:cs="仿宋"/>
                <w:szCs w:val="21"/>
              </w:rPr>
              <w:t>重点检查畜禽规模养殖场粪污处理与污染防治设施设备建设运营情况、粪污收集储存转运情况、粪污综合利用情况等</w:t>
            </w:r>
          </w:p>
        </w:tc>
        <w:tc>
          <w:tcPr>
            <w:tcW w:w="1203" w:type="dxa"/>
            <w:vAlign w:val="center"/>
          </w:tcPr>
          <w:p>
            <w:pPr>
              <w:widowControl w:val="0"/>
              <w:adjustRightInd w:val="0"/>
              <w:snapToGrid w:val="0"/>
              <w:spacing w:line="300" w:lineRule="exact"/>
              <w:textAlignment w:val="center"/>
              <w:rPr>
                <w:rFonts w:ascii="仿宋" w:hAnsi="仿宋" w:eastAsia="仿宋" w:cs="仿宋"/>
                <w:bCs/>
                <w:kern w:val="0"/>
                <w:szCs w:val="21"/>
              </w:rPr>
            </w:pPr>
            <w:r>
              <w:rPr>
                <w:rFonts w:hint="eastAsia" w:ascii="仿宋" w:hAnsi="仿宋" w:eastAsia="仿宋" w:cs="仿宋"/>
                <w:szCs w:val="21"/>
              </w:rPr>
              <w:t>现场检查</w:t>
            </w:r>
          </w:p>
        </w:tc>
        <w:tc>
          <w:tcPr>
            <w:tcW w:w="1491" w:type="dxa"/>
            <w:vAlign w:val="center"/>
          </w:tcPr>
          <w:p>
            <w:pPr>
              <w:widowControl w:val="0"/>
              <w:adjustRightInd w:val="0"/>
              <w:snapToGrid w:val="0"/>
              <w:spacing w:line="300" w:lineRule="exact"/>
              <w:jc w:val="left"/>
              <w:textAlignment w:val="center"/>
              <w:rPr>
                <w:rFonts w:ascii="仿宋" w:hAnsi="仿宋" w:eastAsia="仿宋" w:cs="仿宋"/>
                <w:bCs/>
                <w:kern w:val="0"/>
                <w:szCs w:val="21"/>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p>
        </w:tc>
        <w:tc>
          <w:tcPr>
            <w:tcW w:w="996" w:type="dxa"/>
            <w:vAlign w:val="center"/>
          </w:tcPr>
          <w:p>
            <w:pPr>
              <w:widowControl w:val="0"/>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widowControl w:val="0"/>
              <w:adjustRightInd w:val="0"/>
              <w:snapToGrid w:val="0"/>
              <w:spacing w:line="30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15</w:t>
            </w:r>
          </w:p>
        </w:tc>
        <w:tc>
          <w:tcPr>
            <w:tcW w:w="1723" w:type="dxa"/>
            <w:vAlign w:val="center"/>
          </w:tcPr>
          <w:p>
            <w:pPr>
              <w:widowControl w:val="0"/>
              <w:overflowPunct w:val="0"/>
              <w:topLinePunct/>
              <w:adjustRightInd w:val="0"/>
              <w:snapToGrid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szCs w:val="21"/>
              </w:rPr>
              <w:t>对环境监测机构、从事环境监测设备运营维护的机构进行检查</w:t>
            </w:r>
          </w:p>
        </w:tc>
        <w:tc>
          <w:tcPr>
            <w:tcW w:w="4009" w:type="dxa"/>
            <w:vAlign w:val="center"/>
          </w:tcPr>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《中华人民共和国环境保护法》</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第十七条</w:t>
            </w:r>
            <w:r>
              <w:rPr>
                <w:rFonts w:ascii="仿宋" w:hAnsi="仿宋" w:eastAsia="仿宋" w:cs="仿宋"/>
                <w:szCs w:val="21"/>
              </w:rPr>
              <w:t xml:space="preserve"> </w:t>
            </w:r>
            <w:r>
              <w:rPr>
                <w:rFonts w:hint="eastAsia" w:ascii="仿宋" w:hAnsi="仿宋" w:eastAsia="仿宋" w:cs="仿宋"/>
                <w:szCs w:val="21"/>
              </w:rPr>
              <w:t>国家建立、健全环境监测制度。国务院环境保护主管部门制定监测规范，会同有关部门组织监测网络，统一规划国家环境质量监测站（点）的设置，建立监测数据共享机制，加强对环境监测的管理。</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有关行业、专业等各类环境质量监测站（点）的设置应当符合</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法律法规规定和监测规范的要求。</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监测机构应当使用符合国家标准的监测设备，遵守监测规范。</w:t>
            </w:r>
          </w:p>
          <w:p>
            <w:pPr>
              <w:widowControl w:val="0"/>
              <w:tabs>
                <w:tab w:val="center" w:pos="4153"/>
                <w:tab w:val="right" w:pos="8306"/>
              </w:tabs>
              <w:adjustRightInd w:val="0"/>
              <w:snapToGrid w:val="0"/>
              <w:spacing w:line="300" w:lineRule="exact"/>
              <w:ind w:firstLine="420" w:firstLineChars="200"/>
              <w:rPr>
                <w:rFonts w:ascii="仿宋" w:hAnsi="仿宋" w:eastAsia="仿宋" w:cs="仿宋"/>
                <w:szCs w:val="21"/>
              </w:rPr>
            </w:pPr>
            <w:r>
              <w:rPr>
                <w:rFonts w:hint="eastAsia" w:ascii="仿宋" w:hAnsi="仿宋" w:eastAsia="仿宋" w:cs="仿宋"/>
                <w:szCs w:val="21"/>
              </w:rPr>
              <w:t>监测机构及其负责人对监测数据的真实性和准确性负责。</w:t>
            </w:r>
          </w:p>
          <w:p>
            <w:pPr>
              <w:widowControl w:val="0"/>
              <w:tabs>
                <w:tab w:val="center" w:pos="4153"/>
                <w:tab w:val="right" w:pos="8306"/>
              </w:tabs>
              <w:adjustRightInd w:val="0"/>
              <w:snapToGrid w:val="0"/>
              <w:spacing w:line="300" w:lineRule="exact"/>
              <w:rPr>
                <w:rFonts w:ascii="仿宋" w:hAnsi="仿宋" w:eastAsia="仿宋" w:cs="仿宋"/>
                <w:szCs w:val="21"/>
              </w:rPr>
            </w:pPr>
            <w:r>
              <w:rPr>
                <w:rFonts w:ascii="仿宋" w:hAnsi="仿宋" w:eastAsia="仿宋" w:cs="仿宋"/>
                <w:b/>
                <w:bCs/>
                <w:szCs w:val="21"/>
              </w:rPr>
              <w:t>2.</w:t>
            </w:r>
            <w:r>
              <w:rPr>
                <w:rFonts w:hint="eastAsia" w:ascii="仿宋" w:hAnsi="仿宋" w:eastAsia="仿宋" w:cs="仿宋"/>
                <w:b/>
                <w:bCs/>
                <w:szCs w:val="21"/>
              </w:rPr>
              <w:t>《湖南省环境保护条例》</w:t>
            </w:r>
          </w:p>
          <w:p>
            <w:pPr>
              <w:widowControl w:val="0"/>
              <w:tabs>
                <w:tab w:val="center" w:pos="4153"/>
                <w:tab w:val="right" w:pos="8306"/>
              </w:tabs>
              <w:adjustRightInd w:val="0"/>
              <w:snapToGrid w:val="0"/>
              <w:spacing w:line="300" w:lineRule="exact"/>
              <w:ind w:firstLine="420" w:firstLineChars="200"/>
              <w:rPr>
                <w:rFonts w:hint="eastAsia" w:ascii="仿宋" w:hAnsi="仿宋" w:eastAsia="仿宋" w:cs="仿宋"/>
                <w:szCs w:val="21"/>
              </w:rPr>
            </w:pPr>
            <w:r>
              <w:rPr>
                <w:rFonts w:hint="eastAsia" w:ascii="仿宋" w:hAnsi="仿宋" w:eastAsia="仿宋" w:cs="仿宋"/>
                <w:szCs w:val="21"/>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pPr>
              <w:widowControl w:val="0"/>
              <w:tabs>
                <w:tab w:val="center" w:pos="4153"/>
                <w:tab w:val="right" w:pos="8306"/>
              </w:tabs>
              <w:adjustRightInd w:val="0"/>
              <w:snapToGrid w:val="0"/>
              <w:spacing w:line="30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Cs w:val="21"/>
              </w:rPr>
              <w:t>被检查者应当配合检查，如实反映情况，提供必要的资料。</w:t>
            </w:r>
          </w:p>
        </w:tc>
        <w:tc>
          <w:tcPr>
            <w:tcW w:w="1573" w:type="dxa"/>
            <w:vAlign w:val="center"/>
          </w:tcPr>
          <w:p>
            <w:pPr>
              <w:widowControl w:val="0"/>
              <w:tabs>
                <w:tab w:val="center" w:pos="4153"/>
                <w:tab w:val="right" w:pos="8306"/>
              </w:tabs>
              <w:adjustRightInd w:val="0"/>
              <w:snapToGrid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szCs w:val="21"/>
              </w:rPr>
              <w:t>生态环境</w:t>
            </w:r>
            <w:bookmarkStart w:id="4" w:name="_GoBack"/>
            <w:bookmarkEnd w:id="4"/>
            <w:r>
              <w:rPr>
                <w:rFonts w:hint="eastAsia" w:ascii="仿宋" w:hAnsi="仿宋" w:eastAsia="仿宋" w:cs="仿宋"/>
                <w:szCs w:val="21"/>
                <w:lang w:eastAsia="zh-CN"/>
              </w:rPr>
              <w:t>分局</w:t>
            </w:r>
          </w:p>
        </w:tc>
        <w:tc>
          <w:tcPr>
            <w:tcW w:w="1599" w:type="dxa"/>
            <w:vAlign w:val="center"/>
          </w:tcPr>
          <w:p>
            <w:pPr>
              <w:widowControl w:val="0"/>
              <w:tabs>
                <w:tab w:val="center" w:pos="4153"/>
                <w:tab w:val="right" w:pos="8306"/>
              </w:tabs>
              <w:adjustRightInd w:val="0"/>
              <w:snapToGrid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执法局</w:t>
            </w:r>
            <w:r>
              <w:rPr>
                <w:rFonts w:hint="eastAsia" w:ascii="仿宋" w:hAnsi="仿宋" w:eastAsia="仿宋" w:cs="仿宋"/>
                <w:szCs w:val="21"/>
              </w:rPr>
              <w:t>、</w:t>
            </w:r>
            <w:r>
              <w:rPr>
                <w:rFonts w:hint="eastAsia" w:ascii="仿宋" w:hAnsi="仿宋" w:eastAsia="仿宋" w:cs="仿宋"/>
                <w:szCs w:val="21"/>
                <w:lang w:eastAsia="zh-CN"/>
              </w:rPr>
              <w:t>执法局</w:t>
            </w:r>
            <w:r>
              <w:rPr>
                <w:rFonts w:hint="eastAsia" w:ascii="仿宋" w:hAnsi="仿宋" w:eastAsia="仿宋" w:cs="仿宋"/>
                <w:szCs w:val="21"/>
              </w:rPr>
              <w:t>及分局承担相应职责的股站室</w:t>
            </w:r>
          </w:p>
        </w:tc>
        <w:tc>
          <w:tcPr>
            <w:tcW w:w="1246" w:type="dxa"/>
            <w:vAlign w:val="center"/>
          </w:tcPr>
          <w:p>
            <w:pPr>
              <w:widowControl w:val="0"/>
              <w:tabs>
                <w:tab w:val="center" w:pos="4153"/>
                <w:tab w:val="right" w:pos="8306"/>
              </w:tabs>
              <w:adjustRightInd w:val="0"/>
              <w:snapToGrid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szCs w:val="21"/>
              </w:rPr>
              <w:t>（第三方）生态环境监测服务机构</w:t>
            </w:r>
          </w:p>
        </w:tc>
        <w:tc>
          <w:tcPr>
            <w:tcW w:w="1370" w:type="dxa"/>
            <w:vAlign w:val="center"/>
          </w:tcPr>
          <w:p>
            <w:pPr>
              <w:widowControl w:val="0"/>
              <w:overflowPunct w:val="0"/>
              <w:topLinePunct/>
              <w:adjustRightInd w:val="0"/>
              <w:snapToGrid w:val="0"/>
              <w:spacing w:line="300" w:lineRule="exact"/>
              <w:rPr>
                <w:rFonts w:hint="eastAsia" w:ascii="仿宋" w:hAnsi="仿宋" w:eastAsia="仿宋" w:cs="仿宋"/>
                <w:kern w:val="2"/>
                <w:sz w:val="21"/>
                <w:szCs w:val="21"/>
                <w:lang w:val="en-US" w:eastAsia="zh-CN" w:bidi="ar-SA"/>
              </w:rPr>
            </w:pPr>
            <w:r>
              <w:rPr>
                <w:rFonts w:hint="eastAsia" w:ascii="仿宋" w:hAnsi="仿宋" w:eastAsia="仿宋" w:cs="仿宋"/>
                <w:szCs w:val="21"/>
              </w:rPr>
              <w:t>社会化生态环境监测机构是否使用符合国家标准的监测设备，遵守监测规范，对监测数据是否存在弄虚作假情形进行判定等</w:t>
            </w:r>
          </w:p>
        </w:tc>
        <w:tc>
          <w:tcPr>
            <w:tcW w:w="1203" w:type="dxa"/>
            <w:vAlign w:val="center"/>
          </w:tcPr>
          <w:p>
            <w:pPr>
              <w:widowControl w:val="0"/>
              <w:adjustRightInd w:val="0"/>
              <w:snapToGrid w:val="0"/>
              <w:spacing w:line="300" w:lineRule="exact"/>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sz w:val="24"/>
                <w:szCs w:val="24"/>
              </w:rPr>
              <w:t>现场检查、非现场检查相结合</w:t>
            </w:r>
          </w:p>
        </w:tc>
        <w:tc>
          <w:tcPr>
            <w:tcW w:w="1491" w:type="dxa"/>
            <w:vAlign w:val="center"/>
          </w:tcPr>
          <w:p>
            <w:pPr>
              <w:widowControl w:val="0"/>
              <w:overflowPunct w:val="0"/>
              <w:topLinePunct/>
              <w:adjustRightInd w:val="0"/>
              <w:snapToGrid w:val="0"/>
              <w:spacing w:line="30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按我局每年</w:t>
            </w:r>
            <w:r>
              <w:rPr>
                <w:rFonts w:ascii="仿宋" w:hAnsi="仿宋" w:eastAsia="仿宋" w:cs="仿宋"/>
                <w:szCs w:val="21"/>
              </w:rPr>
              <w:t>3</w:t>
            </w:r>
            <w:r>
              <w:rPr>
                <w:rFonts w:hint="eastAsia" w:ascii="仿宋" w:hAnsi="仿宋" w:eastAsia="仿宋" w:cs="仿宋"/>
                <w:szCs w:val="21"/>
              </w:rPr>
              <w:t>月底前报经市司法局备案审查的涉企年度行政检查计划执行</w:t>
            </w:r>
            <w:r>
              <w:rPr>
                <w:rFonts w:hint="eastAsia" w:ascii="仿宋" w:hAnsi="仿宋" w:eastAsia="仿宋" w:cs="仿宋"/>
                <w:szCs w:val="21"/>
                <w:lang w:eastAsia="zh-CN"/>
              </w:rPr>
              <w:t>。</w:t>
            </w:r>
          </w:p>
        </w:tc>
        <w:tc>
          <w:tcPr>
            <w:tcW w:w="996" w:type="dxa"/>
            <w:vAlign w:val="center"/>
          </w:tcPr>
          <w:p>
            <w:pPr>
              <w:widowControl w:val="0"/>
              <w:adjustRightInd w:val="0"/>
              <w:snapToGrid w:val="0"/>
              <w:spacing w:line="300" w:lineRule="exact"/>
              <w:jc w:val="center"/>
              <w:rPr>
                <w:rFonts w:hint="eastAsia" w:ascii="仿宋" w:hAnsi="仿宋" w:eastAsia="仿宋" w:cs="仿宋"/>
                <w:kern w:val="2"/>
                <w:sz w:val="21"/>
                <w:szCs w:val="21"/>
                <w:lang w:val="en-US" w:eastAsia="zh-CN" w:bidi="ar-SA"/>
              </w:rPr>
            </w:pPr>
          </w:p>
        </w:tc>
      </w:tr>
    </w:tbl>
    <w:p>
      <w:pPr>
        <w:widowControl w:val="0"/>
        <w:tabs>
          <w:tab w:val="center" w:pos="4153"/>
          <w:tab w:val="right" w:pos="8306"/>
        </w:tabs>
        <w:snapToGrid w:val="0"/>
        <w:spacing w:line="100" w:lineRule="exact"/>
        <w:rPr>
          <w:rFonts w:ascii="宋体" w:cs="宋体"/>
          <w:b/>
          <w:bCs/>
          <w:sz w:val="44"/>
          <w:szCs w:val="44"/>
          <w:shd w:val="clear" w:color="auto" w:fill="FFFFFF"/>
        </w:rPr>
      </w:pPr>
    </w:p>
    <w:sectPr>
      <w:footerReference r:id="rId3" w:type="default"/>
      <w:footerReference r:id="rId4" w:type="even"/>
      <w:pgSz w:w="16834" w:h="11909" w:orient="landscape"/>
      <w:pgMar w:top="1803" w:right="1440" w:bottom="1803" w:left="144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仿宋">
    <w:altName w:val="方正仿宋_GBK"/>
    <w:panose1 w:val="02010609060101010101"/>
    <w:charset w:val="00"/>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- 44 -</w:t>
    </w:r>
    <w:r>
      <w:rPr>
        <w:rStyle w:val="12"/>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24D6F"/>
    <w:multiLevelType w:val="singleLevel"/>
    <w:tmpl w:val="88424D6F"/>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jE4MzI2MjM5M2YyN2RmZTg3MzUzYzMzMzljMTcifQ=="/>
    <w:docVar w:name="KSO_WPS_MARK_KEY" w:val="df63a08d-d346-4d4a-8697-e20298cf7f74"/>
  </w:docVars>
  <w:rsids>
    <w:rsidRoot w:val="D7FB87B6"/>
    <w:rsid w:val="00014DB0"/>
    <w:rsid w:val="000A03E5"/>
    <w:rsid w:val="00160A19"/>
    <w:rsid w:val="001A3AB6"/>
    <w:rsid w:val="001E6986"/>
    <w:rsid w:val="00234A25"/>
    <w:rsid w:val="00276262"/>
    <w:rsid w:val="002B4071"/>
    <w:rsid w:val="00353021"/>
    <w:rsid w:val="00370C3E"/>
    <w:rsid w:val="003A2F10"/>
    <w:rsid w:val="004C17B7"/>
    <w:rsid w:val="004E3CBD"/>
    <w:rsid w:val="005656CA"/>
    <w:rsid w:val="005C331C"/>
    <w:rsid w:val="005E76E7"/>
    <w:rsid w:val="00645BED"/>
    <w:rsid w:val="006F4CF7"/>
    <w:rsid w:val="00744E84"/>
    <w:rsid w:val="008045B9"/>
    <w:rsid w:val="00880AE7"/>
    <w:rsid w:val="00883548"/>
    <w:rsid w:val="008B3572"/>
    <w:rsid w:val="00914FD8"/>
    <w:rsid w:val="009C7021"/>
    <w:rsid w:val="00A40A9A"/>
    <w:rsid w:val="00A74353"/>
    <w:rsid w:val="00B91B87"/>
    <w:rsid w:val="00C21AAC"/>
    <w:rsid w:val="00D24C84"/>
    <w:rsid w:val="00E13892"/>
    <w:rsid w:val="00E60277"/>
    <w:rsid w:val="00EA2338"/>
    <w:rsid w:val="00F5430B"/>
    <w:rsid w:val="00F77079"/>
    <w:rsid w:val="013078D4"/>
    <w:rsid w:val="01D86637"/>
    <w:rsid w:val="021178E3"/>
    <w:rsid w:val="0262292C"/>
    <w:rsid w:val="02B7624C"/>
    <w:rsid w:val="02ED7EC0"/>
    <w:rsid w:val="033A0C2B"/>
    <w:rsid w:val="064D5B42"/>
    <w:rsid w:val="0687062B"/>
    <w:rsid w:val="06936FD0"/>
    <w:rsid w:val="06E23AB3"/>
    <w:rsid w:val="071008CB"/>
    <w:rsid w:val="07F824A4"/>
    <w:rsid w:val="0874698D"/>
    <w:rsid w:val="08955281"/>
    <w:rsid w:val="08BC77D3"/>
    <w:rsid w:val="08D35DAA"/>
    <w:rsid w:val="09440A55"/>
    <w:rsid w:val="0A170C0C"/>
    <w:rsid w:val="0A27015B"/>
    <w:rsid w:val="0B5C3E34"/>
    <w:rsid w:val="0BEF300C"/>
    <w:rsid w:val="0C872DD2"/>
    <w:rsid w:val="0D137432"/>
    <w:rsid w:val="0DE53B54"/>
    <w:rsid w:val="0EDF580B"/>
    <w:rsid w:val="0FD541B5"/>
    <w:rsid w:val="12CD73C6"/>
    <w:rsid w:val="143F062B"/>
    <w:rsid w:val="1635775C"/>
    <w:rsid w:val="17325029"/>
    <w:rsid w:val="17CF5275"/>
    <w:rsid w:val="17DE8129"/>
    <w:rsid w:val="17F20C4D"/>
    <w:rsid w:val="18331C91"/>
    <w:rsid w:val="18892CD0"/>
    <w:rsid w:val="197131A1"/>
    <w:rsid w:val="198A6011"/>
    <w:rsid w:val="1A122C2B"/>
    <w:rsid w:val="1AE856E5"/>
    <w:rsid w:val="1AF6DA01"/>
    <w:rsid w:val="1B3A5C69"/>
    <w:rsid w:val="1B401D9C"/>
    <w:rsid w:val="1B4D5548"/>
    <w:rsid w:val="1BA22798"/>
    <w:rsid w:val="1BC50B80"/>
    <w:rsid w:val="1BFC128C"/>
    <w:rsid w:val="1C281B11"/>
    <w:rsid w:val="1C8054A9"/>
    <w:rsid w:val="1CA23671"/>
    <w:rsid w:val="1CD7325E"/>
    <w:rsid w:val="1CFFC965"/>
    <w:rsid w:val="1DEF28E6"/>
    <w:rsid w:val="1E273B77"/>
    <w:rsid w:val="1F262338"/>
    <w:rsid w:val="1F572402"/>
    <w:rsid w:val="1F72557D"/>
    <w:rsid w:val="1FD45EBA"/>
    <w:rsid w:val="200B7C44"/>
    <w:rsid w:val="208C7505"/>
    <w:rsid w:val="20EE3329"/>
    <w:rsid w:val="21472A39"/>
    <w:rsid w:val="22EE7610"/>
    <w:rsid w:val="23C242A0"/>
    <w:rsid w:val="2409047A"/>
    <w:rsid w:val="24521E21"/>
    <w:rsid w:val="24A00C57"/>
    <w:rsid w:val="24A0493A"/>
    <w:rsid w:val="24C660A9"/>
    <w:rsid w:val="253F4153"/>
    <w:rsid w:val="26D7756B"/>
    <w:rsid w:val="279D4F06"/>
    <w:rsid w:val="28042401"/>
    <w:rsid w:val="283917B1"/>
    <w:rsid w:val="28CE1BFE"/>
    <w:rsid w:val="295E3016"/>
    <w:rsid w:val="2AE80DE9"/>
    <w:rsid w:val="2B54647E"/>
    <w:rsid w:val="2B6F73AF"/>
    <w:rsid w:val="2BD15D21"/>
    <w:rsid w:val="2BECCFE5"/>
    <w:rsid w:val="2CAB0320"/>
    <w:rsid w:val="2CD31625"/>
    <w:rsid w:val="2CFC1F4F"/>
    <w:rsid w:val="2CFE2B46"/>
    <w:rsid w:val="2DAE631A"/>
    <w:rsid w:val="2DAFB192"/>
    <w:rsid w:val="2DF30354"/>
    <w:rsid w:val="2DF950BB"/>
    <w:rsid w:val="2EBBD70D"/>
    <w:rsid w:val="2EE10029"/>
    <w:rsid w:val="2EFDB488"/>
    <w:rsid w:val="2FDA10EF"/>
    <w:rsid w:val="2FEF9786"/>
    <w:rsid w:val="2FF95A97"/>
    <w:rsid w:val="30135AB6"/>
    <w:rsid w:val="3071362F"/>
    <w:rsid w:val="307C7F98"/>
    <w:rsid w:val="309F1F4A"/>
    <w:rsid w:val="31C0661C"/>
    <w:rsid w:val="31F43B9D"/>
    <w:rsid w:val="325A1E78"/>
    <w:rsid w:val="346702DF"/>
    <w:rsid w:val="34871673"/>
    <w:rsid w:val="3541CB68"/>
    <w:rsid w:val="357F67EE"/>
    <w:rsid w:val="35814D3A"/>
    <w:rsid w:val="359EE00A"/>
    <w:rsid w:val="35DF4C81"/>
    <w:rsid w:val="35DFBAE3"/>
    <w:rsid w:val="35EA4617"/>
    <w:rsid w:val="361231BE"/>
    <w:rsid w:val="36C7CCAF"/>
    <w:rsid w:val="371B4CAC"/>
    <w:rsid w:val="377A726D"/>
    <w:rsid w:val="37DDB126"/>
    <w:rsid w:val="37F33FA3"/>
    <w:rsid w:val="3830233C"/>
    <w:rsid w:val="388031C9"/>
    <w:rsid w:val="38D8A29D"/>
    <w:rsid w:val="39F722F7"/>
    <w:rsid w:val="3A5405D4"/>
    <w:rsid w:val="3A546726"/>
    <w:rsid w:val="3A7BE63F"/>
    <w:rsid w:val="3AD2ECE3"/>
    <w:rsid w:val="3B53405D"/>
    <w:rsid w:val="3BC963CC"/>
    <w:rsid w:val="3D121CF5"/>
    <w:rsid w:val="3D3A1978"/>
    <w:rsid w:val="3D3CB8E5"/>
    <w:rsid w:val="3D5DC804"/>
    <w:rsid w:val="3E9BED5C"/>
    <w:rsid w:val="3EBA7944"/>
    <w:rsid w:val="3EBE85F9"/>
    <w:rsid w:val="3EC534C3"/>
    <w:rsid w:val="3ECA4CF5"/>
    <w:rsid w:val="3ED41958"/>
    <w:rsid w:val="3EE7B831"/>
    <w:rsid w:val="3EF80DD0"/>
    <w:rsid w:val="3F5C0F5B"/>
    <w:rsid w:val="3F5EE751"/>
    <w:rsid w:val="3F762A0F"/>
    <w:rsid w:val="3F9BE318"/>
    <w:rsid w:val="3FABB395"/>
    <w:rsid w:val="3FAD720A"/>
    <w:rsid w:val="3FDBCC7A"/>
    <w:rsid w:val="3FE6BA8A"/>
    <w:rsid w:val="40896D0A"/>
    <w:rsid w:val="4182569C"/>
    <w:rsid w:val="41AA69A0"/>
    <w:rsid w:val="41FF49CF"/>
    <w:rsid w:val="424E37D0"/>
    <w:rsid w:val="42F03815"/>
    <w:rsid w:val="430257C7"/>
    <w:rsid w:val="43056584"/>
    <w:rsid w:val="437B6009"/>
    <w:rsid w:val="43AA2C88"/>
    <w:rsid w:val="442320B6"/>
    <w:rsid w:val="44627A06"/>
    <w:rsid w:val="44913E48"/>
    <w:rsid w:val="44DC50C3"/>
    <w:rsid w:val="45392A63"/>
    <w:rsid w:val="45D4223E"/>
    <w:rsid w:val="47C12537"/>
    <w:rsid w:val="47F3E157"/>
    <w:rsid w:val="47F70D64"/>
    <w:rsid w:val="48B849C0"/>
    <w:rsid w:val="490F5704"/>
    <w:rsid w:val="49815FDD"/>
    <w:rsid w:val="4A3C5DF5"/>
    <w:rsid w:val="4A6F0787"/>
    <w:rsid w:val="4B3A6FE7"/>
    <w:rsid w:val="4BFBC300"/>
    <w:rsid w:val="4C0F5D7E"/>
    <w:rsid w:val="4C4E4D50"/>
    <w:rsid w:val="4C83051A"/>
    <w:rsid w:val="4D1F2772"/>
    <w:rsid w:val="4D9B7AB5"/>
    <w:rsid w:val="4DDFA0F7"/>
    <w:rsid w:val="4ED82D9F"/>
    <w:rsid w:val="4EFD8CB6"/>
    <w:rsid w:val="4F583EE0"/>
    <w:rsid w:val="4F806F93"/>
    <w:rsid w:val="4F9FF528"/>
    <w:rsid w:val="4FE5C86E"/>
    <w:rsid w:val="4FE793B0"/>
    <w:rsid w:val="50EC0779"/>
    <w:rsid w:val="512704E7"/>
    <w:rsid w:val="51340035"/>
    <w:rsid w:val="51F26321"/>
    <w:rsid w:val="532C2DD7"/>
    <w:rsid w:val="5336A6D7"/>
    <w:rsid w:val="538F3C48"/>
    <w:rsid w:val="54234451"/>
    <w:rsid w:val="5462436F"/>
    <w:rsid w:val="55D47ADF"/>
    <w:rsid w:val="564D66AA"/>
    <w:rsid w:val="56723AD9"/>
    <w:rsid w:val="56AA7DBD"/>
    <w:rsid w:val="56BE6D1E"/>
    <w:rsid w:val="56D53F78"/>
    <w:rsid w:val="57045E05"/>
    <w:rsid w:val="57334259"/>
    <w:rsid w:val="573B6503"/>
    <w:rsid w:val="57430FD1"/>
    <w:rsid w:val="57FE81F8"/>
    <w:rsid w:val="58207565"/>
    <w:rsid w:val="58B79979"/>
    <w:rsid w:val="58C425E6"/>
    <w:rsid w:val="5955323E"/>
    <w:rsid w:val="59F96F11"/>
    <w:rsid w:val="5ABDA5E8"/>
    <w:rsid w:val="5B7BBAD3"/>
    <w:rsid w:val="5BBAC365"/>
    <w:rsid w:val="5BE523F7"/>
    <w:rsid w:val="5BFF4705"/>
    <w:rsid w:val="5BFF6869"/>
    <w:rsid w:val="5BFF9D62"/>
    <w:rsid w:val="5CFB0BCE"/>
    <w:rsid w:val="5CFF194F"/>
    <w:rsid w:val="5D0810CA"/>
    <w:rsid w:val="5D267DAB"/>
    <w:rsid w:val="5E072442"/>
    <w:rsid w:val="5E287173"/>
    <w:rsid w:val="5E9F383E"/>
    <w:rsid w:val="5EB2F4CC"/>
    <w:rsid w:val="5EFEF94D"/>
    <w:rsid w:val="5F27742B"/>
    <w:rsid w:val="5F77E87C"/>
    <w:rsid w:val="5FBB3EC2"/>
    <w:rsid w:val="5FBFF1E6"/>
    <w:rsid w:val="5FEBE819"/>
    <w:rsid w:val="5FF26E57"/>
    <w:rsid w:val="5FF5ADE3"/>
    <w:rsid w:val="5FFCEA6F"/>
    <w:rsid w:val="603F010C"/>
    <w:rsid w:val="60C8737A"/>
    <w:rsid w:val="64393E88"/>
    <w:rsid w:val="64432611"/>
    <w:rsid w:val="64B234DE"/>
    <w:rsid w:val="65420B1A"/>
    <w:rsid w:val="65EDBAA4"/>
    <w:rsid w:val="662875FC"/>
    <w:rsid w:val="664A1A2C"/>
    <w:rsid w:val="66B01F6A"/>
    <w:rsid w:val="674D37A6"/>
    <w:rsid w:val="67A01E99"/>
    <w:rsid w:val="67ED69EC"/>
    <w:rsid w:val="67EEF67F"/>
    <w:rsid w:val="6967283B"/>
    <w:rsid w:val="696848C8"/>
    <w:rsid w:val="6A295995"/>
    <w:rsid w:val="6B741C4A"/>
    <w:rsid w:val="6B745C8F"/>
    <w:rsid w:val="6BACE21A"/>
    <w:rsid w:val="6BB54225"/>
    <w:rsid w:val="6BBF3B71"/>
    <w:rsid w:val="6BDF3FD8"/>
    <w:rsid w:val="6C3B104D"/>
    <w:rsid w:val="6C5775A1"/>
    <w:rsid w:val="6CC54BBE"/>
    <w:rsid w:val="6D0A5298"/>
    <w:rsid w:val="6D3F2693"/>
    <w:rsid w:val="6D69232C"/>
    <w:rsid w:val="6DB56E82"/>
    <w:rsid w:val="6DFA6BF8"/>
    <w:rsid w:val="6DFB5FF3"/>
    <w:rsid w:val="6E315BD0"/>
    <w:rsid w:val="6E804989"/>
    <w:rsid w:val="6FBACFE8"/>
    <w:rsid w:val="6FBDBDFF"/>
    <w:rsid w:val="6FE960B8"/>
    <w:rsid w:val="6FF1FFDC"/>
    <w:rsid w:val="6FFBCC0A"/>
    <w:rsid w:val="70193B73"/>
    <w:rsid w:val="707350BA"/>
    <w:rsid w:val="71BF4E24"/>
    <w:rsid w:val="71ED0060"/>
    <w:rsid w:val="71F72C8D"/>
    <w:rsid w:val="725D6F93"/>
    <w:rsid w:val="7272DD7D"/>
    <w:rsid w:val="737D76DA"/>
    <w:rsid w:val="73BF74EB"/>
    <w:rsid w:val="73E07E7C"/>
    <w:rsid w:val="73FB1021"/>
    <w:rsid w:val="74081181"/>
    <w:rsid w:val="745254FC"/>
    <w:rsid w:val="74EB3FBC"/>
    <w:rsid w:val="74F160B9"/>
    <w:rsid w:val="751625FE"/>
    <w:rsid w:val="75773862"/>
    <w:rsid w:val="75CD61DE"/>
    <w:rsid w:val="75EA26BB"/>
    <w:rsid w:val="76876993"/>
    <w:rsid w:val="76C3673C"/>
    <w:rsid w:val="76E922A4"/>
    <w:rsid w:val="76EEBF22"/>
    <w:rsid w:val="7711659E"/>
    <w:rsid w:val="772702D9"/>
    <w:rsid w:val="772B977D"/>
    <w:rsid w:val="7731279D"/>
    <w:rsid w:val="77778B55"/>
    <w:rsid w:val="77844FC2"/>
    <w:rsid w:val="77AD48D0"/>
    <w:rsid w:val="77B37656"/>
    <w:rsid w:val="77B9BE8C"/>
    <w:rsid w:val="77DE19F9"/>
    <w:rsid w:val="77DF8D0D"/>
    <w:rsid w:val="77E617D9"/>
    <w:rsid w:val="77EB7CEF"/>
    <w:rsid w:val="781225CE"/>
    <w:rsid w:val="78DF17A2"/>
    <w:rsid w:val="7922469C"/>
    <w:rsid w:val="7977461B"/>
    <w:rsid w:val="79782D4F"/>
    <w:rsid w:val="79970D77"/>
    <w:rsid w:val="79EF4322"/>
    <w:rsid w:val="7AE722FB"/>
    <w:rsid w:val="7AEF742A"/>
    <w:rsid w:val="7B795B58"/>
    <w:rsid w:val="7B7E0AC2"/>
    <w:rsid w:val="7B7F7A61"/>
    <w:rsid w:val="7B9F65EF"/>
    <w:rsid w:val="7BBBE3CB"/>
    <w:rsid w:val="7BCE79B7"/>
    <w:rsid w:val="7BCEA6FC"/>
    <w:rsid w:val="7BD61BD7"/>
    <w:rsid w:val="7BE6B2D6"/>
    <w:rsid w:val="7BED941C"/>
    <w:rsid w:val="7BF215E9"/>
    <w:rsid w:val="7BFBA205"/>
    <w:rsid w:val="7C240B22"/>
    <w:rsid w:val="7C58FA8E"/>
    <w:rsid w:val="7D39527B"/>
    <w:rsid w:val="7D451D9F"/>
    <w:rsid w:val="7D7F5C9F"/>
    <w:rsid w:val="7DAB2F3C"/>
    <w:rsid w:val="7DAF4E64"/>
    <w:rsid w:val="7DBFBE96"/>
    <w:rsid w:val="7DE71E07"/>
    <w:rsid w:val="7DEE437A"/>
    <w:rsid w:val="7DFB5663"/>
    <w:rsid w:val="7DFF56BA"/>
    <w:rsid w:val="7DFFD65B"/>
    <w:rsid w:val="7E5D3781"/>
    <w:rsid w:val="7EB638B8"/>
    <w:rsid w:val="7EB7D837"/>
    <w:rsid w:val="7EEBF957"/>
    <w:rsid w:val="7EF705B8"/>
    <w:rsid w:val="7EFF55A5"/>
    <w:rsid w:val="7F1C592A"/>
    <w:rsid w:val="7F3925E5"/>
    <w:rsid w:val="7F4B7419"/>
    <w:rsid w:val="7F5E6F27"/>
    <w:rsid w:val="7F5F0F40"/>
    <w:rsid w:val="7F606315"/>
    <w:rsid w:val="7F6FBC77"/>
    <w:rsid w:val="7F77BA72"/>
    <w:rsid w:val="7F7D4786"/>
    <w:rsid w:val="7F7F262F"/>
    <w:rsid w:val="7F8B3294"/>
    <w:rsid w:val="7F9AC3E0"/>
    <w:rsid w:val="7FBD8A78"/>
    <w:rsid w:val="7FD27FF3"/>
    <w:rsid w:val="7FDBB3A1"/>
    <w:rsid w:val="7FEF9C25"/>
    <w:rsid w:val="7FF1B8D0"/>
    <w:rsid w:val="7FF573B4"/>
    <w:rsid w:val="7FFA0A21"/>
    <w:rsid w:val="7FFA771A"/>
    <w:rsid w:val="7FFBE844"/>
    <w:rsid w:val="7FFE9F61"/>
    <w:rsid w:val="7FFF3F0E"/>
    <w:rsid w:val="7FFFFD9F"/>
    <w:rsid w:val="8257BC9E"/>
    <w:rsid w:val="873DC599"/>
    <w:rsid w:val="89DBAEAA"/>
    <w:rsid w:val="8BBB928D"/>
    <w:rsid w:val="8DF96D12"/>
    <w:rsid w:val="97FB8BE8"/>
    <w:rsid w:val="9D3D56B6"/>
    <w:rsid w:val="9D7F5001"/>
    <w:rsid w:val="9EBF7CBE"/>
    <w:rsid w:val="9ED727B6"/>
    <w:rsid w:val="9F8FF19C"/>
    <w:rsid w:val="9FDE4320"/>
    <w:rsid w:val="A57D623D"/>
    <w:rsid w:val="A6F76C62"/>
    <w:rsid w:val="AA3F11A6"/>
    <w:rsid w:val="AABE3B66"/>
    <w:rsid w:val="ABF8D8AE"/>
    <w:rsid w:val="AD390538"/>
    <w:rsid w:val="AE793A6C"/>
    <w:rsid w:val="AF37C3A5"/>
    <w:rsid w:val="AF9C876B"/>
    <w:rsid w:val="AFFBB701"/>
    <w:rsid w:val="B3DB375B"/>
    <w:rsid w:val="B66F036E"/>
    <w:rsid w:val="B6BF05F4"/>
    <w:rsid w:val="BA7B23C6"/>
    <w:rsid w:val="BABE3C31"/>
    <w:rsid w:val="BADBA595"/>
    <w:rsid w:val="BBF55A1D"/>
    <w:rsid w:val="BCD42FE0"/>
    <w:rsid w:val="BDFCE12A"/>
    <w:rsid w:val="BE4FF0A2"/>
    <w:rsid w:val="BE7BE60B"/>
    <w:rsid w:val="BEDD51F4"/>
    <w:rsid w:val="BEFF90E2"/>
    <w:rsid w:val="BFAE37F4"/>
    <w:rsid w:val="BFBFF5E2"/>
    <w:rsid w:val="BFD5A4B1"/>
    <w:rsid w:val="BFF98DA7"/>
    <w:rsid w:val="BFFBC60C"/>
    <w:rsid w:val="BFFD3BF5"/>
    <w:rsid w:val="C35F7942"/>
    <w:rsid w:val="C5DFEA75"/>
    <w:rsid w:val="C9FFC23D"/>
    <w:rsid w:val="CCAC30CE"/>
    <w:rsid w:val="CEEFD67E"/>
    <w:rsid w:val="CFEB2DEA"/>
    <w:rsid w:val="CFFF7906"/>
    <w:rsid w:val="D027123A"/>
    <w:rsid w:val="D3DAFCBA"/>
    <w:rsid w:val="D7CBD349"/>
    <w:rsid w:val="D7DDB229"/>
    <w:rsid w:val="D7F1FE30"/>
    <w:rsid w:val="D7FB87B6"/>
    <w:rsid w:val="D8DD9AF2"/>
    <w:rsid w:val="D97533A1"/>
    <w:rsid w:val="D97DA692"/>
    <w:rsid w:val="DAB4074A"/>
    <w:rsid w:val="DAC3F0BF"/>
    <w:rsid w:val="DAFFD443"/>
    <w:rsid w:val="DBBE4EFA"/>
    <w:rsid w:val="DBFB6C70"/>
    <w:rsid w:val="DE8BBA5F"/>
    <w:rsid w:val="DEF3898F"/>
    <w:rsid w:val="DEFE2231"/>
    <w:rsid w:val="DF672F52"/>
    <w:rsid w:val="DFE66715"/>
    <w:rsid w:val="DFEF7178"/>
    <w:rsid w:val="DFF6E559"/>
    <w:rsid w:val="DFFD6694"/>
    <w:rsid w:val="DFFED934"/>
    <w:rsid w:val="DFFFEACA"/>
    <w:rsid w:val="E2EBD9C8"/>
    <w:rsid w:val="E70458BA"/>
    <w:rsid w:val="E73567A3"/>
    <w:rsid w:val="E75F3D02"/>
    <w:rsid w:val="E7675AD4"/>
    <w:rsid w:val="E77F7663"/>
    <w:rsid w:val="EAEE5692"/>
    <w:rsid w:val="EBAF9D96"/>
    <w:rsid w:val="EBEDB165"/>
    <w:rsid w:val="EC7B9CC3"/>
    <w:rsid w:val="ECBFC14B"/>
    <w:rsid w:val="ED3B651D"/>
    <w:rsid w:val="ED651A30"/>
    <w:rsid w:val="EDBFCE11"/>
    <w:rsid w:val="EEEF45B2"/>
    <w:rsid w:val="EEFF5F06"/>
    <w:rsid w:val="EEFFEBC9"/>
    <w:rsid w:val="EF7D56AA"/>
    <w:rsid w:val="EFDE7A36"/>
    <w:rsid w:val="EFEFADEE"/>
    <w:rsid w:val="EFF12C67"/>
    <w:rsid w:val="EFF7B493"/>
    <w:rsid w:val="EFFEB42D"/>
    <w:rsid w:val="EFFECF41"/>
    <w:rsid w:val="EFFFD5A1"/>
    <w:rsid w:val="F2F922E6"/>
    <w:rsid w:val="F336EFD0"/>
    <w:rsid w:val="F3FFE366"/>
    <w:rsid w:val="F41FB0B2"/>
    <w:rsid w:val="F525B3A8"/>
    <w:rsid w:val="F5470577"/>
    <w:rsid w:val="F568BA10"/>
    <w:rsid w:val="F57F099A"/>
    <w:rsid w:val="F5BF0818"/>
    <w:rsid w:val="F5FB4B25"/>
    <w:rsid w:val="F5FC7ADE"/>
    <w:rsid w:val="F67FD6BA"/>
    <w:rsid w:val="F7751199"/>
    <w:rsid w:val="F7979DA0"/>
    <w:rsid w:val="F79D317E"/>
    <w:rsid w:val="F7BEE074"/>
    <w:rsid w:val="F7D67620"/>
    <w:rsid w:val="F7EDDAE7"/>
    <w:rsid w:val="F7F962A3"/>
    <w:rsid w:val="F7FF8411"/>
    <w:rsid w:val="F8A48887"/>
    <w:rsid w:val="F8B532EC"/>
    <w:rsid w:val="F8F27C2E"/>
    <w:rsid w:val="F979BDF7"/>
    <w:rsid w:val="FABDAF59"/>
    <w:rsid w:val="FAEF05F2"/>
    <w:rsid w:val="FAFC25E6"/>
    <w:rsid w:val="FB5B5A71"/>
    <w:rsid w:val="FB7A60EC"/>
    <w:rsid w:val="FBB7A50B"/>
    <w:rsid w:val="FBE735CD"/>
    <w:rsid w:val="FBFBECA0"/>
    <w:rsid w:val="FBFBEE21"/>
    <w:rsid w:val="FBFD44E0"/>
    <w:rsid w:val="FBFEFC7E"/>
    <w:rsid w:val="FBFF9C87"/>
    <w:rsid w:val="FC897D51"/>
    <w:rsid w:val="FCBDBA2D"/>
    <w:rsid w:val="FCEF70C6"/>
    <w:rsid w:val="FCFA6316"/>
    <w:rsid w:val="FDD50D94"/>
    <w:rsid w:val="FDFBAC79"/>
    <w:rsid w:val="FDFE0828"/>
    <w:rsid w:val="FE734873"/>
    <w:rsid w:val="FE7710FE"/>
    <w:rsid w:val="FEBCF3FF"/>
    <w:rsid w:val="FEBD6BBB"/>
    <w:rsid w:val="FEF130DE"/>
    <w:rsid w:val="FEF7F8A2"/>
    <w:rsid w:val="FEFB4FF6"/>
    <w:rsid w:val="FEFBDC40"/>
    <w:rsid w:val="FEFBE82C"/>
    <w:rsid w:val="FEFD8401"/>
    <w:rsid w:val="FEFF0422"/>
    <w:rsid w:val="FF137DBD"/>
    <w:rsid w:val="FF259DE8"/>
    <w:rsid w:val="FF4BF764"/>
    <w:rsid w:val="FF6D9193"/>
    <w:rsid w:val="FF75DCC6"/>
    <w:rsid w:val="FF75F784"/>
    <w:rsid w:val="FF79AEC2"/>
    <w:rsid w:val="FF7F9722"/>
    <w:rsid w:val="FF919E9B"/>
    <w:rsid w:val="FFB6D138"/>
    <w:rsid w:val="FFB90B2C"/>
    <w:rsid w:val="FFBC22EB"/>
    <w:rsid w:val="FFCF9FCB"/>
    <w:rsid w:val="FFDD784E"/>
    <w:rsid w:val="FFDFDFFC"/>
    <w:rsid w:val="FFEF4721"/>
    <w:rsid w:val="FFF62A50"/>
    <w:rsid w:val="FFF656FF"/>
    <w:rsid w:val="FFF7B8C0"/>
    <w:rsid w:val="FFFD9A6C"/>
    <w:rsid w:val="FFFE035C"/>
    <w:rsid w:val="FFFE58B4"/>
    <w:rsid w:val="FFFE7E86"/>
    <w:rsid w:val="FFFF21AC"/>
    <w:rsid w:val="FFFFE6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2"/>
    <w:basedOn w:val="1"/>
    <w:next w:val="1"/>
    <w:link w:val="20"/>
    <w:qFormat/>
    <w:locked/>
    <w:uiPriority w:val="99"/>
    <w:pPr>
      <w:spacing w:beforeAutospacing="1" w:afterAutospacing="1"/>
      <w:jc w:val="left"/>
      <w:outlineLvl w:val="1"/>
    </w:pPr>
    <w:rPr>
      <w:rFonts w:ascii="宋体" w:hAnsi="宋体"/>
      <w:b/>
      <w:bCs/>
      <w:kern w:val="0"/>
      <w:sz w:val="36"/>
      <w:szCs w:val="36"/>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99"/>
    <w:pPr>
      <w:spacing w:after="120"/>
    </w:pPr>
  </w:style>
  <w:style w:type="paragraph" w:styleId="4">
    <w:name w:val="Body Text Indent 2"/>
    <w:basedOn w:val="1"/>
    <w:next w:val="1"/>
    <w:link w:val="22"/>
    <w:qFormat/>
    <w:uiPriority w:val="99"/>
    <w:pPr>
      <w:spacing w:after="120" w:line="480" w:lineRule="auto"/>
      <w:ind w:left="420" w:leftChars="200"/>
    </w:pPr>
  </w:style>
  <w:style w:type="paragraph" w:styleId="5">
    <w:name w:val="footer"/>
    <w:basedOn w:val="1"/>
    <w:link w:val="23"/>
    <w:qFormat/>
    <w:uiPriority w:val="99"/>
    <w:pPr>
      <w:tabs>
        <w:tab w:val="center" w:pos="4153"/>
        <w:tab w:val="right" w:pos="8306"/>
      </w:tabs>
      <w:snapToGrid w:val="0"/>
      <w:jc w:val="left"/>
    </w:pPr>
    <w:rPr>
      <w:sz w:val="18"/>
    </w:rPr>
  </w:style>
  <w:style w:type="paragraph" w:styleId="6">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99"/>
    <w:rPr>
      <w:rFonts w:cs="Times New Roman"/>
      <w:b/>
      <w:color w:val="333333"/>
      <w:sz w:val="21"/>
      <w:szCs w:val="21"/>
      <w:shd w:val="clear" w:color="auto" w:fill="F8F8F8"/>
    </w:rPr>
  </w:style>
  <w:style w:type="character" w:styleId="12">
    <w:name w:val="page number"/>
    <w:basedOn w:val="10"/>
    <w:qFormat/>
    <w:locked/>
    <w:uiPriority w:val="99"/>
    <w:rPr>
      <w:rFonts w:cs="Times New Roman"/>
    </w:rPr>
  </w:style>
  <w:style w:type="character" w:styleId="13">
    <w:name w:val="FollowedHyperlink"/>
    <w:basedOn w:val="10"/>
    <w:semiHidden/>
    <w:qFormat/>
    <w:uiPriority w:val="99"/>
    <w:rPr>
      <w:rFonts w:cs="Times New Roman"/>
      <w:color w:val="333333"/>
      <w:u w:val="none"/>
    </w:rPr>
  </w:style>
  <w:style w:type="character" w:styleId="14">
    <w:name w:val="Emphasis"/>
    <w:basedOn w:val="10"/>
    <w:qFormat/>
    <w:locked/>
    <w:uiPriority w:val="99"/>
    <w:rPr>
      <w:rFonts w:cs="Times New Roman"/>
    </w:rPr>
  </w:style>
  <w:style w:type="character" w:styleId="15">
    <w:name w:val="HTML Definition"/>
    <w:basedOn w:val="10"/>
    <w:semiHidden/>
    <w:qFormat/>
    <w:uiPriority w:val="99"/>
    <w:rPr>
      <w:rFonts w:cs="Times New Roman"/>
    </w:rPr>
  </w:style>
  <w:style w:type="character" w:styleId="16">
    <w:name w:val="HTML Variable"/>
    <w:basedOn w:val="10"/>
    <w:semiHidden/>
    <w:qFormat/>
    <w:uiPriority w:val="99"/>
    <w:rPr>
      <w:rFonts w:cs="Times New Roman"/>
    </w:rPr>
  </w:style>
  <w:style w:type="character" w:styleId="17">
    <w:name w:val="Hyperlink"/>
    <w:basedOn w:val="10"/>
    <w:semiHidden/>
    <w:qFormat/>
    <w:uiPriority w:val="99"/>
    <w:rPr>
      <w:rFonts w:cs="Times New Roman"/>
      <w:color w:val="333333"/>
      <w:u w:val="none"/>
    </w:rPr>
  </w:style>
  <w:style w:type="character" w:styleId="18">
    <w:name w:val="HTML Code"/>
    <w:basedOn w:val="10"/>
    <w:semiHidden/>
    <w:qFormat/>
    <w:uiPriority w:val="99"/>
    <w:rPr>
      <w:rFonts w:ascii="Courier New" w:hAnsi="Courier New" w:cs="Times New Roman"/>
      <w:sz w:val="20"/>
    </w:rPr>
  </w:style>
  <w:style w:type="character" w:styleId="19">
    <w:name w:val="HTML Cite"/>
    <w:basedOn w:val="10"/>
    <w:semiHidden/>
    <w:qFormat/>
    <w:uiPriority w:val="99"/>
    <w:rPr>
      <w:rFonts w:cs="Times New Roman"/>
    </w:rPr>
  </w:style>
  <w:style w:type="character" w:customStyle="1" w:styleId="20">
    <w:name w:val="Heading 2 Char"/>
    <w:basedOn w:val="10"/>
    <w:link w:val="2"/>
    <w:semiHidden/>
    <w:qFormat/>
    <w:locked/>
    <w:uiPriority w:val="99"/>
    <w:rPr>
      <w:rFonts w:ascii="Cambria" w:hAnsi="Cambria" w:eastAsia="宋体" w:cs="Times New Roman"/>
      <w:b/>
      <w:bCs/>
      <w:sz w:val="32"/>
      <w:szCs w:val="32"/>
    </w:rPr>
  </w:style>
  <w:style w:type="character" w:customStyle="1" w:styleId="21">
    <w:name w:val="Body Text Char"/>
    <w:basedOn w:val="10"/>
    <w:link w:val="3"/>
    <w:semiHidden/>
    <w:qFormat/>
    <w:locked/>
    <w:uiPriority w:val="99"/>
    <w:rPr>
      <w:rFonts w:cs="Times New Roman"/>
    </w:rPr>
  </w:style>
  <w:style w:type="character" w:customStyle="1" w:styleId="22">
    <w:name w:val="Body Text Indent 2 Char"/>
    <w:basedOn w:val="10"/>
    <w:link w:val="4"/>
    <w:semiHidden/>
    <w:qFormat/>
    <w:locked/>
    <w:uiPriority w:val="99"/>
    <w:rPr>
      <w:rFonts w:cs="Times New Roman"/>
    </w:rPr>
  </w:style>
  <w:style w:type="character" w:customStyle="1" w:styleId="23">
    <w:name w:val="Footer Char"/>
    <w:basedOn w:val="10"/>
    <w:link w:val="5"/>
    <w:semiHidden/>
    <w:qFormat/>
    <w:locked/>
    <w:uiPriority w:val="99"/>
    <w:rPr>
      <w:rFonts w:cs="Times New Roman"/>
      <w:sz w:val="18"/>
      <w:szCs w:val="18"/>
    </w:rPr>
  </w:style>
  <w:style w:type="character" w:customStyle="1" w:styleId="24">
    <w:name w:val="Header Char"/>
    <w:basedOn w:val="10"/>
    <w:link w:val="6"/>
    <w:semiHidden/>
    <w:qFormat/>
    <w:locked/>
    <w:uiPriority w:val="99"/>
    <w:rPr>
      <w:rFonts w:cs="Times New Roman"/>
      <w:sz w:val="18"/>
      <w:szCs w:val="18"/>
    </w:rPr>
  </w:style>
  <w:style w:type="character" w:customStyle="1" w:styleId="25">
    <w:name w:val="font01"/>
    <w:basedOn w:val="10"/>
    <w:qFormat/>
    <w:uiPriority w:val="99"/>
    <w:rPr>
      <w:rFonts w:ascii="方正仿宋_GBK" w:hAnsi="方正仿宋_GBK" w:eastAsia="方正仿宋_GBK" w:cs="方正仿宋_GBK"/>
      <w:color w:val="000000"/>
      <w:sz w:val="24"/>
      <w:szCs w:val="24"/>
      <w:u w:val="none"/>
    </w:rPr>
  </w:style>
  <w:style w:type="character" w:customStyle="1" w:styleId="26">
    <w:name w:val="font11"/>
    <w:basedOn w:val="10"/>
    <w:qFormat/>
    <w:uiPriority w:val="99"/>
    <w:rPr>
      <w:rFonts w:ascii="仿宋_GB2312" w:eastAsia="仿宋_GB2312" w:cs="仿宋_GB2312"/>
      <w:b/>
      <w:bCs/>
      <w:color w:val="000000"/>
      <w:sz w:val="32"/>
      <w:szCs w:val="32"/>
      <w:u w:val="none"/>
    </w:rPr>
  </w:style>
  <w:style w:type="character" w:customStyle="1" w:styleId="27">
    <w:name w:val="font21"/>
    <w:basedOn w:val="10"/>
    <w:qFormat/>
    <w:uiPriority w:val="99"/>
    <w:rPr>
      <w:rFonts w:ascii="仿宋" w:hAnsi="仿宋" w:eastAsia="仿宋" w:cs="仿宋"/>
      <w:b/>
      <w:bCs/>
      <w:color w:val="000000"/>
      <w:sz w:val="24"/>
      <w:szCs w:val="24"/>
      <w:u w:val="none"/>
    </w:rPr>
  </w:style>
  <w:style w:type="character" w:customStyle="1" w:styleId="28">
    <w:name w:val="font31"/>
    <w:basedOn w:val="10"/>
    <w:qFormat/>
    <w:uiPriority w:val="99"/>
    <w:rPr>
      <w:rFonts w:ascii="Arial" w:hAnsi="Arial" w:cs="Arial"/>
      <w:b/>
      <w:bCs/>
      <w:color w:val="000000"/>
      <w:sz w:val="32"/>
      <w:szCs w:val="32"/>
      <w:u w:val="none"/>
    </w:rPr>
  </w:style>
  <w:style w:type="character" w:customStyle="1" w:styleId="29">
    <w:name w:val="first-child"/>
    <w:basedOn w:val="10"/>
    <w:qFormat/>
    <w:uiPriority w:val="99"/>
    <w:rPr>
      <w:rFonts w:cs="Times New Roman"/>
    </w:rPr>
  </w:style>
  <w:style w:type="character" w:customStyle="1" w:styleId="30">
    <w:name w:val="show-title"/>
    <w:basedOn w:val="10"/>
    <w:qFormat/>
    <w:uiPriority w:val="99"/>
    <w:rPr>
      <w:rFonts w:cs="Times New Roman"/>
    </w:rPr>
  </w:style>
  <w:style w:type="character" w:customStyle="1" w:styleId="31">
    <w:name w:val="hover21"/>
    <w:basedOn w:val="10"/>
    <w:qFormat/>
    <w:uiPriority w:val="99"/>
    <w:rPr>
      <w:rFonts w:cs="Times New Roman"/>
      <w:color w:val="337AB7"/>
    </w:rPr>
  </w:style>
  <w:style w:type="character" w:customStyle="1" w:styleId="32">
    <w:name w:val="hover22"/>
    <w:basedOn w:val="10"/>
    <w:qFormat/>
    <w:uiPriority w:val="99"/>
    <w:rPr>
      <w:rFonts w:cs="Times New Roman"/>
      <w:color w:val="BF0101"/>
      <w:u w:val="none"/>
      <w:bdr w:val="single" w:color="BF0101" w:sz="6" w:space="0"/>
    </w:rPr>
  </w:style>
  <w:style w:type="character" w:customStyle="1" w:styleId="33">
    <w:name w:val="layui-this"/>
    <w:basedOn w:val="10"/>
    <w:qFormat/>
    <w:uiPriority w:val="99"/>
    <w:rPr>
      <w:rFonts w:cs="Times New Roman"/>
      <w:bdr w:val="single" w:color="EEEEEE" w:sz="6" w:space="0"/>
      <w:shd w:val="clear" w:color="auto" w:fill="FFFFFF"/>
    </w:rPr>
  </w:style>
  <w:style w:type="character" w:customStyle="1" w:styleId="34">
    <w:name w:val="center2"/>
    <w:basedOn w:val="10"/>
    <w:qFormat/>
    <w:uiPriority w:val="99"/>
    <w:rPr>
      <w:rFonts w:cs="Times New Roman"/>
    </w:rPr>
  </w:style>
  <w:style w:type="character" w:customStyle="1" w:styleId="35">
    <w:name w:val="image-title3"/>
    <w:basedOn w:val="10"/>
    <w:qFormat/>
    <w:uiPriority w:val="99"/>
    <w:rPr>
      <w:rFonts w:cs="Times New Roman"/>
      <w:color w:val="808080"/>
      <w:sz w:val="21"/>
      <w:szCs w:val="21"/>
    </w:rPr>
  </w:style>
  <w:style w:type="character" w:customStyle="1" w:styleId="36">
    <w:name w:val="image-title"/>
    <w:basedOn w:val="10"/>
    <w:qFormat/>
    <w:uiPriority w:val="99"/>
    <w:rPr>
      <w:rFonts w:cs="Times New Roman"/>
      <w:color w:val="808080"/>
      <w:sz w:val="21"/>
      <w:szCs w:val="21"/>
    </w:rPr>
  </w:style>
  <w:style w:type="character" w:customStyle="1" w:styleId="37">
    <w:name w:val="hover20"/>
    <w:basedOn w:val="10"/>
    <w:qFormat/>
    <w:uiPriority w:val="99"/>
    <w:rPr>
      <w:rFonts w:cs="Times New Roman"/>
      <w:color w:val="337AB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46</Pages>
  <Words>14826</Words>
  <Characters>14935</Characters>
  <Lines>0</Lines>
  <Paragraphs>0</Paragraphs>
  <TotalTime>15</TotalTime>
  <ScaleCrop>false</ScaleCrop>
  <LinksUpToDate>false</LinksUpToDate>
  <CharactersWithSpaces>15020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2025-03-22T17:08:00Z</dcterms:created>
  <dc:creator>法律顾问</dc:creator>
  <cp:lastModifiedBy>zfzd</cp:lastModifiedBy>
  <cp:lastPrinted>2025-04-25T14:56:00Z</cp:lastPrinted>
  <dcterms:modified xsi:type="dcterms:W3CDTF">2026-04-09T15:20:52Z</dcterms:modified>
  <dc:title>生态环境涉企行政检查事项清单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B6C3D633EA0467C95026D769299D7725</vt:lpwstr>
  </property>
  <property fmtid="{D5CDD505-2E9C-101B-9397-08002B2CF9AE}" pid="4" name="KSOTemplateDocerSaveRecord">
    <vt:lpwstr>eyJoZGlkIjoiYTQ2MTJkZDkzZmY4YTM5ODkxNWQ3OTlhMzE4ZjczY2EiLCJ1c2VySWQiOiI0NzA4ODA4OTAifQ==</vt:lpwstr>
  </property>
</Properties>
</file>