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E21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津市市文旅广体局</w:t>
      </w:r>
    </w:p>
    <w:p w14:paraId="1AB4C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2025年行政执法工作年报</w:t>
      </w:r>
    </w:p>
    <w:p w14:paraId="07089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384C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津市市文旅广体局坚持以习近平法治思想为指导，紧紧围绕市委、市政府决策部署，立足文化、旅游、广电、体育等核心职能，以规范执法行为、优化市场环境、保障群众权益为目标，扎实推进行政执法各项工作，为全市文旅广体事业高质量发展筑牢法治保障。现将全年工作情况报告如下：</w:t>
      </w:r>
    </w:p>
    <w:p w14:paraId="60D40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一、工作总体情况</w:t>
      </w:r>
    </w:p>
    <w:p w14:paraId="5C3341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2025年，全局聚焦文旅广体市场监管重点领域，严格履行行政执法职责，统一行使文化、文物、出版、体育、广播电视、电影、旅游市场领域行政执法权及“扫黄打非”执法检查任务。全年累计开展行政执法检查2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次，其中日常巡查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185</w:t>
      </w:r>
      <w:r>
        <w:rPr>
          <w:rFonts w:hint="eastAsia" w:ascii="仿宋_GB2312" w:hAnsi="仿宋_GB2312" w:eastAsia="仿宋_GB2312" w:cs="仿宋_GB2312"/>
          <w:sz w:val="32"/>
          <w:szCs w:val="32"/>
        </w:rPr>
        <w:t>次、专项整治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次、联合执法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次；出动执法人员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510</w:t>
      </w:r>
      <w:r>
        <w:rPr>
          <w:rFonts w:hint="eastAsia" w:ascii="仿宋_GB2312" w:hAnsi="仿宋_GB2312" w:eastAsia="仿宋_GB2312" w:cs="仿宋_GB2312"/>
          <w:sz w:val="32"/>
          <w:szCs w:val="32"/>
        </w:rPr>
        <w:t>余人次，检查各类经营场所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370</w:t>
      </w:r>
      <w:r>
        <w:rPr>
          <w:rFonts w:hint="eastAsia" w:ascii="仿宋_GB2312" w:hAnsi="仿宋_GB2312" w:eastAsia="仿宋_GB2312" w:cs="仿宋_GB2312"/>
          <w:sz w:val="32"/>
          <w:szCs w:val="32"/>
        </w:rPr>
        <w:t>余家次，发现并整改安全隐患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 w:val="32"/>
          <w:szCs w:val="32"/>
        </w:rPr>
        <w:t>处，办理柔性执法案件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件，立案查处违法违规案件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起，有效维护了市场秩序。</w:t>
      </w:r>
    </w:p>
    <w:p w14:paraId="747DC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二、主要工作举措及成效</w:t>
      </w:r>
    </w:p>
    <w:p w14:paraId="0E7A1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（一）健全执法制度，规范执法行为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行政执法“三项制度”，全面推行行政执法公示、执法全过程记录、重大执法决定法制审核制度，在行政许可、行政处罚、行政检查三类行为中实现全覆盖。通过政府门户网站、单位公示专栏等渠道，及时公开执法主体、权限、依据、程序及行政许可、行政处罚结果等信息，全年主动公开执法相关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67</w:t>
      </w:r>
      <w:r>
        <w:rPr>
          <w:rFonts w:hint="eastAsia" w:ascii="仿宋_GB2312" w:hAnsi="仿宋_GB2312" w:eastAsia="仿宋_GB2312" w:cs="仿宋_GB2312"/>
          <w:sz w:val="32"/>
          <w:szCs w:val="32"/>
        </w:rPr>
        <w:t>条。完善执法保障体系，为一线执法人员配备执法记录仪等设备，实现执法全过程文字、音像记录；规范执法程序，实行执法人员持证上岗、资格管理制度，组织执法人员参加线上法律知识考试，参考率与合格率均达100%。推进“互联网+监管”建设，优化“全国文化市场监管平台”应用，实现执法业务全流程线上办理，提升执法信息化、智能化水平，扩大监管数据覆盖率。</w:t>
      </w:r>
    </w:p>
    <w:p w14:paraId="7A3D8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（二）聚焦重点领域，强化市场监管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生产专项整治：针对夏季游泳高峰期安全风险，开展游泳场馆专项检查，重点核查场馆证照、安全制度、救生人员资质及器材配备等情况，对救生员数量未达标的场所责令立即整改，并开展不定期“回头看”检查，筑牢安全防线。联合相关部门开展文旅经营场所消防安全专项整治，强化经营主体责任落实。市场秩序专项治理：开展歌舞娱乐场所专项整治，重点检查是否擅自停用视频监控系统、违规接纳未成年人、曲库含违禁歌曲等问题；加强艺术类培训机构日常监管，督促机构适应政策调整，规范经营行为；深化出版物市场检查，严查中小学周边违规销售有害出版物、不健康儿童卡片等行为，维护校园周边文化环境。行业乱象集中整治：聚焦旅游市场导游乱象、强制消费等问题，公开投诉举报渠道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办理涉景区、旅行社投诉案件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5件</w:t>
      </w:r>
      <w:r>
        <w:rPr>
          <w:rFonts w:hint="eastAsia" w:ascii="仿宋_GB2312" w:hAnsi="仿宋_GB2312" w:eastAsia="仿宋_GB2312" w:cs="仿宋_GB2312"/>
          <w:sz w:val="32"/>
          <w:szCs w:val="32"/>
        </w:rPr>
        <w:t>；开展境外电视信号专项治理，检查酒店、旅馆等场所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余家，规范境外节目接收传播行为。</w:t>
      </w:r>
    </w:p>
    <w:p w14:paraId="1F4B9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（三）创新普法模式，营造法治氛围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开展行业定向普法，组织网吧、歌舞娱乐、旅游企业等经营业主法律法规培训班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期，培训从业人员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160</w:t>
      </w:r>
      <w:r>
        <w:rPr>
          <w:rFonts w:hint="eastAsia" w:ascii="仿宋_GB2312" w:hAnsi="仿宋_GB2312" w:eastAsia="仿宋_GB2312" w:cs="仿宋_GB2312"/>
          <w:sz w:val="32"/>
          <w:szCs w:val="32"/>
        </w:rPr>
        <w:t>余人次，发放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宣传手册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余</w:t>
      </w:r>
      <w:r>
        <w:rPr>
          <w:rFonts w:hint="eastAsia" w:ascii="仿宋_GB2312" w:hAnsi="仿宋_GB2312" w:eastAsia="仿宋_GB2312" w:cs="仿宋_GB2312"/>
          <w:sz w:val="32"/>
          <w:szCs w:val="32"/>
        </w:rPr>
        <w:t>册，提升经营者守法意识和风险防范能力。丰富普法载体，结合“4·15”全民国家安全教育日、“5·19”中国旅游日、“12·4”国家宪法日等节点，开展主题普法宣传活动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场次，发放宣传资料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3000</w:t>
      </w:r>
      <w:r>
        <w:rPr>
          <w:rFonts w:hint="eastAsia" w:ascii="仿宋_GB2312" w:hAnsi="仿宋_GB2312" w:eastAsia="仿宋_GB2312" w:cs="仿宋_GB2312"/>
          <w:sz w:val="32"/>
          <w:szCs w:val="32"/>
        </w:rPr>
        <w:t>余份，接受群众咨询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余人次；通过微信公众号开设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普法</w:t>
      </w:r>
      <w:r>
        <w:rPr>
          <w:rFonts w:hint="eastAsia" w:ascii="仿宋_GB2312" w:hAnsi="仿宋_GB2312" w:eastAsia="仿宋_GB2312" w:cs="仿宋_GB2312"/>
          <w:sz w:val="32"/>
          <w:szCs w:val="32"/>
        </w:rPr>
        <w:t>专栏，发布法治宣传信息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余条。强化执法过程普法，执法人员在日常检查、案件办理中，向经营业主、从业人员及消费者宣传相关法律法规和安全防范知识，实现“执法一次、普法一片”。</w:t>
      </w:r>
    </w:p>
    <w:p w14:paraId="31276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（四）优化执法方式，提升服务效能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推行柔性执法，落实涉企“免罚轻罚”清单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项，对情节轻微、未造成危害后果的违法违规行为，积极推行告知承诺制，采用提醒、告诫、约谈等非强制性手段处置，兼顾执法力度与温度，保障企业权益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累计对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件案件适用该制度予以办理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有效提升了行政执法效能，显著增强了政务服务的便利性与透明度，提升了市场主体和人民群众的满意度与获得感。创新涉企执法服务，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公布涉企行政检查事项清单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33项，</w:t>
      </w:r>
      <w:r>
        <w:rPr>
          <w:rFonts w:hint="eastAsia" w:ascii="仿宋_GB2312" w:hAnsi="仿宋_GB2312" w:eastAsia="仿宋_GB2312" w:cs="仿宋_GB2312"/>
          <w:sz w:val="32"/>
          <w:szCs w:val="32"/>
        </w:rPr>
        <w:t>推行“扫码入企”机制，落实涉企执法检查备案制度，减少不必要的执法干扰，优化营商环境。建立长效监管机制，实行执法人员分片包干责任制，采取重点执法、常规巡查、暗访调查相结合的方式，提升监管精准度；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季度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组织案件交流会，开展案卷评查，提升办案质量。</w:t>
      </w:r>
    </w:p>
    <w:p w14:paraId="2A673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三、存在的问题与不足</w:t>
      </w:r>
    </w:p>
    <w:p w14:paraId="517F6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执法队伍专业能力有待提升，面对文旅新业态、新领域的执法需求，部分执法人员专业知识和办案技能不足，主动发现案件线索的能力有待加强。</w:t>
      </w:r>
    </w:p>
    <w:p w14:paraId="6A7C02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执法监管覆盖面仍需扩大，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城乡接合部</w:t>
      </w:r>
      <w:r>
        <w:rPr>
          <w:rFonts w:hint="eastAsia" w:ascii="仿宋_GB2312" w:hAnsi="仿宋_GB2312" w:eastAsia="仿宋_GB2312" w:cs="仿宋_GB2312"/>
          <w:sz w:val="32"/>
          <w:szCs w:val="32"/>
        </w:rPr>
        <w:t>、新兴文旅消费场景的监管力量相对薄弱，存在监管盲区。</w:t>
      </w:r>
    </w:p>
    <w:p w14:paraId="49CF1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部门协同执法机制需进一步完善，跨部门、跨领域联合执法的频次和效能有待提升，信息共享、线索移送的联动性不足。</w:t>
      </w:r>
    </w:p>
    <w:p w14:paraId="33063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下一步</w:t>
      </w:r>
      <w:r>
        <w:rPr>
          <w:rFonts w:hint="eastAsia" w:ascii="黑体" w:hAnsi="黑体" w:eastAsia="黑体" w:cs="黑体"/>
          <w:sz w:val="32"/>
          <w:szCs w:val="32"/>
        </w:rPr>
        <w:t>工作计划</w:t>
      </w:r>
      <w:bookmarkStart w:id="0" w:name="_GoBack"/>
      <w:bookmarkEnd w:id="0"/>
    </w:p>
    <w:p w14:paraId="4B6CA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加强执法队伍建设，实行“常态化练兵”，组织开展法治培训等活动，重点提升新业态执法、案卷制作等能力，打造专业化执法队伍。</w:t>
      </w:r>
    </w:p>
    <w:p w14:paraId="3AF27D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深化执法监管创新，扩大“互联网+监管”应用范围，运用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全国文化市场技术监管平台和文旅安监</w:t>
      </w:r>
      <w:r>
        <w:rPr>
          <w:rFonts w:hint="eastAsia" w:ascii="仿宋_GB2312" w:hAnsi="仿宋_GB2312" w:eastAsia="仿宋_GB2312" w:cs="仿宋_GB2312"/>
          <w:sz w:val="32"/>
          <w:szCs w:val="32"/>
        </w:rPr>
        <w:t>等技术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平台</w:t>
      </w:r>
      <w:r>
        <w:rPr>
          <w:rFonts w:hint="eastAsia" w:ascii="仿宋_GB2312" w:hAnsi="仿宋_GB2312" w:eastAsia="仿宋_GB2312" w:cs="仿宋_GB2312"/>
          <w:sz w:val="32"/>
          <w:szCs w:val="32"/>
        </w:rPr>
        <w:t>提升监管精准度；加大新兴文旅场所的执法力度，消除监管盲区。</w:t>
      </w:r>
    </w:p>
    <w:p w14:paraId="66C4FA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完善协同执法机制，加强与司法、市场监管、公安等部门的协作，健全信息共享、联合检查、线索移送制度，形成执法合力。</w:t>
      </w:r>
    </w:p>
    <w:p w14:paraId="055CF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sz w:val="32"/>
          <w:szCs w:val="32"/>
        </w:rPr>
        <w:t>优化普法宣传教育，创新“文艺+普法”模式，开展法治文艺下乡巡演活动，提升普法的趣味性和感染力；持续强化行业普法，推动经营主体自觉守法、诚信经营。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7602A7"/>
    <w:rsid w:val="15EEB34B"/>
    <w:rsid w:val="291E6775"/>
    <w:rsid w:val="35B8198B"/>
    <w:rsid w:val="4792B8D4"/>
    <w:rsid w:val="4FBFF799"/>
    <w:rsid w:val="7A7F7DF7"/>
    <w:rsid w:val="7AF04D30"/>
    <w:rsid w:val="7E77292B"/>
    <w:rsid w:val="7F7DCB51"/>
    <w:rsid w:val="7FFE3CA7"/>
    <w:rsid w:val="C27716C1"/>
    <w:rsid w:val="E7FB3349"/>
    <w:rsid w:val="EFEEDD35"/>
    <w:rsid w:val="F5FF6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2111</Words>
  <Characters>2154</Characters>
  <Lines>0</Lines>
  <Paragraphs>0</Paragraphs>
  <TotalTime>96</TotalTime>
  <ScaleCrop>false</ScaleCrop>
  <LinksUpToDate>false</LinksUpToDate>
  <CharactersWithSpaces>2154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2026-01-14T09:02:00Z</dcterms:created>
  <dc:creator>Administrator</dc:creator>
  <cp:lastModifiedBy>哈哈哈哈</cp:lastModifiedBy>
  <dcterms:modified xsi:type="dcterms:W3CDTF">2026-08-04T00:50:49Z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eyJoZGlkIjoiYjA0ZWQyMGUyMGZkNjQzZDA0YmI4YTVhNTg0MGY5YmIiLCJ1c2VySWQiOiIxNzQzMTYwMzMwIn0=</vt:lpwstr>
  </property>
  <property fmtid="{D5CDD505-2E9C-101B-9397-08002B2CF9AE}" pid="4" name="ICV">
    <vt:lpwstr>60269F9B71C645E5BB6E504D1848394D_12</vt:lpwstr>
  </property>
</Properties>
</file>