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3698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rPr>
          <w:rFonts w:hint="default" w:ascii="Times New Roman" w:hAnsi="Times New Roman" w:eastAsia="黑体" w:cs="Times New Roman"/>
          <w:spacing w:val="7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7"/>
          <w:sz w:val="32"/>
          <w:szCs w:val="32"/>
          <w:lang w:val="en-US" w:eastAsia="zh-CN"/>
        </w:rPr>
        <w:t>附件2</w:t>
      </w:r>
    </w:p>
    <w:p w14:paraId="3659C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收储运网点建设要求及各类补贴标准</w:t>
      </w:r>
    </w:p>
    <w:tbl>
      <w:tblPr>
        <w:tblStyle w:val="6"/>
        <w:tblW w:w="14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2009"/>
        <w:gridCol w:w="11897"/>
      </w:tblGrid>
      <w:tr w14:paraId="5BD0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765" w:type="dxa"/>
            <w:noWrap w:val="0"/>
            <w:vAlign w:val="top"/>
          </w:tcPr>
          <w:p w14:paraId="0241B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2009" w:type="dxa"/>
            <w:noWrap w:val="0"/>
            <w:vAlign w:val="top"/>
          </w:tcPr>
          <w:p w14:paraId="53194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内容</w:t>
            </w:r>
          </w:p>
        </w:tc>
        <w:tc>
          <w:tcPr>
            <w:tcW w:w="11897" w:type="dxa"/>
            <w:noWrap w:val="0"/>
            <w:vAlign w:val="top"/>
          </w:tcPr>
          <w:p w14:paraId="0399E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sz w:val="21"/>
                <w:szCs w:val="21"/>
                <w:vertAlign w:val="baseline"/>
                <w:lang w:eastAsia="zh-CN"/>
              </w:rPr>
              <w:t>建设要求及说明</w:t>
            </w:r>
          </w:p>
        </w:tc>
      </w:tr>
      <w:tr w14:paraId="13D69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671" w:type="dxa"/>
            <w:gridSpan w:val="3"/>
            <w:noWrap w:val="0"/>
            <w:vAlign w:val="center"/>
          </w:tcPr>
          <w:p w14:paraId="664DF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eastAsia="zh-CN"/>
              </w:rPr>
              <w:t>一、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000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收储运网点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eastAsia="zh-CN"/>
              </w:rPr>
              <w:t>建设要求及补贴标准</w:t>
            </w:r>
          </w:p>
        </w:tc>
      </w:tr>
      <w:tr w14:paraId="798A5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765" w:type="dxa"/>
            <w:noWrap w:val="0"/>
            <w:vAlign w:val="center"/>
          </w:tcPr>
          <w:p w14:paraId="6D048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9" w:type="dxa"/>
            <w:noWrap w:val="0"/>
            <w:vAlign w:val="center"/>
          </w:tcPr>
          <w:p w14:paraId="21489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仓储仓库</w:t>
            </w:r>
          </w:p>
        </w:tc>
        <w:tc>
          <w:tcPr>
            <w:tcW w:w="11897" w:type="dxa"/>
            <w:noWrap w:val="0"/>
            <w:vAlign w:val="center"/>
          </w:tcPr>
          <w:p w14:paraId="7E6C0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面积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000㎡/处，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为H型钢、C型钢、工字钢架结构要求，层高不低于6.5m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车辆进出自如，地面硬化厚度不小于20厘米。</w:t>
            </w:r>
          </w:p>
          <w:p w14:paraId="31130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按投资总额的30%予以补贴，单个收储运网点补贴不超过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万元。</w:t>
            </w:r>
          </w:p>
        </w:tc>
      </w:tr>
      <w:tr w14:paraId="48836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center"/>
          </w:tcPr>
          <w:p w14:paraId="3D2FB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09" w:type="dxa"/>
            <w:noWrap w:val="0"/>
            <w:vAlign w:val="center"/>
          </w:tcPr>
          <w:p w14:paraId="32444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设施设备</w:t>
            </w:r>
          </w:p>
        </w:tc>
        <w:tc>
          <w:tcPr>
            <w:tcW w:w="11897" w:type="dxa"/>
            <w:noWrap w:val="0"/>
            <w:vAlign w:val="center"/>
          </w:tcPr>
          <w:p w14:paraId="778D6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要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</w:p>
          <w:p w14:paraId="1C5E2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（1）配置秸秆还田机、打包机、北斗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终端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秸秆综合利用相关农机具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、1套标识标牌及消防安全设施。</w:t>
            </w:r>
          </w:p>
          <w:p w14:paraId="2F376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（2）根据需求自行配套地磅、运输车、叉车等秸秆转运收储设施设备。</w:t>
            </w:r>
          </w:p>
          <w:p w14:paraId="639E32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（3）完成秸秆离田任务面积2000亩以上/处。</w:t>
            </w:r>
          </w:p>
          <w:p w14:paraId="4C73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：半喂入收割机按累计奖补金额（含国补）不超过购置总金额的50%予以补贴、其他相关农机具单台补贴不超过5万元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。</w:t>
            </w:r>
          </w:p>
        </w:tc>
      </w:tr>
      <w:tr w14:paraId="6F343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4671" w:type="dxa"/>
            <w:gridSpan w:val="3"/>
            <w:noWrap w:val="0"/>
            <w:vAlign w:val="center"/>
          </w:tcPr>
          <w:p w14:paraId="5EF43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eastAsia="zh-CN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1000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㎡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eastAsia="zh-CN"/>
              </w:rPr>
              <w:t>收储运网点建设要求及补贴标准</w:t>
            </w:r>
          </w:p>
        </w:tc>
      </w:tr>
      <w:tr w14:paraId="68CF9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65" w:type="dxa"/>
            <w:noWrap w:val="0"/>
            <w:vAlign w:val="center"/>
          </w:tcPr>
          <w:p w14:paraId="41517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9" w:type="dxa"/>
            <w:noWrap w:val="0"/>
            <w:vAlign w:val="center"/>
          </w:tcPr>
          <w:p w14:paraId="59BDC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仓储仓库</w:t>
            </w:r>
          </w:p>
        </w:tc>
        <w:tc>
          <w:tcPr>
            <w:tcW w:w="11897" w:type="dxa"/>
            <w:noWrap w:val="0"/>
            <w:vAlign w:val="center"/>
          </w:tcPr>
          <w:p w14:paraId="1DC02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面积1000㎡/处，配备仓储设施或露天堆场，新建轻钢结构仓储的，纳入补贴。</w:t>
            </w:r>
          </w:p>
          <w:p w14:paraId="2EF7C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按投资总额的30%予以补贴，单个收储运网点补贴不超过20万元。</w:t>
            </w:r>
          </w:p>
        </w:tc>
      </w:tr>
      <w:tr w14:paraId="23D0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center"/>
          </w:tcPr>
          <w:p w14:paraId="49A01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09" w:type="dxa"/>
            <w:noWrap w:val="0"/>
            <w:vAlign w:val="center"/>
          </w:tcPr>
          <w:p w14:paraId="52CCB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设施设备</w:t>
            </w:r>
          </w:p>
        </w:tc>
        <w:tc>
          <w:tcPr>
            <w:tcW w:w="11897" w:type="dxa"/>
            <w:noWrap w:val="0"/>
            <w:vAlign w:val="center"/>
          </w:tcPr>
          <w:p w14:paraId="3E78F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：</w:t>
            </w:r>
          </w:p>
          <w:p w14:paraId="3B2C5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（1）配置秸秆还田机、打包机、北斗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终端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等。</w:t>
            </w:r>
          </w:p>
          <w:p w14:paraId="62E81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（2）完成秸秆离田任务面积1000亩以上/处。</w:t>
            </w:r>
          </w:p>
          <w:p w14:paraId="5DA8D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：半喂入收割机按累计奖补金额（含国补）不超过购置总金额的50%予以补贴、其他相关农机具单台补贴不超过5万元。</w:t>
            </w:r>
          </w:p>
        </w:tc>
      </w:tr>
      <w:tr w14:paraId="573B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4671" w:type="dxa"/>
            <w:gridSpan w:val="3"/>
            <w:noWrap w:val="0"/>
            <w:vAlign w:val="center"/>
          </w:tcPr>
          <w:p w14:paraId="5FEBD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三、其他要求及补贴标准</w:t>
            </w:r>
          </w:p>
        </w:tc>
      </w:tr>
      <w:tr w14:paraId="36F4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noWrap w:val="0"/>
            <w:vAlign w:val="center"/>
          </w:tcPr>
          <w:p w14:paraId="39E1DA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009" w:type="dxa"/>
            <w:noWrap w:val="0"/>
            <w:vAlign w:val="center"/>
          </w:tcPr>
          <w:p w14:paraId="3C148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秸秆综合利用</w:t>
            </w:r>
          </w:p>
        </w:tc>
        <w:tc>
          <w:tcPr>
            <w:tcW w:w="11897" w:type="dxa"/>
            <w:noWrap w:val="0"/>
            <w:vAlign w:val="center"/>
          </w:tcPr>
          <w:p w14:paraId="78124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要求：支持主体消纳本地农作物秸秆，年利用量达1000吨以上。</w:t>
            </w:r>
          </w:p>
          <w:p w14:paraId="42A63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补贴标准：20元/吨。</w:t>
            </w:r>
          </w:p>
        </w:tc>
      </w:tr>
      <w:tr w14:paraId="5AD3D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3" w:hRule="atLeast"/>
          <w:jc w:val="center"/>
        </w:trPr>
        <w:tc>
          <w:tcPr>
            <w:tcW w:w="765" w:type="dxa"/>
            <w:noWrap w:val="0"/>
            <w:vAlign w:val="center"/>
          </w:tcPr>
          <w:p w14:paraId="01D03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58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009" w:type="dxa"/>
            <w:noWrap w:val="0"/>
            <w:vAlign w:val="center"/>
          </w:tcPr>
          <w:p w14:paraId="23618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低茬收割</w:t>
            </w:r>
          </w:p>
          <w:p w14:paraId="4A048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粉碎还田</w:t>
            </w:r>
          </w:p>
        </w:tc>
        <w:tc>
          <w:tcPr>
            <w:tcW w:w="11897" w:type="dxa"/>
            <w:noWrap w:val="0"/>
            <w:vAlign w:val="center"/>
          </w:tcPr>
          <w:p w14:paraId="59502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要求：</w:t>
            </w:r>
          </w:p>
          <w:p w14:paraId="6BF718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（1）低茬收割：水稻留茬高度≤15cm，油菜留茬高度≤25cm；秸秆粉碎长度5cm左右、呈撕裂状，粉碎长度合格率≥95%，漏切率≤1.5%。</w:t>
            </w:r>
          </w:p>
          <w:p w14:paraId="166D94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（2）粉碎还田：对高茬（留茬高度&gt;15cm）收割的，应在收割后先灭茬粉碎再还田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。</w:t>
            </w:r>
          </w:p>
          <w:p w14:paraId="68578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补贴标准：30元/亩。</w:t>
            </w:r>
          </w:p>
        </w:tc>
      </w:tr>
      <w:tr w14:paraId="2C4B0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765" w:type="dxa"/>
            <w:noWrap w:val="0"/>
            <w:vAlign w:val="center"/>
          </w:tcPr>
          <w:p w14:paraId="1954A0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009" w:type="dxa"/>
            <w:noWrap w:val="0"/>
            <w:vAlign w:val="center"/>
          </w:tcPr>
          <w:p w14:paraId="09F88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深翻耕还田</w:t>
            </w:r>
          </w:p>
        </w:tc>
        <w:tc>
          <w:tcPr>
            <w:tcW w:w="11897" w:type="dxa"/>
            <w:noWrap w:val="0"/>
            <w:vAlign w:val="center"/>
          </w:tcPr>
          <w:p w14:paraId="6821C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要求：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深翻（深翻深度≥20cm）还田。</w:t>
            </w:r>
          </w:p>
          <w:p w14:paraId="67156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40元/亩。</w:t>
            </w:r>
          </w:p>
        </w:tc>
      </w:tr>
      <w:tr w14:paraId="6BC1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765" w:type="dxa"/>
            <w:noWrap w:val="0"/>
            <w:vAlign w:val="center"/>
          </w:tcPr>
          <w:p w14:paraId="0EE56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009" w:type="dxa"/>
            <w:noWrap w:val="0"/>
            <w:vAlign w:val="center"/>
          </w:tcPr>
          <w:p w14:paraId="4058B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  <w:t>离田收储</w:t>
            </w:r>
          </w:p>
        </w:tc>
        <w:tc>
          <w:tcPr>
            <w:tcW w:w="11897" w:type="dxa"/>
            <w:noWrap w:val="0"/>
            <w:vAlign w:val="center"/>
          </w:tcPr>
          <w:p w14:paraId="3F478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要求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完成秸秆离田任务面积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000亩以上/处、收储600吨以上/处。</w:t>
            </w:r>
          </w:p>
          <w:p w14:paraId="31533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40元/亩。</w:t>
            </w:r>
          </w:p>
        </w:tc>
      </w:tr>
      <w:tr w14:paraId="3DB3F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765" w:type="dxa"/>
            <w:noWrap w:val="0"/>
            <w:vAlign w:val="center"/>
          </w:tcPr>
          <w:p w14:paraId="13725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009" w:type="dxa"/>
            <w:noWrap w:val="0"/>
            <w:vAlign w:val="center"/>
          </w:tcPr>
          <w:p w14:paraId="41EEF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主体培育</w:t>
            </w:r>
          </w:p>
        </w:tc>
        <w:tc>
          <w:tcPr>
            <w:tcW w:w="11897" w:type="dxa"/>
            <w:noWrap w:val="0"/>
            <w:vAlign w:val="center"/>
          </w:tcPr>
          <w:p w14:paraId="4C365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农业社会化服务组织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个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、专业化农机服务组织1个</w:t>
            </w: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。</w:t>
            </w:r>
          </w:p>
          <w:p w14:paraId="5CA16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sz w:val="21"/>
                <w:szCs w:val="21"/>
                <w:lang w:val="en-US" w:eastAsia="zh-CN"/>
              </w:rPr>
              <w:t>补贴标准：5万元/个。</w:t>
            </w:r>
          </w:p>
        </w:tc>
      </w:tr>
    </w:tbl>
    <w:p w14:paraId="2F55555E">
      <w:bookmarkStart w:id="0" w:name="_GoBack"/>
      <w:bookmarkEnd w:id="0"/>
    </w:p>
    <w:sectPr>
      <w:pgSz w:w="16838" w:h="11906" w:orient="landscape"/>
      <w:pgMar w:top="1417" w:right="1134" w:bottom="153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43E9A"/>
    <w:rsid w:val="1BFF185E"/>
    <w:rsid w:val="37476FC5"/>
    <w:rsid w:val="3F543E9A"/>
    <w:rsid w:val="5842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customStyle="1" w:styleId="3">
    <w:name w:val="正文首行缩进1"/>
    <w:basedOn w:val="1"/>
    <w:next w:val="1"/>
    <w:qFormat/>
    <w:uiPriority w:val="0"/>
    <w:pPr>
      <w:spacing w:after="120"/>
      <w:ind w:firstLine="420" w:firstLineChars="100"/>
    </w:pPr>
    <w:rPr>
      <w:rFonts w:ascii="Times New Roman" w:hAnsi="Times New Roman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2026-09-04T01:12:00Z</dcterms:created>
  <dc:creator>哈哈哈哈</dc:creator>
  <cp:lastModifiedBy>哈哈哈哈</cp:lastModifiedBy>
  <dcterms:modified xsi:type="dcterms:W3CDTF">2026-09-04T01:14:10Z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B38F49F369BF486FB3E53312A7407674_13</vt:lpwstr>
  </property>
  <property fmtid="{D5CDD505-2E9C-101B-9397-08002B2CF9AE}" pid="4" name="KSOTemplateDocerSaveRecord">
    <vt:lpwstr>eyJoZGlkIjoiYjA0ZWQyMGUyMGZkNjQzZDA0YmI4YTVhNTg0MGY5YmIiLCJ1c2VySWQiOiIxNzQzMTYwMzMwIn0=</vt:lpwstr>
  </property>
</Properties>
</file>