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hd w:val="clear" w:color="auto" w:fill="FFFFFF"/>
        <w:adjustRightInd w:val="0"/>
        <w:snapToGrid w:val="0"/>
        <w:spacing w:before="0" w:beforeAutospacing="0" w:after="0" w:afterAutospacing="0" w:line="560" w:lineRule="exact"/>
        <w:rPr>
          <w:rStyle w:val="6"/>
          <w:rFonts w:hint="eastAsia" w:ascii="黑体" w:hAnsi="黑体" w:eastAsia="黑体"/>
          <w:b w:val="0"/>
          <w:bCs w:val="0"/>
          <w:color w:val="000000"/>
          <w:spacing w:val="8"/>
          <w:sz w:val="32"/>
          <w:szCs w:val="32"/>
        </w:rPr>
      </w:pPr>
      <w:r>
        <w:rPr>
          <w:rStyle w:val="6"/>
          <w:rFonts w:hint="eastAsia" w:ascii="黑体" w:hAnsi="黑体" w:eastAsia="黑体"/>
          <w:b w:val="0"/>
          <w:bCs w:val="0"/>
          <w:color w:val="000000"/>
          <w:spacing w:val="8"/>
          <w:sz w:val="32"/>
          <w:szCs w:val="32"/>
        </w:rPr>
        <w:t>附件11</w:t>
      </w:r>
    </w:p>
    <w:p>
      <w:pPr>
        <w:pStyle w:val="3"/>
        <w:widowControl w:val="0"/>
        <w:shd w:val="clear" w:color="auto" w:fill="FFFFFF"/>
        <w:adjustRightInd w:val="0"/>
        <w:snapToGrid w:val="0"/>
        <w:spacing w:before="0" w:beforeAutospacing="0" w:after="0" w:afterAutospacing="0" w:line="560" w:lineRule="exact"/>
        <w:rPr>
          <w:rStyle w:val="6"/>
          <w:rFonts w:ascii="黑体" w:hAnsi="黑体" w:eastAsia="黑体"/>
          <w:b w:val="0"/>
          <w:bCs w:val="0"/>
          <w:color w:val="000000"/>
          <w:spacing w:val="8"/>
          <w:sz w:val="32"/>
          <w:szCs w:val="32"/>
        </w:rPr>
      </w:pPr>
    </w:p>
    <w:p>
      <w:pPr>
        <w:pStyle w:val="3"/>
        <w:widowControl w:val="0"/>
        <w:shd w:val="clear" w:color="auto" w:fill="FFFFFF"/>
        <w:adjustRightInd w:val="0"/>
        <w:snapToGrid w:val="0"/>
        <w:spacing w:before="0" w:beforeAutospacing="0" w:after="0" w:afterAutospacing="0" w:line="560" w:lineRule="exact"/>
        <w:jc w:val="center"/>
        <w:rPr>
          <w:rStyle w:val="6"/>
          <w:rFonts w:ascii="方正小标宋简体" w:hAnsi="方正小标宋简体" w:eastAsia="方正小标宋简体"/>
          <w:b w:val="0"/>
          <w:bCs w:val="0"/>
          <w:color w:val="000000"/>
          <w:spacing w:val="8"/>
          <w:sz w:val="44"/>
          <w:szCs w:val="44"/>
        </w:rPr>
      </w:pPr>
      <w:r>
        <w:rPr>
          <w:rStyle w:val="6"/>
          <w:rFonts w:hint="eastAsia" w:ascii="方正小标宋简体" w:hAnsi="方正小标宋简体" w:eastAsia="方正小标宋简体"/>
          <w:b w:val="0"/>
          <w:bCs w:val="0"/>
          <w:color w:val="000000"/>
          <w:spacing w:val="8"/>
          <w:sz w:val="44"/>
          <w:szCs w:val="44"/>
        </w:rPr>
        <w:t>常德市危险废物等安全专项整治三年行动</w:t>
      </w:r>
    </w:p>
    <w:p>
      <w:pPr>
        <w:pStyle w:val="3"/>
        <w:widowControl w:val="0"/>
        <w:shd w:val="clear" w:color="auto" w:fill="FFFFFF"/>
        <w:adjustRightInd w:val="0"/>
        <w:snapToGrid w:val="0"/>
        <w:spacing w:before="0" w:beforeAutospacing="0" w:after="0" w:afterAutospacing="0" w:line="560" w:lineRule="exact"/>
        <w:jc w:val="center"/>
        <w:rPr>
          <w:rStyle w:val="6"/>
          <w:rFonts w:hint="eastAsia" w:ascii="方正小标宋简体" w:hAnsi="方正小标宋简体" w:eastAsia="方正小标宋简体"/>
          <w:b w:val="0"/>
          <w:bCs w:val="0"/>
          <w:color w:val="000000"/>
          <w:spacing w:val="8"/>
          <w:sz w:val="44"/>
          <w:szCs w:val="44"/>
        </w:rPr>
      </w:pPr>
      <w:r>
        <w:rPr>
          <w:rStyle w:val="6"/>
          <w:rFonts w:hint="eastAsia" w:ascii="方正小标宋简体" w:hAnsi="方正小标宋简体" w:eastAsia="方正小标宋简体"/>
          <w:b w:val="0"/>
          <w:bCs w:val="0"/>
          <w:color w:val="000000"/>
          <w:spacing w:val="8"/>
          <w:sz w:val="44"/>
          <w:szCs w:val="44"/>
        </w:rPr>
        <w:t>实施方案</w:t>
      </w:r>
    </w:p>
    <w:p>
      <w:pPr>
        <w:pStyle w:val="3"/>
        <w:widowControl w:val="0"/>
        <w:shd w:val="clear" w:color="auto" w:fill="FFFFFF"/>
        <w:adjustRightInd w:val="0"/>
        <w:snapToGrid w:val="0"/>
        <w:spacing w:before="0" w:beforeAutospacing="0" w:after="0" w:afterAutospacing="0" w:line="560" w:lineRule="exact"/>
        <w:jc w:val="center"/>
        <w:rPr>
          <w:rFonts w:ascii="方正小标宋简体" w:hAnsi="方正小标宋简体" w:eastAsia="方正小标宋简体" w:cs="Times New Roman"/>
          <w:b/>
          <w:bCs/>
          <w:color w:val="000000"/>
          <w:spacing w:val="8"/>
          <w:sz w:val="44"/>
          <w:szCs w:val="44"/>
        </w:rPr>
      </w:pPr>
    </w:p>
    <w:p>
      <w:pPr>
        <w:pStyle w:val="3"/>
        <w:widowControl w:val="0"/>
        <w:shd w:val="clear" w:color="auto" w:fill="FFFFFF"/>
        <w:adjustRightInd w:val="0"/>
        <w:snapToGrid w:val="0"/>
        <w:spacing w:before="0" w:beforeAutospacing="0" w:after="0" w:afterAutospacing="0" w:line="540" w:lineRule="exact"/>
        <w:ind w:firstLine="672" w:firstLineChars="200"/>
        <w:jc w:val="both"/>
        <w:rPr>
          <w:rFonts w:ascii="仿宋_GB2312" w:hAnsi="仿宋_GB2312" w:eastAsia="仿宋_GB2312" w:cs="Times New Roman"/>
          <w:color w:val="000000"/>
          <w:spacing w:val="8"/>
          <w:sz w:val="32"/>
          <w:szCs w:val="32"/>
        </w:rPr>
      </w:pPr>
      <w:r>
        <w:rPr>
          <w:rFonts w:ascii="仿宋_GB2312" w:hAnsi="仿宋_GB2312" w:eastAsia="仿宋_GB2312" w:cs="Times New Roman"/>
          <w:color w:val="000000"/>
          <w:spacing w:val="8"/>
          <w:sz w:val="32"/>
          <w:szCs w:val="32"/>
        </w:rPr>
        <w:t>为</w:t>
      </w:r>
      <w:r>
        <w:rPr>
          <w:rFonts w:hint="eastAsia" w:ascii="仿宋_GB2312" w:hAnsi="仿宋_GB2312" w:eastAsia="仿宋_GB2312" w:cs="Times New Roman"/>
          <w:color w:val="000000"/>
          <w:spacing w:val="8"/>
          <w:sz w:val="32"/>
          <w:szCs w:val="32"/>
        </w:rPr>
        <w:t>加强危险废物、垃圾填埋场、尾矿库等安全专项整治，有效防控环境风险，</w:t>
      </w:r>
      <w:r>
        <w:rPr>
          <w:rFonts w:ascii="仿宋_GB2312" w:hAnsi="仿宋_GB2312" w:eastAsia="仿宋_GB2312" w:cs="Times New Roman"/>
          <w:color w:val="000000"/>
          <w:spacing w:val="8"/>
          <w:sz w:val="32"/>
          <w:szCs w:val="32"/>
        </w:rPr>
        <w:t>根据《湖南省安全生产专项整治三年行动实施计划》和《湖南省危险废物等安全专项整治三年行动实施方案》，结合常德市实际，制定本实施方案。</w:t>
      </w:r>
    </w:p>
    <w:p>
      <w:pPr>
        <w:pStyle w:val="3"/>
        <w:widowControl w:val="0"/>
        <w:shd w:val="clear" w:color="auto" w:fill="FFFFFF"/>
        <w:adjustRightInd w:val="0"/>
        <w:snapToGrid w:val="0"/>
        <w:spacing w:before="0" w:beforeAutospacing="0" w:after="0" w:afterAutospacing="0" w:line="540" w:lineRule="exact"/>
        <w:ind w:firstLine="672" w:firstLineChars="200"/>
        <w:jc w:val="both"/>
        <w:rPr>
          <w:rFonts w:ascii="Times New Roman" w:hAnsi="Times New Roman" w:eastAsia="黑体" w:cs="Times New Roman"/>
          <w:color w:val="000000"/>
          <w:spacing w:val="8"/>
          <w:sz w:val="32"/>
          <w:szCs w:val="32"/>
        </w:rPr>
      </w:pPr>
      <w:r>
        <w:rPr>
          <w:rFonts w:ascii="黑体" w:hAnsi="黑体" w:eastAsia="黑体" w:cs="Times New Roman"/>
          <w:color w:val="000000"/>
          <w:spacing w:val="8"/>
          <w:sz w:val="32"/>
          <w:szCs w:val="32"/>
        </w:rPr>
        <w:t>一、</w:t>
      </w:r>
      <w:r>
        <w:rPr>
          <w:rFonts w:hint="eastAsia" w:ascii="黑体" w:hAnsi="黑体" w:eastAsia="黑体" w:cs="Times New Roman"/>
          <w:color w:val="000000"/>
          <w:spacing w:val="8"/>
          <w:sz w:val="32"/>
          <w:szCs w:val="32"/>
        </w:rPr>
        <w:t>整治</w:t>
      </w:r>
      <w:r>
        <w:rPr>
          <w:rFonts w:ascii="黑体" w:hAnsi="黑体" w:eastAsia="黑体" w:cs="Times New Roman"/>
          <w:color w:val="000000"/>
          <w:spacing w:val="8"/>
          <w:sz w:val="32"/>
          <w:szCs w:val="32"/>
        </w:rPr>
        <w:t>目标</w:t>
      </w:r>
    </w:p>
    <w:p>
      <w:pPr>
        <w:spacing w:line="540" w:lineRule="exact"/>
        <w:ind w:firstLine="672" w:firstLineChars="200"/>
        <w:rPr>
          <w:rFonts w:ascii="仿宋_GB2312" w:hAnsi="仿宋_GB2312" w:eastAsia="仿宋_GB2312"/>
          <w:color w:val="000000"/>
          <w:spacing w:val="8"/>
          <w:kern w:val="0"/>
          <w:sz w:val="32"/>
          <w:szCs w:val="32"/>
        </w:rPr>
      </w:pPr>
      <w:r>
        <w:rPr>
          <w:rFonts w:hint="eastAsia" w:ascii="仿宋_GB2312" w:hAnsi="仿宋_GB2312" w:eastAsia="仿宋_GB2312"/>
          <w:color w:val="000000"/>
          <w:spacing w:val="8"/>
          <w:kern w:val="0"/>
          <w:sz w:val="32"/>
          <w:szCs w:val="32"/>
        </w:rPr>
        <w:t>通过安全专项整治，建立健全“源头严防、过程严管、后果严惩”的危险废物等环境监管体系和隐患排查治理的责任体系、制度标准、工作机制，实现危险废物等环境风险防范能力显著提升，危险废物非法转移倾倒案件高发态势得到有效遏制之目的。落实企业重点环保设施项目的安全风险评估和不明固废的属性鉴别率100%。加强危险废物处置利用能力建设，危险废物安全利用处置率100%。加强生活垃圾填埋场渗滤液等隐患排查，建立常态监测机制。加强尾矿库风险管控，落实污染防治率100%。加强“煤改气”、洁净型煤燃用及污水、涉爆粉尘的贮存、处置等过程中同步落实安全规范措施，有效防范事故发生，确保安全。</w:t>
      </w:r>
    </w:p>
    <w:p>
      <w:pPr>
        <w:pStyle w:val="3"/>
        <w:widowControl w:val="0"/>
        <w:shd w:val="clear" w:color="auto" w:fill="FFFFFF"/>
        <w:adjustRightInd w:val="0"/>
        <w:snapToGrid w:val="0"/>
        <w:spacing w:before="0" w:beforeAutospacing="0" w:after="0" w:afterAutospacing="0" w:line="540" w:lineRule="exact"/>
        <w:ind w:firstLine="672" w:firstLineChars="200"/>
        <w:jc w:val="both"/>
        <w:rPr>
          <w:rFonts w:ascii="Times New Roman" w:hAnsi="Times New Roman" w:eastAsia="黑体" w:cs="Times New Roman"/>
          <w:color w:val="000000"/>
          <w:spacing w:val="8"/>
          <w:sz w:val="32"/>
          <w:szCs w:val="32"/>
        </w:rPr>
      </w:pPr>
      <w:r>
        <w:rPr>
          <w:rFonts w:hint="eastAsia" w:ascii="黑体" w:hAnsi="黑体" w:eastAsia="黑体" w:cs="Times New Roman"/>
          <w:color w:val="000000"/>
          <w:spacing w:val="8"/>
          <w:sz w:val="32"/>
          <w:szCs w:val="32"/>
        </w:rPr>
        <w:t>二</w:t>
      </w:r>
      <w:r>
        <w:rPr>
          <w:rFonts w:ascii="黑体" w:hAnsi="黑体" w:eastAsia="黑体" w:cs="Times New Roman"/>
          <w:color w:val="000000"/>
          <w:spacing w:val="8"/>
          <w:sz w:val="32"/>
          <w:szCs w:val="32"/>
        </w:rPr>
        <w:t>、主要</w:t>
      </w:r>
      <w:r>
        <w:rPr>
          <w:rFonts w:hint="eastAsia" w:ascii="黑体" w:hAnsi="黑体" w:eastAsia="黑体" w:cs="Times New Roman"/>
          <w:color w:val="000000"/>
          <w:spacing w:val="8"/>
          <w:sz w:val="32"/>
          <w:szCs w:val="32"/>
        </w:rPr>
        <w:t>内容</w:t>
      </w:r>
    </w:p>
    <w:p>
      <w:pPr>
        <w:spacing w:line="540" w:lineRule="exact"/>
        <w:ind w:firstLine="504" w:firstLineChars="150"/>
        <w:rPr>
          <w:rFonts w:ascii="仿宋_GB2312" w:hAnsi="仿宋_GB2312" w:eastAsia="仿宋_GB2312"/>
          <w:color w:val="000000"/>
          <w:spacing w:val="8"/>
          <w:kern w:val="0"/>
          <w:sz w:val="32"/>
          <w:szCs w:val="32"/>
        </w:rPr>
      </w:pPr>
      <w:r>
        <w:rPr>
          <w:rFonts w:hint="eastAsia" w:ascii="楷体_GB2312" w:hAnsi="楷体" w:eastAsia="楷体_GB2312" w:cs="楷体"/>
          <w:color w:val="000000"/>
          <w:spacing w:val="8"/>
          <w:sz w:val="32"/>
          <w:szCs w:val="32"/>
        </w:rPr>
        <w:t>（一</w:t>
      </w:r>
      <w:r>
        <w:rPr>
          <w:rFonts w:hint="eastAsia" w:ascii="楷体_GB2312" w:hAnsi="楷体" w:eastAsia="楷体_GB2312" w:cs="楷体"/>
          <w:color w:val="000000"/>
          <w:spacing w:val="8"/>
          <w:kern w:val="0"/>
          <w:sz w:val="32"/>
          <w:szCs w:val="32"/>
        </w:rPr>
        <w:t>）着力强化危险废物环境监管能力。</w:t>
      </w:r>
      <w:r>
        <w:rPr>
          <w:rFonts w:hint="eastAsia" w:ascii="仿宋_GB2312" w:hAnsi="仿宋_GB2312" w:eastAsia="仿宋_GB2312"/>
          <w:color w:val="000000"/>
          <w:spacing w:val="8"/>
          <w:kern w:val="0"/>
          <w:sz w:val="32"/>
          <w:szCs w:val="32"/>
        </w:rPr>
        <w:t>完善危险废物监管源清单。提升信息化监管能力和水平。开展危险废物产生单位在线申报登记和管理计划在线备案，全面运行危险废物转移电子联单，实现全国危险废物信息化管理“一张网”。各地应充分利用“互联网+监管”系统，加强事中事后环境监管，归集共享各类相关数据，及时发现和防范苗头性风险。</w:t>
      </w:r>
    </w:p>
    <w:p>
      <w:pPr>
        <w:spacing w:line="540" w:lineRule="exact"/>
        <w:ind w:firstLine="675" w:firstLineChars="200"/>
        <w:rPr>
          <w:rFonts w:ascii="楷体_GB2312" w:hAnsi="楷体_GB2312" w:eastAsia="楷体_GB2312"/>
          <w:color w:val="000000"/>
          <w:spacing w:val="8"/>
          <w:kern w:val="0"/>
          <w:sz w:val="32"/>
          <w:szCs w:val="32"/>
        </w:rPr>
      </w:pPr>
      <w:r>
        <w:rPr>
          <w:rFonts w:hint="eastAsia" w:ascii="仿宋_GB2312" w:hAnsi="仿宋" w:eastAsia="仿宋_GB2312" w:cs="仿宋"/>
          <w:b/>
          <w:bCs/>
          <w:color w:val="000000"/>
          <w:spacing w:val="8"/>
          <w:sz w:val="32"/>
          <w:szCs w:val="32"/>
        </w:rPr>
        <w:t>一是</w:t>
      </w:r>
      <w:r>
        <w:rPr>
          <w:rFonts w:hint="eastAsia" w:ascii="仿宋_GB2312" w:hAnsi="仿宋" w:eastAsia="仿宋_GB2312" w:cs="仿宋"/>
          <w:bCs/>
          <w:color w:val="000000"/>
          <w:spacing w:val="8"/>
          <w:sz w:val="32"/>
          <w:szCs w:val="32"/>
        </w:rPr>
        <w:t>全面开展危险废物排查，</w:t>
      </w:r>
      <w:r>
        <w:rPr>
          <w:rFonts w:hint="eastAsia" w:ascii="仿宋_GB2312" w:hAnsi="仿宋_GB2312" w:eastAsia="仿宋_GB2312"/>
          <w:color w:val="000000"/>
          <w:spacing w:val="8"/>
          <w:sz w:val="32"/>
          <w:szCs w:val="32"/>
        </w:rPr>
        <w:t>督促相关单位建立规范化的危险废物清单台账，严格按照危险废物特性分类分区贮存，在收集、贮存、运输、处置危险废物的设施、场所设置危险废物识别标志；对属性不明的固体废物，按照《固体废物鉴别标准通则》（GB343302017）系列标准进行鉴别，并根据鉴别结果，严格落实贮存安全防范措施。</w:t>
      </w:r>
      <w:r>
        <w:rPr>
          <w:rFonts w:hint="eastAsia" w:ascii="仿宋_GB2312" w:hAnsi="仿宋" w:eastAsia="仿宋_GB2312" w:cs="仿宋"/>
          <w:b/>
          <w:bCs/>
          <w:color w:val="000000"/>
          <w:spacing w:val="8"/>
          <w:sz w:val="32"/>
          <w:szCs w:val="32"/>
        </w:rPr>
        <w:t>二是</w:t>
      </w:r>
      <w:r>
        <w:rPr>
          <w:rFonts w:hint="eastAsia" w:ascii="仿宋_GB2312" w:hAnsi="仿宋" w:eastAsia="仿宋_GB2312" w:cs="仿宋"/>
          <w:bCs/>
          <w:color w:val="000000"/>
          <w:spacing w:val="8"/>
          <w:sz w:val="32"/>
          <w:szCs w:val="32"/>
        </w:rPr>
        <w:t>分级分类建立危险废物规范化管理“四个清单”。</w:t>
      </w:r>
      <w:r>
        <w:rPr>
          <w:rFonts w:hint="eastAsia" w:ascii="仿宋_GB2312" w:hAnsi="仿宋_GB2312" w:eastAsia="仿宋_GB2312"/>
          <w:color w:val="000000"/>
          <w:spacing w:val="8"/>
          <w:kern w:val="0"/>
          <w:sz w:val="32"/>
          <w:szCs w:val="32"/>
        </w:rPr>
        <w:t>产生危险废物的单位，严格按照国家法律法规的规定，制定危险废物管理计划，并向所在地县级以上环境保护主管部门申报危险废物的种类、产生量、流向、危险等级、贮存设施、自行利用处置设施或委托外单位利用处置方式等有关资料和信息；危险废物贮存不得超过一年，严禁将危险废物混入非危险废物中贮存。建立辖区危险废物产生单位清单、拥有危险废物自行利用处置设施单位清单和危险废物经营单位清单，并根据《危险废物重点单位、重点行业识别要求》和本辖区实际，建立危险废物重点监管单位清单。</w:t>
      </w:r>
      <w:r>
        <w:rPr>
          <w:rFonts w:hint="eastAsia" w:ascii="仿宋_GB2312" w:hAnsi="仿宋" w:eastAsia="仿宋_GB2312" w:cs="仿宋"/>
          <w:b/>
          <w:bCs/>
          <w:color w:val="000000"/>
          <w:spacing w:val="8"/>
          <w:sz w:val="32"/>
          <w:szCs w:val="32"/>
        </w:rPr>
        <w:t>三是</w:t>
      </w:r>
      <w:r>
        <w:rPr>
          <w:rFonts w:hint="eastAsia" w:ascii="仿宋_GB2312" w:hAnsi="仿宋" w:eastAsia="仿宋_GB2312" w:cs="仿宋"/>
          <w:bCs/>
          <w:color w:val="000000"/>
          <w:spacing w:val="8"/>
          <w:sz w:val="32"/>
          <w:szCs w:val="32"/>
        </w:rPr>
        <w:t>持续开展工业和非工业危险废物专项整治行动。</w:t>
      </w:r>
      <w:r>
        <w:rPr>
          <w:rFonts w:hint="eastAsia" w:ascii="仿宋_GB2312" w:hAnsi="仿宋_GB2312" w:eastAsia="仿宋_GB2312"/>
          <w:color w:val="000000"/>
          <w:spacing w:val="8"/>
          <w:kern w:val="0"/>
          <w:sz w:val="32"/>
          <w:szCs w:val="32"/>
        </w:rPr>
        <w:t>重点整治辖区内工业园区、化工园区、化工和危险化学品单位、非工业产生危险废物单位及危险废物经营单位，检查危险废物产生、贮存、转移、利用、处置情况</w:t>
      </w:r>
      <w:r>
        <w:rPr>
          <w:rFonts w:ascii="仿宋_GB2312" w:hAnsi="仿宋_GB2312" w:eastAsia="仿宋_GB2312"/>
          <w:color w:val="000000"/>
          <w:spacing w:val="8"/>
          <w:kern w:val="0"/>
          <w:sz w:val="32"/>
          <w:szCs w:val="32"/>
        </w:rPr>
        <w:t>，严厉打击违规堆存、随意倾倒、私自填埋危险废物等问题，确保危险废物贮存、运输、处置安全。</w:t>
      </w:r>
      <w:r>
        <w:rPr>
          <w:rFonts w:ascii="楷体_GB2312" w:hAnsi="楷体_GB2312" w:eastAsia="楷体_GB2312"/>
          <w:color w:val="000000"/>
          <w:spacing w:val="8"/>
          <w:kern w:val="0"/>
          <w:sz w:val="32"/>
          <w:szCs w:val="32"/>
        </w:rPr>
        <w:t>（市生态环境局牵头，市</w:t>
      </w:r>
      <w:r>
        <w:rPr>
          <w:rFonts w:hint="eastAsia" w:ascii="楷体_GB2312" w:hAnsi="楷体_GB2312" w:eastAsia="楷体_GB2312"/>
          <w:color w:val="000000"/>
          <w:spacing w:val="8"/>
          <w:kern w:val="0"/>
          <w:sz w:val="32"/>
          <w:szCs w:val="32"/>
        </w:rPr>
        <w:t>卫健委</w:t>
      </w:r>
      <w:r>
        <w:rPr>
          <w:rFonts w:ascii="楷体_GB2312" w:hAnsi="楷体_GB2312" w:eastAsia="楷体_GB2312"/>
          <w:color w:val="000000"/>
          <w:spacing w:val="8"/>
          <w:kern w:val="0"/>
          <w:sz w:val="32"/>
          <w:szCs w:val="32"/>
        </w:rPr>
        <w:t>、市</w:t>
      </w:r>
      <w:r>
        <w:rPr>
          <w:rFonts w:hint="eastAsia" w:ascii="楷体_GB2312" w:hAnsi="楷体_GB2312" w:eastAsia="楷体_GB2312"/>
          <w:color w:val="000000"/>
          <w:spacing w:val="8"/>
          <w:kern w:val="0"/>
          <w:sz w:val="32"/>
          <w:szCs w:val="32"/>
        </w:rPr>
        <w:t>工信</w:t>
      </w:r>
      <w:r>
        <w:rPr>
          <w:rFonts w:ascii="楷体_GB2312" w:hAnsi="楷体_GB2312" w:eastAsia="楷体_GB2312"/>
          <w:color w:val="000000"/>
          <w:spacing w:val="8"/>
          <w:kern w:val="0"/>
          <w:sz w:val="32"/>
          <w:szCs w:val="32"/>
        </w:rPr>
        <w:t>局、市应急</w:t>
      </w:r>
      <w:r>
        <w:rPr>
          <w:rFonts w:hint="eastAsia" w:ascii="楷体_GB2312" w:hAnsi="楷体_GB2312" w:eastAsia="楷体_GB2312"/>
          <w:color w:val="000000"/>
          <w:spacing w:val="8"/>
          <w:kern w:val="0"/>
          <w:sz w:val="32"/>
          <w:szCs w:val="32"/>
        </w:rPr>
        <w:t>管理</w:t>
      </w:r>
      <w:r>
        <w:rPr>
          <w:rFonts w:ascii="楷体_GB2312" w:hAnsi="楷体_GB2312" w:eastAsia="楷体_GB2312"/>
          <w:color w:val="000000"/>
          <w:spacing w:val="8"/>
          <w:kern w:val="0"/>
          <w:sz w:val="32"/>
          <w:szCs w:val="32"/>
        </w:rPr>
        <w:t>局、市交通运输局、市公安局、市自然资源和规划局、市</w:t>
      </w:r>
      <w:r>
        <w:rPr>
          <w:rFonts w:hint="eastAsia" w:ascii="楷体_GB2312" w:hAnsi="楷体_GB2312" w:eastAsia="楷体_GB2312"/>
          <w:color w:val="000000"/>
          <w:spacing w:val="8"/>
          <w:kern w:val="0"/>
          <w:sz w:val="32"/>
          <w:szCs w:val="32"/>
        </w:rPr>
        <w:t>住建</w:t>
      </w:r>
      <w:r>
        <w:rPr>
          <w:rFonts w:ascii="楷体_GB2312" w:hAnsi="楷体_GB2312" w:eastAsia="楷体_GB2312"/>
          <w:color w:val="000000"/>
          <w:spacing w:val="8"/>
          <w:kern w:val="0"/>
          <w:sz w:val="32"/>
          <w:szCs w:val="32"/>
        </w:rPr>
        <w:t>局、市市场监管局、市商务局等按职责分工负责）</w:t>
      </w:r>
    </w:p>
    <w:p>
      <w:pPr>
        <w:spacing w:line="560" w:lineRule="exact"/>
        <w:ind w:firstLine="640" w:firstLineChars="200"/>
        <w:rPr>
          <w:rFonts w:ascii="楷体_GB2312" w:hAnsi="楷体_GB2312" w:eastAsia="楷体_GB2312"/>
          <w:color w:val="000000"/>
          <w:spacing w:val="8"/>
          <w:kern w:val="0"/>
          <w:sz w:val="32"/>
          <w:szCs w:val="32"/>
        </w:rPr>
      </w:pPr>
      <w:r>
        <w:rPr>
          <w:rFonts w:hint="eastAsia" w:ascii="楷体_GB2312" w:hAnsi="楷体_GB2312" w:eastAsia="楷体_GB2312"/>
          <w:color w:val="000000"/>
          <w:kern w:val="0"/>
          <w:sz w:val="32"/>
          <w:szCs w:val="32"/>
        </w:rPr>
        <w:t>（二）</w:t>
      </w:r>
      <w:r>
        <w:rPr>
          <w:rFonts w:hint="eastAsia" w:ascii="楷体_GB2312" w:hAnsi="楷体" w:eastAsia="楷体_GB2312" w:cs="楷体"/>
          <w:color w:val="000000"/>
          <w:sz w:val="32"/>
          <w:szCs w:val="32"/>
        </w:rPr>
        <w:t>着力强化危险废物环境风险防范能力。</w:t>
      </w:r>
      <w:r>
        <w:rPr>
          <w:rFonts w:hint="eastAsia" w:ascii="仿宋_GB2312" w:hAnsi="仿宋_GB2312" w:eastAsia="仿宋_GB2312"/>
          <w:color w:val="000000"/>
          <w:kern w:val="0"/>
          <w:sz w:val="32"/>
          <w:szCs w:val="32"/>
        </w:rPr>
        <w:t>完善危险废</w:t>
      </w:r>
      <w:r>
        <w:rPr>
          <w:rFonts w:hint="eastAsia" w:ascii="仿宋_GB2312" w:hAnsi="仿宋_GB2312" w:eastAsia="仿宋_GB2312"/>
          <w:color w:val="000000"/>
          <w:spacing w:val="8"/>
          <w:kern w:val="0"/>
          <w:sz w:val="32"/>
          <w:szCs w:val="32"/>
        </w:rPr>
        <w:t>物管理机制，持续推进危险废物规范化环境管理。各级生态环境部门要加强危险废物环境执法检查，督促企业落实相关法律制度和标准规范要求。各县市区应当将危险废物规范化环境管理情况纳入对地方环境保护绩效考核的指标体系中，督促地方政府落实监管责任。推进企业环境信用评价，将违法企业纳入生态环境保护领域违法失信名单，实行公开曝光，开展联合惩戒。依法将危险废物产生单位和危险废物经营单位纳入环境污染强制责任保险投保范围。</w:t>
      </w:r>
      <w:r>
        <w:rPr>
          <w:rFonts w:ascii="仿宋_GB2312" w:hAnsi="仿宋_GB2312" w:eastAsia="仿宋_GB2312"/>
          <w:b/>
          <w:color w:val="000000"/>
          <w:spacing w:val="8"/>
          <w:kern w:val="0"/>
          <w:sz w:val="32"/>
          <w:szCs w:val="32"/>
        </w:rPr>
        <w:t>一是</w:t>
      </w:r>
      <w:r>
        <w:rPr>
          <w:rFonts w:ascii="仿宋_GB2312" w:hAnsi="仿宋_GB2312" w:eastAsia="仿宋_GB2312"/>
          <w:color w:val="000000"/>
          <w:spacing w:val="8"/>
          <w:kern w:val="0"/>
          <w:sz w:val="32"/>
          <w:szCs w:val="32"/>
        </w:rPr>
        <w:t>督促相关单位严格落实危险废物申报登记制度，严厉打击不如实申报危险废物行为或将危险废物隐瞒为原料</w:t>
      </w:r>
      <w:r>
        <w:rPr>
          <w:rFonts w:hint="eastAsia" w:ascii="仿宋_GB2312" w:hAnsi="仿宋_GB2312" w:eastAsia="仿宋_GB2312"/>
          <w:color w:val="000000"/>
          <w:spacing w:val="8"/>
          <w:kern w:val="0"/>
          <w:sz w:val="32"/>
          <w:szCs w:val="32"/>
        </w:rPr>
        <w:t>、</w:t>
      </w:r>
      <w:r>
        <w:rPr>
          <w:rFonts w:ascii="仿宋_GB2312" w:hAnsi="仿宋_GB2312" w:eastAsia="仿宋_GB2312"/>
          <w:color w:val="000000"/>
          <w:spacing w:val="8"/>
          <w:kern w:val="0"/>
          <w:sz w:val="32"/>
          <w:szCs w:val="32"/>
        </w:rPr>
        <w:t>中间产品的行为；在依法严肃查处的同时，纳入信用管理，实施联合惩戒，切实落实企业主体责任。</w:t>
      </w:r>
      <w:r>
        <w:rPr>
          <w:rFonts w:ascii="仿宋_GB2312" w:hAnsi="仿宋_GB2312" w:eastAsia="仿宋_GB2312"/>
          <w:b/>
          <w:color w:val="000000"/>
          <w:spacing w:val="8"/>
          <w:kern w:val="0"/>
          <w:sz w:val="32"/>
          <w:szCs w:val="32"/>
        </w:rPr>
        <w:t>二是</w:t>
      </w:r>
      <w:r>
        <w:rPr>
          <w:rFonts w:ascii="仿宋_GB2312" w:hAnsi="仿宋_GB2312" w:eastAsia="仿宋_GB2312"/>
          <w:color w:val="000000"/>
          <w:spacing w:val="8"/>
          <w:kern w:val="0"/>
          <w:sz w:val="32"/>
          <w:szCs w:val="32"/>
        </w:rPr>
        <w:t>建立完善危险废物由产生到处置各环节转移联单制度，督促危险废物产生、运输、接收单位严格落实安全管理规定；利用信息化手段，控制危险废物流向，加强对危险废物的动态监管。</w:t>
      </w:r>
      <w:r>
        <w:rPr>
          <w:rFonts w:ascii="仿宋_GB2312" w:hAnsi="仿宋_GB2312" w:eastAsia="仿宋_GB2312"/>
          <w:b/>
          <w:color w:val="000000"/>
          <w:spacing w:val="8"/>
          <w:kern w:val="0"/>
          <w:sz w:val="32"/>
          <w:szCs w:val="32"/>
        </w:rPr>
        <w:t>三是</w:t>
      </w:r>
      <w:r>
        <w:rPr>
          <w:rFonts w:ascii="仿宋_GB2312" w:hAnsi="仿宋_GB2312" w:eastAsia="仿宋_GB2312"/>
          <w:color w:val="000000"/>
          <w:spacing w:val="8"/>
          <w:kern w:val="0"/>
          <w:sz w:val="32"/>
          <w:szCs w:val="32"/>
        </w:rPr>
        <w:t>建立部门联动、区域协作、重大案件会商督办制度，形成覆盖危险废物产生、收集、贮存、转移、运输、利用、处置等全过程的监管体系。</w:t>
      </w:r>
      <w:r>
        <w:rPr>
          <w:rFonts w:ascii="楷体_GB2312" w:hAnsi="楷体_GB2312" w:eastAsia="楷体_GB2312"/>
          <w:color w:val="000000"/>
          <w:spacing w:val="8"/>
          <w:kern w:val="0"/>
          <w:sz w:val="32"/>
          <w:szCs w:val="32"/>
        </w:rPr>
        <w:t>（市生态环境局牵头，市</w:t>
      </w:r>
      <w:r>
        <w:rPr>
          <w:rFonts w:hint="eastAsia" w:ascii="楷体_GB2312" w:hAnsi="楷体_GB2312" w:eastAsia="楷体_GB2312"/>
          <w:color w:val="000000"/>
          <w:spacing w:val="8"/>
          <w:kern w:val="0"/>
          <w:sz w:val="32"/>
          <w:szCs w:val="32"/>
        </w:rPr>
        <w:t>卫健委</w:t>
      </w:r>
      <w:r>
        <w:rPr>
          <w:rFonts w:ascii="楷体_GB2312" w:hAnsi="楷体_GB2312" w:eastAsia="楷体_GB2312"/>
          <w:color w:val="000000"/>
          <w:spacing w:val="8"/>
          <w:kern w:val="0"/>
          <w:sz w:val="32"/>
          <w:szCs w:val="32"/>
        </w:rPr>
        <w:t>、市</w:t>
      </w:r>
      <w:r>
        <w:rPr>
          <w:rFonts w:hint="eastAsia" w:ascii="楷体_GB2312" w:hAnsi="楷体_GB2312" w:eastAsia="楷体_GB2312"/>
          <w:color w:val="000000"/>
          <w:spacing w:val="8"/>
          <w:kern w:val="0"/>
          <w:sz w:val="32"/>
          <w:szCs w:val="32"/>
        </w:rPr>
        <w:t>工信</w:t>
      </w:r>
      <w:r>
        <w:rPr>
          <w:rFonts w:ascii="楷体_GB2312" w:hAnsi="楷体_GB2312" w:eastAsia="楷体_GB2312"/>
          <w:color w:val="000000"/>
          <w:spacing w:val="8"/>
          <w:kern w:val="0"/>
          <w:sz w:val="32"/>
          <w:szCs w:val="32"/>
        </w:rPr>
        <w:t>局、市应急</w:t>
      </w:r>
      <w:r>
        <w:rPr>
          <w:rFonts w:hint="eastAsia" w:ascii="楷体_GB2312" w:hAnsi="楷体_GB2312" w:eastAsia="楷体_GB2312"/>
          <w:color w:val="000000"/>
          <w:spacing w:val="8"/>
          <w:kern w:val="0"/>
          <w:sz w:val="32"/>
          <w:szCs w:val="32"/>
        </w:rPr>
        <w:t>管理</w:t>
      </w:r>
      <w:r>
        <w:rPr>
          <w:rFonts w:ascii="楷体_GB2312" w:hAnsi="楷体_GB2312" w:eastAsia="楷体_GB2312"/>
          <w:color w:val="000000"/>
          <w:spacing w:val="8"/>
          <w:kern w:val="0"/>
          <w:sz w:val="32"/>
          <w:szCs w:val="32"/>
        </w:rPr>
        <w:t>局、市交通运输局、市公安局、市自然资源和规划局、市</w:t>
      </w:r>
      <w:r>
        <w:rPr>
          <w:rFonts w:hint="eastAsia" w:ascii="楷体_GB2312" w:hAnsi="楷体_GB2312" w:eastAsia="楷体_GB2312"/>
          <w:color w:val="000000"/>
          <w:spacing w:val="8"/>
          <w:kern w:val="0"/>
          <w:sz w:val="32"/>
          <w:szCs w:val="32"/>
        </w:rPr>
        <w:t>住建</w:t>
      </w:r>
      <w:r>
        <w:rPr>
          <w:rFonts w:ascii="楷体_GB2312" w:hAnsi="楷体_GB2312" w:eastAsia="楷体_GB2312"/>
          <w:color w:val="000000"/>
          <w:spacing w:val="8"/>
          <w:kern w:val="0"/>
          <w:sz w:val="32"/>
          <w:szCs w:val="32"/>
        </w:rPr>
        <w:t>局、市市场监管局等按职责分工负责）</w:t>
      </w:r>
    </w:p>
    <w:p>
      <w:pPr>
        <w:spacing w:line="560" w:lineRule="exact"/>
        <w:ind w:firstLine="672" w:firstLineChars="200"/>
        <w:rPr>
          <w:rFonts w:ascii="楷体_GB2312" w:hAnsi="楷体_GB2312" w:eastAsia="楷体_GB2312"/>
          <w:color w:val="000000"/>
          <w:spacing w:val="8"/>
          <w:kern w:val="0"/>
          <w:sz w:val="32"/>
          <w:szCs w:val="32"/>
        </w:rPr>
      </w:pPr>
      <w:r>
        <w:rPr>
          <w:rFonts w:hint="eastAsia" w:ascii="楷体_GB2312" w:hAnsi="楷体_GB2312" w:eastAsia="楷体_GB2312"/>
          <w:color w:val="000000"/>
          <w:spacing w:val="8"/>
          <w:kern w:val="0"/>
          <w:sz w:val="32"/>
          <w:szCs w:val="32"/>
        </w:rPr>
        <w:t>（三）着力统筹危险废物处置利用能力建设。</w:t>
      </w:r>
      <w:r>
        <w:rPr>
          <w:rFonts w:hint="eastAsia" w:ascii="仿宋_GB2312" w:hAnsi="仿宋_GB2312" w:eastAsia="仿宋_GB2312"/>
          <w:color w:val="000000"/>
          <w:spacing w:val="8"/>
          <w:kern w:val="0"/>
          <w:sz w:val="32"/>
          <w:szCs w:val="32"/>
        </w:rPr>
        <w:t>各地根据危险废物产生、利用处置能力和设施运行情况评估，科学制定并实施危险废物集中处置设施建设规划，推动地方政府将危险废物集中处置设施纳入当地公共基础设施统筹建设，推动建立地域内能力总体匹配的危险废物处置体系。推进危险废物利用处置能力结构优化。推行危险废物专业化、规模化利用，建设技术先进的大型危险废物焚烧处置设施，控制可焚烧减量的危险废物直接填埋。促进危险废物源头减量与资源化利用，企业应采取清洁生产等措施，从源头减少危险废物的产生量和危害性，优先实行企业内部资源化利用危险废物。推动医疗废物处置设施建设。加强与卫生健康部门配合，制定医疗废物集中处置设施建设规划，2020年年底前本市的医疗废物处置能力满足本地区实际需求；2022年6月底前各县(市)具有较为完善的医疗废物收集转运处置体系。建立医疗废物协同应急处置机制，保障突发疫情、处置设施检修等期间医疗废物应急处置能力。规范水泥窑及工业炉窑协同处置。适度发展水泥窑协同处置危险废物项目，将其作为危险废物利用处置能力的有益补充。</w:t>
      </w:r>
      <w:r>
        <w:rPr>
          <w:rFonts w:ascii="仿宋_GB2312" w:hAnsi="仿宋_GB2312" w:eastAsia="仿宋_GB2312"/>
          <w:color w:val="000000"/>
          <w:spacing w:val="8"/>
          <w:kern w:val="0"/>
          <w:sz w:val="32"/>
          <w:szCs w:val="32"/>
        </w:rPr>
        <w:t>消除处置能力瓶颈，严防因处置不及时造成的安全风险。</w:t>
      </w:r>
      <w:r>
        <w:rPr>
          <w:rFonts w:ascii="楷体_GB2312" w:hAnsi="楷体_GB2312" w:eastAsia="楷体_GB2312"/>
          <w:color w:val="000000"/>
          <w:spacing w:val="8"/>
          <w:kern w:val="0"/>
          <w:sz w:val="32"/>
          <w:szCs w:val="32"/>
        </w:rPr>
        <w:t>（市生态环境局牵头，市</w:t>
      </w:r>
      <w:r>
        <w:rPr>
          <w:rFonts w:hint="eastAsia" w:ascii="楷体_GB2312" w:hAnsi="楷体_GB2312" w:eastAsia="楷体_GB2312"/>
          <w:color w:val="000000"/>
          <w:spacing w:val="8"/>
          <w:kern w:val="0"/>
          <w:sz w:val="32"/>
          <w:szCs w:val="32"/>
        </w:rPr>
        <w:t>卫健委</w:t>
      </w:r>
      <w:r>
        <w:rPr>
          <w:rFonts w:ascii="楷体_GB2312" w:hAnsi="楷体_GB2312" w:eastAsia="楷体_GB2312"/>
          <w:color w:val="000000"/>
          <w:spacing w:val="8"/>
          <w:kern w:val="0"/>
          <w:sz w:val="32"/>
          <w:szCs w:val="32"/>
        </w:rPr>
        <w:t>、市</w:t>
      </w:r>
      <w:r>
        <w:rPr>
          <w:rFonts w:hint="eastAsia" w:ascii="楷体_GB2312" w:hAnsi="楷体_GB2312" w:eastAsia="楷体_GB2312"/>
          <w:color w:val="000000"/>
          <w:spacing w:val="8"/>
          <w:kern w:val="0"/>
          <w:sz w:val="32"/>
          <w:szCs w:val="32"/>
        </w:rPr>
        <w:t>工信</w:t>
      </w:r>
      <w:r>
        <w:rPr>
          <w:rFonts w:ascii="楷体_GB2312" w:hAnsi="楷体_GB2312" w:eastAsia="楷体_GB2312"/>
          <w:color w:val="000000"/>
          <w:spacing w:val="8"/>
          <w:kern w:val="0"/>
          <w:sz w:val="32"/>
          <w:szCs w:val="32"/>
        </w:rPr>
        <w:t>局、市应急</w:t>
      </w:r>
      <w:r>
        <w:rPr>
          <w:rFonts w:hint="eastAsia" w:ascii="楷体_GB2312" w:hAnsi="楷体_GB2312" w:eastAsia="楷体_GB2312"/>
          <w:color w:val="000000"/>
          <w:spacing w:val="8"/>
          <w:kern w:val="0"/>
          <w:sz w:val="32"/>
          <w:szCs w:val="32"/>
        </w:rPr>
        <w:t>管理</w:t>
      </w:r>
      <w:r>
        <w:rPr>
          <w:rFonts w:ascii="楷体_GB2312" w:hAnsi="楷体_GB2312" w:eastAsia="楷体_GB2312"/>
          <w:color w:val="000000"/>
          <w:spacing w:val="8"/>
          <w:kern w:val="0"/>
          <w:sz w:val="32"/>
          <w:szCs w:val="32"/>
        </w:rPr>
        <w:t>局、市交通运输局、市自然资源和规划局、市</w:t>
      </w:r>
      <w:r>
        <w:rPr>
          <w:rFonts w:hint="eastAsia" w:ascii="楷体_GB2312" w:hAnsi="楷体_GB2312" w:eastAsia="楷体_GB2312"/>
          <w:color w:val="000000"/>
          <w:spacing w:val="8"/>
          <w:kern w:val="0"/>
          <w:sz w:val="32"/>
          <w:szCs w:val="32"/>
        </w:rPr>
        <w:t>住建</w:t>
      </w:r>
      <w:r>
        <w:rPr>
          <w:rFonts w:ascii="楷体_GB2312" w:hAnsi="楷体_GB2312" w:eastAsia="楷体_GB2312"/>
          <w:color w:val="000000"/>
          <w:spacing w:val="8"/>
          <w:kern w:val="0"/>
          <w:sz w:val="32"/>
          <w:szCs w:val="32"/>
        </w:rPr>
        <w:t>局、市科技局、市水利局等按职责分工负责）</w:t>
      </w:r>
    </w:p>
    <w:p>
      <w:pPr>
        <w:pStyle w:val="3"/>
        <w:widowControl w:val="0"/>
        <w:shd w:val="clear" w:color="auto" w:fill="FFFFFF"/>
        <w:adjustRightInd w:val="0"/>
        <w:snapToGrid w:val="0"/>
        <w:spacing w:before="0" w:beforeAutospacing="0" w:after="0" w:afterAutospacing="0" w:line="560" w:lineRule="exact"/>
        <w:ind w:firstLine="336" w:firstLineChars="100"/>
        <w:jc w:val="both"/>
        <w:rPr>
          <w:rFonts w:ascii="Times New Roman" w:hAnsi="Times New Roman" w:eastAsia="楷体_GB2312" w:cs="Times New Roman"/>
          <w:color w:val="000000"/>
          <w:spacing w:val="8"/>
          <w:sz w:val="32"/>
          <w:szCs w:val="32"/>
        </w:rPr>
      </w:pPr>
      <w:r>
        <w:rPr>
          <w:rFonts w:ascii="楷体_GB2312" w:hAnsi="楷体_GB2312" w:eastAsia="楷体_GB2312" w:cs="Times New Roman"/>
          <w:color w:val="000000"/>
          <w:spacing w:val="8"/>
          <w:sz w:val="32"/>
          <w:szCs w:val="32"/>
        </w:rPr>
        <w:t>（</w:t>
      </w:r>
      <w:r>
        <w:rPr>
          <w:rFonts w:hint="eastAsia" w:ascii="楷体_GB2312" w:hAnsi="楷体_GB2312" w:eastAsia="楷体_GB2312" w:cs="Times New Roman"/>
          <w:color w:val="000000"/>
          <w:spacing w:val="8"/>
          <w:sz w:val="32"/>
          <w:szCs w:val="32"/>
        </w:rPr>
        <w:t>四</w:t>
      </w:r>
      <w:r>
        <w:rPr>
          <w:rFonts w:ascii="楷体_GB2312" w:hAnsi="楷体_GB2312" w:eastAsia="楷体_GB2312" w:cs="Times New Roman"/>
          <w:color w:val="000000"/>
          <w:spacing w:val="8"/>
          <w:sz w:val="32"/>
          <w:szCs w:val="32"/>
        </w:rPr>
        <w:t>）开展渣土和垃圾填理、污水处理过程中安全风险排查治理</w:t>
      </w:r>
    </w:p>
    <w:p>
      <w:pPr>
        <w:spacing w:line="560" w:lineRule="exact"/>
        <w:ind w:firstLine="672" w:firstLineChars="200"/>
        <w:rPr>
          <w:rFonts w:ascii="仿宋_GB2312" w:hAnsi="仿宋_GB2312" w:eastAsia="仿宋_GB2312"/>
          <w:color w:val="000000"/>
          <w:spacing w:val="8"/>
          <w:kern w:val="0"/>
          <w:sz w:val="32"/>
          <w:szCs w:val="32"/>
        </w:rPr>
      </w:pPr>
      <w:r>
        <w:rPr>
          <w:rFonts w:ascii="仿宋_GB2312" w:hAnsi="仿宋_GB2312" w:eastAsia="仿宋_GB2312"/>
          <w:color w:val="000000"/>
          <w:spacing w:val="8"/>
          <w:kern w:val="0"/>
          <w:sz w:val="32"/>
          <w:szCs w:val="32"/>
        </w:rPr>
        <w:t>整治城市生活垃圾处理场安全隐患，建立城市建筑垃圾消纳场常态监测机制，对垃圾堆体稳定性、可能存在的风险和应急预案可靠性等进行评估，取缔非法渣土场。</w:t>
      </w:r>
      <w:r>
        <w:rPr>
          <w:rFonts w:ascii="楷体_GB2312" w:hAnsi="楷体_GB2312" w:eastAsia="楷体_GB2312"/>
          <w:color w:val="000000"/>
          <w:spacing w:val="8"/>
          <w:kern w:val="0"/>
          <w:sz w:val="32"/>
          <w:szCs w:val="32"/>
        </w:rPr>
        <w:t>（</w:t>
      </w:r>
      <w:r>
        <w:rPr>
          <w:rFonts w:hint="eastAsia" w:ascii="楷体_GB2312" w:hAnsi="楷体_GB2312" w:eastAsia="楷体_GB2312"/>
          <w:color w:val="000000"/>
          <w:spacing w:val="8"/>
          <w:kern w:val="0"/>
          <w:sz w:val="32"/>
          <w:szCs w:val="32"/>
        </w:rPr>
        <w:t>市城管执法局牵头，</w:t>
      </w:r>
      <w:r>
        <w:rPr>
          <w:rFonts w:ascii="楷体_GB2312" w:hAnsi="楷体_GB2312" w:eastAsia="楷体_GB2312"/>
          <w:color w:val="000000"/>
          <w:spacing w:val="8"/>
          <w:kern w:val="0"/>
          <w:sz w:val="32"/>
          <w:szCs w:val="32"/>
        </w:rPr>
        <w:t>市</w:t>
      </w:r>
      <w:r>
        <w:rPr>
          <w:rFonts w:hint="eastAsia" w:ascii="楷体_GB2312" w:hAnsi="楷体_GB2312" w:eastAsia="楷体_GB2312"/>
          <w:color w:val="000000"/>
          <w:spacing w:val="8"/>
          <w:kern w:val="0"/>
          <w:sz w:val="32"/>
          <w:szCs w:val="32"/>
        </w:rPr>
        <w:t>住建</w:t>
      </w:r>
      <w:r>
        <w:rPr>
          <w:rFonts w:ascii="楷体_GB2312" w:hAnsi="楷体_GB2312" w:eastAsia="楷体_GB2312"/>
          <w:color w:val="000000"/>
          <w:spacing w:val="8"/>
          <w:kern w:val="0"/>
          <w:sz w:val="32"/>
          <w:szCs w:val="32"/>
        </w:rPr>
        <w:t>局</w:t>
      </w:r>
      <w:r>
        <w:rPr>
          <w:rFonts w:hint="eastAsia" w:ascii="楷体_GB2312" w:hAnsi="楷体_GB2312" w:eastAsia="楷体_GB2312"/>
          <w:color w:val="000000"/>
          <w:spacing w:val="8"/>
          <w:kern w:val="0"/>
          <w:sz w:val="32"/>
          <w:szCs w:val="32"/>
        </w:rPr>
        <w:t>、</w:t>
      </w:r>
      <w:r>
        <w:rPr>
          <w:rFonts w:ascii="楷体_GB2312" w:hAnsi="楷体_GB2312" w:eastAsia="楷体_GB2312"/>
          <w:color w:val="000000"/>
          <w:spacing w:val="8"/>
          <w:kern w:val="0"/>
          <w:sz w:val="32"/>
          <w:szCs w:val="32"/>
        </w:rPr>
        <w:t>市生态环境局、市</w:t>
      </w:r>
      <w:r>
        <w:rPr>
          <w:rFonts w:hint="eastAsia" w:ascii="楷体_GB2312" w:hAnsi="楷体_GB2312" w:eastAsia="楷体_GB2312"/>
          <w:color w:val="000000"/>
          <w:spacing w:val="8"/>
          <w:kern w:val="0"/>
          <w:sz w:val="32"/>
          <w:szCs w:val="32"/>
        </w:rPr>
        <w:t>工信</w:t>
      </w:r>
      <w:r>
        <w:rPr>
          <w:rFonts w:ascii="楷体_GB2312" w:hAnsi="楷体_GB2312" w:eastAsia="楷体_GB2312"/>
          <w:color w:val="000000"/>
          <w:spacing w:val="8"/>
          <w:kern w:val="0"/>
          <w:sz w:val="32"/>
          <w:szCs w:val="32"/>
        </w:rPr>
        <w:t>局、市发展改革委、市自然资源和规划局、市水利局等按职责分工负责）</w:t>
      </w:r>
      <w:r>
        <w:rPr>
          <w:rFonts w:ascii="仿宋_GB2312" w:hAnsi="仿宋_GB2312" w:eastAsia="仿宋_GB2312"/>
          <w:color w:val="000000"/>
          <w:spacing w:val="8"/>
          <w:kern w:val="0"/>
          <w:sz w:val="32"/>
          <w:szCs w:val="32"/>
        </w:rPr>
        <w:t>。指导地方有关部门对轻工、纺织行业企业污水罐等环保设施开展安全隐患排查，摸清污水处理等环保设施安全现状，重点排查污水罐等环保设施的规划、选址、设计、建造、使用、报废等各环节存在的重大安全隐患，评估污水罐坍塌等安全风险及影响范围。</w:t>
      </w:r>
      <w:r>
        <w:rPr>
          <w:rFonts w:ascii="楷体_GB2312" w:hAnsi="楷体_GB2312" w:eastAsia="楷体_GB2312"/>
          <w:color w:val="000000"/>
          <w:spacing w:val="8"/>
          <w:kern w:val="0"/>
          <w:sz w:val="32"/>
          <w:szCs w:val="32"/>
        </w:rPr>
        <w:t>（市应急</w:t>
      </w:r>
      <w:r>
        <w:rPr>
          <w:rFonts w:hint="eastAsia" w:ascii="楷体_GB2312" w:hAnsi="楷体_GB2312" w:eastAsia="楷体_GB2312"/>
          <w:color w:val="000000"/>
          <w:spacing w:val="8"/>
          <w:kern w:val="0"/>
          <w:sz w:val="32"/>
          <w:szCs w:val="32"/>
        </w:rPr>
        <w:t>管理</w:t>
      </w:r>
      <w:r>
        <w:rPr>
          <w:rFonts w:ascii="楷体_GB2312" w:hAnsi="楷体_GB2312" w:eastAsia="楷体_GB2312"/>
          <w:color w:val="000000"/>
          <w:spacing w:val="8"/>
          <w:kern w:val="0"/>
          <w:sz w:val="32"/>
          <w:szCs w:val="32"/>
        </w:rPr>
        <w:t>局牵头，市生态环境局、市</w:t>
      </w:r>
      <w:r>
        <w:rPr>
          <w:rFonts w:hint="eastAsia" w:ascii="楷体_GB2312" w:hAnsi="楷体_GB2312" w:eastAsia="楷体_GB2312"/>
          <w:color w:val="000000"/>
          <w:spacing w:val="8"/>
          <w:kern w:val="0"/>
          <w:sz w:val="32"/>
          <w:szCs w:val="32"/>
        </w:rPr>
        <w:t>工信</w:t>
      </w:r>
      <w:r>
        <w:rPr>
          <w:rFonts w:ascii="楷体_GB2312" w:hAnsi="楷体_GB2312" w:eastAsia="楷体_GB2312"/>
          <w:color w:val="000000"/>
          <w:spacing w:val="8"/>
          <w:kern w:val="0"/>
          <w:sz w:val="32"/>
          <w:szCs w:val="32"/>
        </w:rPr>
        <w:t>局、市发展改革委、市自然资源和规划局、市</w:t>
      </w:r>
      <w:r>
        <w:rPr>
          <w:rFonts w:hint="eastAsia" w:ascii="楷体_GB2312" w:hAnsi="楷体_GB2312" w:eastAsia="楷体_GB2312"/>
          <w:color w:val="000000"/>
          <w:spacing w:val="8"/>
          <w:kern w:val="0"/>
          <w:sz w:val="32"/>
          <w:szCs w:val="32"/>
        </w:rPr>
        <w:t>住建</w:t>
      </w:r>
      <w:r>
        <w:rPr>
          <w:rFonts w:ascii="楷体_GB2312" w:hAnsi="楷体_GB2312" w:eastAsia="楷体_GB2312"/>
          <w:color w:val="000000"/>
          <w:spacing w:val="8"/>
          <w:kern w:val="0"/>
          <w:sz w:val="32"/>
          <w:szCs w:val="32"/>
        </w:rPr>
        <w:t>局等按职责分工负责）</w:t>
      </w:r>
    </w:p>
    <w:p>
      <w:pPr>
        <w:numPr>
          <w:ilvl w:val="0"/>
          <w:numId w:val="1"/>
        </w:numPr>
        <w:spacing w:line="560" w:lineRule="exact"/>
        <w:ind w:firstLine="672" w:firstLineChars="200"/>
        <w:rPr>
          <w:rFonts w:ascii="楷体_GB2312" w:hAnsi="楷体_GB2312" w:eastAsia="楷体_GB2312"/>
          <w:color w:val="000000"/>
          <w:spacing w:val="8"/>
          <w:sz w:val="32"/>
          <w:szCs w:val="32"/>
        </w:rPr>
      </w:pPr>
      <w:r>
        <w:rPr>
          <w:rFonts w:hint="eastAsia" w:ascii="楷体_GB2312" w:hAnsi="楷体_GB2312" w:eastAsia="楷体_GB2312"/>
          <w:color w:val="000000"/>
          <w:spacing w:val="8"/>
          <w:sz w:val="32"/>
          <w:szCs w:val="32"/>
        </w:rPr>
        <w:t>加强尾矿库风险管控治理</w:t>
      </w:r>
    </w:p>
    <w:p>
      <w:pPr>
        <w:spacing w:line="560" w:lineRule="exact"/>
        <w:ind w:firstLine="672" w:firstLineChars="200"/>
        <w:rPr>
          <w:rFonts w:ascii="楷体_GB2312" w:hAnsi="楷体_GB2312" w:eastAsia="楷体_GB2312"/>
          <w:color w:val="000000"/>
          <w:spacing w:val="8"/>
          <w:sz w:val="32"/>
          <w:szCs w:val="32"/>
        </w:rPr>
      </w:pPr>
      <w:r>
        <w:rPr>
          <w:rFonts w:hint="eastAsia" w:ascii="仿宋_GB2312" w:hAnsi="仿宋_GB2312" w:eastAsia="仿宋_GB2312"/>
          <w:color w:val="000000"/>
          <w:spacing w:val="8"/>
          <w:kern w:val="0"/>
          <w:sz w:val="32"/>
          <w:szCs w:val="32"/>
        </w:rPr>
        <w:t>认真贯彻落实《关于做好汛期尾矿库环境风险隐患排查治理与环境应急准备工作的通知》(环办固体函〔2020〕195号)要求和应急管理部、生态环境部等8部委联合印发的《防范化解尾矿库安全生产工作方案》(应急〔2020〕15号)精神，按照部门分工要求，分解细化工作任务，加强统筹协调，落实尾矿库隐患排查治理工作，确保尾矿库安全。</w:t>
      </w:r>
      <w:r>
        <w:rPr>
          <w:rFonts w:ascii="楷体_GB2312" w:hAnsi="楷体_GB2312" w:eastAsia="楷体_GB2312"/>
          <w:color w:val="000000"/>
          <w:spacing w:val="8"/>
          <w:sz w:val="32"/>
          <w:szCs w:val="32"/>
        </w:rPr>
        <w:t>（</w:t>
      </w:r>
      <w:r>
        <w:rPr>
          <w:rFonts w:ascii="楷体_GB2312" w:hAnsi="楷体_GB2312" w:eastAsia="楷体_GB2312"/>
          <w:color w:val="000000"/>
          <w:spacing w:val="8"/>
          <w:kern w:val="0"/>
          <w:sz w:val="32"/>
          <w:szCs w:val="32"/>
        </w:rPr>
        <w:t>市应急</w:t>
      </w:r>
      <w:r>
        <w:rPr>
          <w:rFonts w:hint="eastAsia" w:ascii="楷体_GB2312" w:hAnsi="楷体_GB2312" w:eastAsia="楷体_GB2312"/>
          <w:color w:val="000000"/>
          <w:spacing w:val="8"/>
          <w:kern w:val="0"/>
          <w:sz w:val="32"/>
          <w:szCs w:val="32"/>
        </w:rPr>
        <w:t>管理</w:t>
      </w:r>
      <w:r>
        <w:rPr>
          <w:rFonts w:ascii="楷体_GB2312" w:hAnsi="楷体_GB2312" w:eastAsia="楷体_GB2312"/>
          <w:color w:val="000000"/>
          <w:spacing w:val="8"/>
          <w:kern w:val="0"/>
          <w:sz w:val="32"/>
          <w:szCs w:val="32"/>
        </w:rPr>
        <w:t>局</w:t>
      </w:r>
      <w:r>
        <w:rPr>
          <w:rFonts w:ascii="楷体_GB2312" w:hAnsi="楷体_GB2312" w:eastAsia="楷体_GB2312"/>
          <w:color w:val="000000"/>
          <w:spacing w:val="8"/>
          <w:sz w:val="32"/>
          <w:szCs w:val="32"/>
        </w:rPr>
        <w:t>牵头，市生态环境局、市</w:t>
      </w:r>
      <w:r>
        <w:rPr>
          <w:rFonts w:hint="eastAsia" w:ascii="楷体_GB2312" w:hAnsi="楷体_GB2312" w:eastAsia="楷体_GB2312"/>
          <w:color w:val="000000"/>
          <w:spacing w:val="8"/>
          <w:sz w:val="32"/>
          <w:szCs w:val="32"/>
        </w:rPr>
        <w:t>工信</w:t>
      </w:r>
      <w:r>
        <w:rPr>
          <w:rFonts w:ascii="楷体_GB2312" w:hAnsi="楷体_GB2312" w:eastAsia="楷体_GB2312"/>
          <w:color w:val="000000"/>
          <w:spacing w:val="8"/>
          <w:sz w:val="32"/>
          <w:szCs w:val="32"/>
        </w:rPr>
        <w:t>局、市发展改革委、市自然资源和规划局、市</w:t>
      </w:r>
      <w:r>
        <w:rPr>
          <w:rFonts w:hint="eastAsia" w:ascii="楷体_GB2312" w:hAnsi="楷体_GB2312" w:eastAsia="楷体_GB2312"/>
          <w:color w:val="000000"/>
          <w:spacing w:val="8"/>
          <w:sz w:val="32"/>
          <w:szCs w:val="32"/>
        </w:rPr>
        <w:t>住建</w:t>
      </w:r>
      <w:r>
        <w:rPr>
          <w:rFonts w:ascii="楷体_GB2312" w:hAnsi="楷体_GB2312" w:eastAsia="楷体_GB2312"/>
          <w:color w:val="000000"/>
          <w:spacing w:val="8"/>
          <w:sz w:val="32"/>
          <w:szCs w:val="32"/>
        </w:rPr>
        <w:t>局等按职责分工负责）</w:t>
      </w:r>
    </w:p>
    <w:p>
      <w:pPr>
        <w:pStyle w:val="3"/>
        <w:widowControl w:val="0"/>
        <w:shd w:val="clear" w:color="auto" w:fill="FFFFFF"/>
        <w:adjustRightInd w:val="0"/>
        <w:snapToGrid w:val="0"/>
        <w:spacing w:before="0" w:beforeAutospacing="0" w:after="0" w:afterAutospacing="0" w:line="560" w:lineRule="exact"/>
        <w:ind w:firstLine="672" w:firstLineChars="200"/>
        <w:jc w:val="both"/>
        <w:rPr>
          <w:rFonts w:ascii="Times New Roman" w:hAnsi="Times New Roman" w:eastAsia="楷体_GB2312" w:cs="Times New Roman"/>
          <w:color w:val="000000"/>
          <w:spacing w:val="8"/>
          <w:sz w:val="32"/>
          <w:szCs w:val="32"/>
        </w:rPr>
      </w:pPr>
      <w:r>
        <w:rPr>
          <w:rFonts w:ascii="楷体_GB2312" w:hAnsi="楷体_GB2312" w:eastAsia="楷体_GB2312" w:cs="Times New Roman"/>
          <w:color w:val="000000"/>
          <w:spacing w:val="8"/>
          <w:sz w:val="32"/>
          <w:szCs w:val="32"/>
        </w:rPr>
        <w:t>（</w:t>
      </w:r>
      <w:r>
        <w:rPr>
          <w:rFonts w:hint="eastAsia" w:ascii="楷体_GB2312" w:hAnsi="楷体_GB2312" w:eastAsia="楷体_GB2312" w:cs="Times New Roman"/>
          <w:color w:val="000000"/>
          <w:spacing w:val="8"/>
          <w:sz w:val="32"/>
          <w:szCs w:val="32"/>
        </w:rPr>
        <w:t>六</w:t>
      </w:r>
      <w:r>
        <w:rPr>
          <w:rFonts w:ascii="楷体_GB2312" w:hAnsi="楷体_GB2312" w:eastAsia="楷体_GB2312" w:cs="Times New Roman"/>
          <w:color w:val="000000"/>
          <w:spacing w:val="8"/>
          <w:sz w:val="32"/>
          <w:szCs w:val="32"/>
        </w:rPr>
        <w:t>）开展重点环保设施和项目安全风险评估论证</w:t>
      </w:r>
    </w:p>
    <w:p>
      <w:pPr>
        <w:pStyle w:val="3"/>
        <w:widowControl w:val="0"/>
        <w:shd w:val="clear" w:color="auto" w:fill="FFFFFF"/>
        <w:adjustRightInd w:val="0"/>
        <w:snapToGrid w:val="0"/>
        <w:spacing w:before="0" w:beforeAutospacing="0" w:after="0" w:afterAutospacing="0" w:line="560" w:lineRule="exact"/>
        <w:ind w:firstLine="675" w:firstLineChars="200"/>
        <w:jc w:val="both"/>
        <w:rPr>
          <w:rFonts w:ascii="Times New Roman" w:hAnsi="Times New Roman" w:eastAsia="楷体_GB2312" w:cs="Times New Roman"/>
          <w:color w:val="000000"/>
          <w:spacing w:val="8"/>
          <w:sz w:val="32"/>
          <w:szCs w:val="32"/>
        </w:rPr>
      </w:pPr>
      <w:r>
        <w:rPr>
          <w:rFonts w:ascii="仿宋_GB2312" w:hAnsi="仿宋_GB2312" w:eastAsia="仿宋_GB2312" w:cs="Times New Roman"/>
          <w:b/>
          <w:color w:val="000000"/>
          <w:spacing w:val="8"/>
          <w:sz w:val="32"/>
          <w:szCs w:val="32"/>
        </w:rPr>
        <w:t>一是</w:t>
      </w:r>
      <w:r>
        <w:rPr>
          <w:rFonts w:ascii="仿宋_GB2312" w:hAnsi="仿宋_GB2312" w:eastAsia="仿宋_GB2312" w:cs="Times New Roman"/>
          <w:color w:val="000000"/>
          <w:spacing w:val="8"/>
          <w:sz w:val="32"/>
          <w:szCs w:val="32"/>
        </w:rPr>
        <w:t>针对近年来的事故情况，组织开展企业重点环保设施和项目的全面摸排，建立台账。</w:t>
      </w:r>
      <w:r>
        <w:rPr>
          <w:rFonts w:ascii="仿宋_GB2312" w:hAnsi="仿宋_GB2312" w:eastAsia="仿宋_GB2312" w:cs="Times New Roman"/>
          <w:b/>
          <w:color w:val="000000"/>
          <w:spacing w:val="8"/>
          <w:sz w:val="32"/>
          <w:szCs w:val="32"/>
        </w:rPr>
        <w:t>二是</w:t>
      </w:r>
      <w:r>
        <w:rPr>
          <w:rFonts w:ascii="仿宋_GB2312" w:hAnsi="仿宋_GB2312" w:eastAsia="仿宋_GB2312" w:cs="Times New Roman"/>
          <w:color w:val="000000"/>
          <w:spacing w:val="8"/>
          <w:sz w:val="32"/>
          <w:szCs w:val="32"/>
        </w:rPr>
        <w:t>督促企业自行或委托第三方开展安全评估，根据评估结果，形成问题清单，制定防范措施并组织实施。</w:t>
      </w:r>
      <w:r>
        <w:rPr>
          <w:rFonts w:ascii="仿宋_GB2312" w:hAnsi="仿宋_GB2312" w:eastAsia="仿宋_GB2312" w:cs="Times New Roman"/>
          <w:b/>
          <w:color w:val="000000"/>
          <w:spacing w:val="8"/>
          <w:sz w:val="32"/>
          <w:szCs w:val="32"/>
        </w:rPr>
        <w:t>三是</w:t>
      </w:r>
      <w:r>
        <w:rPr>
          <w:rFonts w:ascii="仿宋_GB2312" w:hAnsi="仿宋_GB2312" w:eastAsia="仿宋_GB2312" w:cs="Times New Roman"/>
          <w:color w:val="000000"/>
          <w:spacing w:val="8"/>
          <w:sz w:val="32"/>
          <w:szCs w:val="32"/>
        </w:rPr>
        <w:t>组织开展对评估和治理结果的监督检查，对不落实相关评估要求和防范措施的，严肃依法查处。</w:t>
      </w:r>
      <w:r>
        <w:rPr>
          <w:rFonts w:ascii="楷体_GB2312" w:hAnsi="楷体_GB2312" w:eastAsia="楷体_GB2312" w:cs="Times New Roman"/>
          <w:color w:val="000000"/>
          <w:spacing w:val="8"/>
          <w:sz w:val="32"/>
          <w:szCs w:val="32"/>
        </w:rPr>
        <w:t>（</w:t>
      </w:r>
      <w:r>
        <w:rPr>
          <w:rFonts w:ascii="楷体_GB2312" w:hAnsi="楷体_GB2312" w:eastAsia="楷体_GB2312"/>
          <w:color w:val="000000"/>
          <w:spacing w:val="8"/>
          <w:sz w:val="32"/>
          <w:szCs w:val="32"/>
        </w:rPr>
        <w:t>市应急</w:t>
      </w:r>
      <w:r>
        <w:rPr>
          <w:rFonts w:hint="eastAsia" w:ascii="楷体_GB2312" w:hAnsi="楷体_GB2312" w:eastAsia="楷体_GB2312"/>
          <w:color w:val="000000"/>
          <w:spacing w:val="8"/>
          <w:sz w:val="32"/>
          <w:szCs w:val="32"/>
        </w:rPr>
        <w:t>管理</w:t>
      </w:r>
      <w:r>
        <w:rPr>
          <w:rFonts w:ascii="楷体_GB2312" w:hAnsi="楷体_GB2312" w:eastAsia="楷体_GB2312"/>
          <w:color w:val="000000"/>
          <w:spacing w:val="8"/>
          <w:sz w:val="32"/>
          <w:szCs w:val="32"/>
        </w:rPr>
        <w:t>局</w:t>
      </w:r>
      <w:r>
        <w:rPr>
          <w:rFonts w:ascii="楷体_GB2312" w:hAnsi="楷体_GB2312" w:eastAsia="楷体_GB2312" w:cs="Times New Roman"/>
          <w:color w:val="000000"/>
          <w:spacing w:val="8"/>
          <w:sz w:val="32"/>
          <w:szCs w:val="32"/>
        </w:rPr>
        <w:t>牵头，市生态环境局、市</w:t>
      </w:r>
      <w:r>
        <w:rPr>
          <w:rFonts w:hint="eastAsia" w:ascii="楷体_GB2312" w:hAnsi="楷体_GB2312" w:eastAsia="楷体_GB2312" w:cs="Times New Roman"/>
          <w:color w:val="000000"/>
          <w:spacing w:val="8"/>
          <w:sz w:val="32"/>
          <w:szCs w:val="32"/>
        </w:rPr>
        <w:t>工信</w:t>
      </w:r>
      <w:r>
        <w:rPr>
          <w:rFonts w:ascii="楷体_GB2312" w:hAnsi="楷体_GB2312" w:eastAsia="楷体_GB2312" w:cs="Times New Roman"/>
          <w:color w:val="000000"/>
          <w:spacing w:val="8"/>
          <w:sz w:val="32"/>
          <w:szCs w:val="32"/>
        </w:rPr>
        <w:t>局、市自然资源和规划局、市</w:t>
      </w:r>
      <w:r>
        <w:rPr>
          <w:rFonts w:hint="eastAsia" w:ascii="楷体_GB2312" w:hAnsi="楷体_GB2312" w:eastAsia="楷体_GB2312" w:cs="Times New Roman"/>
          <w:color w:val="000000"/>
          <w:spacing w:val="8"/>
          <w:sz w:val="32"/>
          <w:szCs w:val="32"/>
        </w:rPr>
        <w:t>住建</w:t>
      </w:r>
      <w:r>
        <w:rPr>
          <w:rFonts w:ascii="楷体_GB2312" w:hAnsi="楷体_GB2312" w:eastAsia="楷体_GB2312" w:cs="Times New Roman"/>
          <w:color w:val="000000"/>
          <w:spacing w:val="8"/>
          <w:sz w:val="32"/>
          <w:szCs w:val="32"/>
        </w:rPr>
        <w:t>局等按职责分工负责）</w:t>
      </w:r>
    </w:p>
    <w:p>
      <w:pPr>
        <w:pStyle w:val="3"/>
        <w:widowControl w:val="0"/>
        <w:shd w:val="clear" w:color="auto" w:fill="FFFFFF"/>
        <w:adjustRightInd w:val="0"/>
        <w:snapToGrid w:val="0"/>
        <w:spacing w:before="0" w:beforeAutospacing="0" w:after="0" w:afterAutospacing="0" w:line="560" w:lineRule="exact"/>
        <w:ind w:firstLine="672" w:firstLineChars="200"/>
        <w:jc w:val="both"/>
        <w:rPr>
          <w:rFonts w:ascii="Times New Roman" w:hAnsi="Times New Roman" w:eastAsia="楷体_GB2312" w:cs="Times New Roman"/>
          <w:color w:val="000000"/>
          <w:spacing w:val="8"/>
          <w:sz w:val="32"/>
          <w:szCs w:val="32"/>
        </w:rPr>
      </w:pPr>
      <w:r>
        <w:rPr>
          <w:rFonts w:ascii="楷体_GB2312" w:hAnsi="楷体_GB2312" w:eastAsia="楷体_GB2312" w:cs="Times New Roman"/>
          <w:color w:val="000000"/>
          <w:spacing w:val="8"/>
          <w:sz w:val="32"/>
          <w:szCs w:val="32"/>
        </w:rPr>
        <w:t>（</w:t>
      </w:r>
      <w:r>
        <w:rPr>
          <w:rFonts w:hint="eastAsia" w:ascii="楷体_GB2312" w:hAnsi="楷体_GB2312" w:eastAsia="楷体_GB2312" w:cs="Times New Roman"/>
          <w:color w:val="000000"/>
          <w:spacing w:val="8"/>
          <w:sz w:val="32"/>
          <w:szCs w:val="32"/>
        </w:rPr>
        <w:t>七</w:t>
      </w:r>
      <w:r>
        <w:rPr>
          <w:rFonts w:ascii="楷体_GB2312" w:hAnsi="楷体_GB2312" w:eastAsia="楷体_GB2312" w:cs="Times New Roman"/>
          <w:color w:val="000000"/>
          <w:spacing w:val="8"/>
          <w:sz w:val="32"/>
          <w:szCs w:val="32"/>
        </w:rPr>
        <w:t>）开展</w:t>
      </w:r>
      <w:r>
        <w:rPr>
          <w:rFonts w:ascii="Times New Roman" w:hAnsi="Times New Roman" w:eastAsia="楷体_GB2312" w:cs="Times New Roman"/>
          <w:color w:val="000000"/>
          <w:spacing w:val="8"/>
          <w:sz w:val="32"/>
          <w:szCs w:val="32"/>
        </w:rPr>
        <w:t>“</w:t>
      </w:r>
      <w:r>
        <w:rPr>
          <w:rFonts w:ascii="楷体_GB2312" w:hAnsi="楷体_GB2312" w:eastAsia="楷体_GB2312" w:cs="Times New Roman"/>
          <w:color w:val="000000"/>
          <w:spacing w:val="8"/>
          <w:sz w:val="32"/>
          <w:szCs w:val="32"/>
        </w:rPr>
        <w:t>煤改气</w:t>
      </w:r>
      <w:r>
        <w:rPr>
          <w:rFonts w:ascii="Times New Roman" w:hAnsi="Times New Roman" w:eastAsia="楷体_GB2312" w:cs="Times New Roman"/>
          <w:color w:val="000000"/>
          <w:spacing w:val="8"/>
          <w:sz w:val="32"/>
          <w:szCs w:val="32"/>
        </w:rPr>
        <w:t>”</w:t>
      </w:r>
      <w:r>
        <w:rPr>
          <w:rFonts w:ascii="楷体_GB2312" w:hAnsi="楷体_GB2312" w:eastAsia="楷体_GB2312" w:cs="Times New Roman"/>
          <w:color w:val="000000"/>
          <w:spacing w:val="8"/>
          <w:sz w:val="32"/>
          <w:szCs w:val="32"/>
        </w:rPr>
        <w:t>、洁净型煤燃用过程中安全风险排查治理</w:t>
      </w:r>
    </w:p>
    <w:p>
      <w:pPr>
        <w:pStyle w:val="3"/>
        <w:widowControl w:val="0"/>
        <w:shd w:val="clear" w:color="auto" w:fill="FFFFFF"/>
        <w:adjustRightInd w:val="0"/>
        <w:snapToGrid w:val="0"/>
        <w:spacing w:before="0" w:beforeAutospacing="0" w:after="0" w:afterAutospacing="0" w:line="560" w:lineRule="exact"/>
        <w:ind w:firstLine="672" w:firstLineChars="200"/>
        <w:jc w:val="both"/>
        <w:rPr>
          <w:rFonts w:ascii="Times New Roman" w:hAnsi="Times New Roman" w:eastAsia="楷体_GB2312" w:cs="Times New Roman"/>
          <w:color w:val="000000"/>
          <w:spacing w:val="8"/>
          <w:sz w:val="32"/>
          <w:szCs w:val="32"/>
        </w:rPr>
      </w:pPr>
      <w:r>
        <w:rPr>
          <w:rFonts w:ascii="仿宋_GB2312" w:hAnsi="仿宋_GB2312" w:eastAsia="仿宋_GB2312" w:cs="Times New Roman"/>
          <w:color w:val="000000"/>
          <w:spacing w:val="8"/>
          <w:sz w:val="32"/>
          <w:szCs w:val="32"/>
        </w:rPr>
        <w:t>根据本地燃气发展规划，结合散煤治理等工作开展情况，科学确定煤改气工程燃气管道走向、敷设方式和燃气设备设施的布局，加强施工安全管理，进一步明确相关主管部门、属地政府、燃气供应企业、燃气施工企业、用户的安全管理职责，加大入户检查指导的频次。</w:t>
      </w:r>
      <w:r>
        <w:rPr>
          <w:rFonts w:ascii="楷体_GB2312" w:hAnsi="楷体_GB2312" w:eastAsia="楷体_GB2312" w:cs="Times New Roman"/>
          <w:color w:val="000000"/>
          <w:spacing w:val="8"/>
          <w:sz w:val="32"/>
          <w:szCs w:val="32"/>
        </w:rPr>
        <w:t>（市</w:t>
      </w:r>
      <w:r>
        <w:rPr>
          <w:rFonts w:hint="eastAsia" w:ascii="楷体_GB2312" w:hAnsi="楷体_GB2312" w:eastAsia="楷体_GB2312" w:cs="Times New Roman"/>
          <w:color w:val="000000"/>
          <w:spacing w:val="8"/>
          <w:sz w:val="32"/>
          <w:szCs w:val="32"/>
        </w:rPr>
        <w:t>住建</w:t>
      </w:r>
      <w:r>
        <w:rPr>
          <w:rFonts w:ascii="楷体_GB2312" w:hAnsi="楷体_GB2312" w:eastAsia="楷体_GB2312" w:cs="Times New Roman"/>
          <w:color w:val="000000"/>
          <w:spacing w:val="8"/>
          <w:sz w:val="32"/>
          <w:szCs w:val="32"/>
        </w:rPr>
        <w:t>局牵头，市发展改革委、市</w:t>
      </w:r>
      <w:r>
        <w:rPr>
          <w:rFonts w:hint="eastAsia" w:ascii="楷体_GB2312" w:hAnsi="楷体_GB2312" w:eastAsia="楷体_GB2312" w:cs="Times New Roman"/>
          <w:color w:val="000000"/>
          <w:spacing w:val="8"/>
          <w:sz w:val="32"/>
          <w:szCs w:val="32"/>
        </w:rPr>
        <w:t>工信</w:t>
      </w:r>
      <w:r>
        <w:rPr>
          <w:rFonts w:ascii="楷体_GB2312" w:hAnsi="楷体_GB2312" w:eastAsia="楷体_GB2312" w:cs="Times New Roman"/>
          <w:color w:val="000000"/>
          <w:spacing w:val="8"/>
          <w:sz w:val="32"/>
          <w:szCs w:val="32"/>
        </w:rPr>
        <w:t>局、市自然资源和规划局等按职责分工负责）。</w:t>
      </w:r>
      <w:r>
        <w:rPr>
          <w:rFonts w:ascii="仿宋_GB2312" w:hAnsi="仿宋_GB2312" w:eastAsia="仿宋_GB2312" w:cs="Times New Roman"/>
          <w:color w:val="000000"/>
          <w:spacing w:val="8"/>
          <w:sz w:val="32"/>
          <w:szCs w:val="32"/>
        </w:rPr>
        <w:t>构建洁净型煤推广使用过程的安全风险防控机制，指导地方有关部门进村入户排查洁净型煤炉具密封不严、积灰堵塞、排气不畅、私自加盖密封盖等问题隐患，积极推广使用一氧化碳浓度报警等安全装置。加大安全宣传教育培训力度，切实提高安全意识，严防中毒等事故发生。</w:t>
      </w:r>
      <w:r>
        <w:rPr>
          <w:rFonts w:ascii="楷体_GB2312" w:hAnsi="楷体_GB2312" w:eastAsia="楷体_GB2312" w:cs="Times New Roman"/>
          <w:color w:val="000000"/>
          <w:spacing w:val="8"/>
          <w:sz w:val="32"/>
          <w:szCs w:val="32"/>
        </w:rPr>
        <w:t>（市</w:t>
      </w:r>
      <w:r>
        <w:rPr>
          <w:rFonts w:hint="eastAsia" w:ascii="楷体_GB2312" w:hAnsi="楷体_GB2312" w:eastAsia="楷体_GB2312" w:cs="Times New Roman"/>
          <w:color w:val="000000"/>
          <w:spacing w:val="8"/>
          <w:sz w:val="32"/>
          <w:szCs w:val="32"/>
        </w:rPr>
        <w:t>住建</w:t>
      </w:r>
      <w:r>
        <w:rPr>
          <w:rFonts w:ascii="楷体_GB2312" w:hAnsi="楷体_GB2312" w:eastAsia="楷体_GB2312" w:cs="Times New Roman"/>
          <w:color w:val="000000"/>
          <w:spacing w:val="8"/>
          <w:sz w:val="32"/>
          <w:szCs w:val="32"/>
        </w:rPr>
        <w:t>局</w:t>
      </w:r>
      <w:r>
        <w:rPr>
          <w:rFonts w:hint="eastAsia" w:ascii="楷体_GB2312" w:hAnsi="楷体_GB2312" w:eastAsia="楷体_GB2312" w:cs="Times New Roman"/>
          <w:color w:val="000000"/>
          <w:spacing w:val="8"/>
          <w:sz w:val="32"/>
          <w:szCs w:val="32"/>
        </w:rPr>
        <w:t>牵头，</w:t>
      </w:r>
      <w:r>
        <w:rPr>
          <w:rFonts w:ascii="楷体_GB2312" w:hAnsi="楷体_GB2312" w:eastAsia="楷体_GB2312" w:cs="Times New Roman"/>
          <w:color w:val="000000"/>
          <w:spacing w:val="8"/>
          <w:sz w:val="32"/>
          <w:szCs w:val="32"/>
        </w:rPr>
        <w:t>市发展改革委、市</w:t>
      </w:r>
      <w:r>
        <w:rPr>
          <w:rFonts w:hint="eastAsia" w:ascii="楷体_GB2312" w:hAnsi="楷体_GB2312" w:eastAsia="楷体_GB2312" w:cs="Times New Roman"/>
          <w:color w:val="000000"/>
          <w:spacing w:val="8"/>
          <w:sz w:val="32"/>
          <w:szCs w:val="32"/>
        </w:rPr>
        <w:t>工信</w:t>
      </w:r>
      <w:r>
        <w:rPr>
          <w:rFonts w:ascii="楷体_GB2312" w:hAnsi="楷体_GB2312" w:eastAsia="楷体_GB2312" w:cs="Times New Roman"/>
          <w:color w:val="000000"/>
          <w:spacing w:val="8"/>
          <w:sz w:val="32"/>
          <w:szCs w:val="32"/>
        </w:rPr>
        <w:t>局、市自然资源和规划局等按职责分工负责）</w:t>
      </w:r>
    </w:p>
    <w:p>
      <w:pPr>
        <w:pStyle w:val="3"/>
        <w:widowControl w:val="0"/>
        <w:shd w:val="clear" w:color="auto" w:fill="FFFFFF"/>
        <w:adjustRightInd w:val="0"/>
        <w:snapToGrid w:val="0"/>
        <w:spacing w:before="0" w:beforeAutospacing="0" w:after="0" w:afterAutospacing="0" w:line="560" w:lineRule="exact"/>
        <w:ind w:firstLine="672" w:firstLineChars="200"/>
        <w:jc w:val="both"/>
        <w:rPr>
          <w:rFonts w:ascii="Times New Roman" w:hAnsi="Times New Roman" w:eastAsia="楷体_GB2312" w:cs="Times New Roman"/>
          <w:color w:val="000000"/>
          <w:spacing w:val="8"/>
          <w:sz w:val="32"/>
          <w:szCs w:val="32"/>
        </w:rPr>
      </w:pPr>
      <w:r>
        <w:rPr>
          <w:rFonts w:ascii="楷体_GB2312" w:hAnsi="楷体_GB2312" w:eastAsia="楷体_GB2312" w:cs="Times New Roman"/>
          <w:color w:val="000000"/>
          <w:spacing w:val="8"/>
          <w:sz w:val="32"/>
          <w:szCs w:val="32"/>
        </w:rPr>
        <w:t>（</w:t>
      </w:r>
      <w:r>
        <w:rPr>
          <w:rFonts w:hint="eastAsia" w:ascii="楷体_GB2312" w:hAnsi="楷体_GB2312" w:eastAsia="楷体_GB2312" w:cs="Times New Roman"/>
          <w:color w:val="000000"/>
          <w:spacing w:val="8"/>
          <w:sz w:val="32"/>
          <w:szCs w:val="32"/>
        </w:rPr>
        <w:t>八</w:t>
      </w:r>
      <w:r>
        <w:rPr>
          <w:rFonts w:ascii="楷体_GB2312" w:hAnsi="楷体_GB2312" w:eastAsia="楷体_GB2312" w:cs="Times New Roman"/>
          <w:color w:val="000000"/>
          <w:spacing w:val="8"/>
          <w:sz w:val="32"/>
          <w:szCs w:val="32"/>
        </w:rPr>
        <w:t>）加强粉尘企业安全风险管控</w:t>
      </w:r>
    </w:p>
    <w:p>
      <w:pPr>
        <w:pStyle w:val="3"/>
        <w:widowControl w:val="0"/>
        <w:shd w:val="clear" w:color="auto" w:fill="FFFFFF"/>
        <w:adjustRightInd w:val="0"/>
        <w:snapToGrid w:val="0"/>
        <w:spacing w:before="0" w:beforeAutospacing="0" w:after="0" w:afterAutospacing="0" w:line="560" w:lineRule="exact"/>
        <w:ind w:firstLine="672" w:firstLineChars="200"/>
        <w:jc w:val="both"/>
        <w:rPr>
          <w:rFonts w:ascii="Times New Roman" w:hAnsi="Times New Roman" w:eastAsia="楷体_GB2312" w:cs="Times New Roman"/>
          <w:color w:val="000000"/>
          <w:spacing w:val="8"/>
          <w:sz w:val="32"/>
          <w:szCs w:val="32"/>
        </w:rPr>
      </w:pPr>
      <w:r>
        <w:rPr>
          <w:rFonts w:ascii="仿宋_GB2312" w:hAnsi="仿宋_GB2312" w:eastAsia="仿宋_GB2312" w:cs="Times New Roman"/>
          <w:color w:val="000000"/>
          <w:spacing w:val="8"/>
          <w:sz w:val="32"/>
          <w:szCs w:val="32"/>
        </w:rPr>
        <w:t>切实吸取近年来粉尘爆炸事故教训，加强粉尘涉爆企业除尘环保项目源头把关，严格安全评估和审核验收，确保粉尘收集、输送、贮存等环节的环保设施设备符合粉尘防爆安全标准要求。进一步排查涉爆粉尘企业底数和安全状况，督促企业强化安全风险管控和隐患排查治理，以粉尘作业场所</w:t>
      </w:r>
      <w:r>
        <w:rPr>
          <w:rFonts w:ascii="Times New Roman" w:hAnsi="Times New Roman" w:eastAsia="仿宋_GB2312" w:cs="Times New Roman"/>
          <w:color w:val="000000"/>
          <w:spacing w:val="8"/>
          <w:sz w:val="32"/>
          <w:szCs w:val="32"/>
        </w:rPr>
        <w:t>10</w:t>
      </w:r>
      <w:r>
        <w:rPr>
          <w:rFonts w:ascii="仿宋_GB2312" w:hAnsi="仿宋_GB2312" w:eastAsia="仿宋_GB2312" w:cs="Times New Roman"/>
          <w:color w:val="000000"/>
          <w:spacing w:val="8"/>
          <w:sz w:val="32"/>
          <w:szCs w:val="32"/>
        </w:rPr>
        <w:t>人及以上企业为重点，聚焦除尘系统防爆、防范点燃源措施、粉尘清理处置等重点环节，继续分级分类组织开展粉尘危害专项治理，严厉打击违法违规行为，坚决</w:t>
      </w:r>
      <w:r>
        <w:rPr>
          <w:rFonts w:hint="eastAsia" w:ascii="仿宋_GB2312" w:hAnsi="仿宋_GB2312" w:eastAsia="仿宋_GB2312" w:cs="Times New Roman"/>
          <w:color w:val="000000"/>
          <w:spacing w:val="8"/>
          <w:sz w:val="32"/>
          <w:szCs w:val="32"/>
        </w:rPr>
        <w:t>杜绝</w:t>
      </w:r>
      <w:r>
        <w:rPr>
          <w:rFonts w:ascii="仿宋_GB2312" w:hAnsi="仿宋_GB2312" w:eastAsia="仿宋_GB2312" w:cs="Times New Roman"/>
          <w:color w:val="000000"/>
          <w:spacing w:val="8"/>
          <w:sz w:val="32"/>
          <w:szCs w:val="32"/>
        </w:rPr>
        <w:t>粉尘爆炸</w:t>
      </w:r>
      <w:r>
        <w:rPr>
          <w:rFonts w:hint="eastAsia" w:ascii="仿宋_GB2312" w:hAnsi="仿宋_GB2312" w:eastAsia="仿宋_GB2312" w:cs="Times New Roman"/>
          <w:color w:val="000000"/>
          <w:spacing w:val="8"/>
          <w:sz w:val="32"/>
          <w:szCs w:val="32"/>
        </w:rPr>
        <w:t>较大及以上生产安全</w:t>
      </w:r>
      <w:r>
        <w:rPr>
          <w:rFonts w:ascii="仿宋_GB2312" w:hAnsi="仿宋_GB2312" w:eastAsia="仿宋_GB2312" w:cs="Times New Roman"/>
          <w:color w:val="000000"/>
          <w:spacing w:val="8"/>
          <w:sz w:val="32"/>
          <w:szCs w:val="32"/>
        </w:rPr>
        <w:t>事故发生。</w:t>
      </w:r>
      <w:r>
        <w:rPr>
          <w:rFonts w:ascii="楷体_GB2312" w:hAnsi="楷体_GB2312" w:eastAsia="楷体_GB2312" w:cs="Times New Roman"/>
          <w:color w:val="000000"/>
          <w:spacing w:val="8"/>
          <w:sz w:val="32"/>
          <w:szCs w:val="32"/>
        </w:rPr>
        <w:t>（</w:t>
      </w:r>
      <w:r>
        <w:rPr>
          <w:rFonts w:ascii="楷体_GB2312" w:hAnsi="楷体_GB2312" w:eastAsia="楷体_GB2312"/>
          <w:color w:val="000000"/>
          <w:spacing w:val="8"/>
          <w:sz w:val="32"/>
          <w:szCs w:val="32"/>
        </w:rPr>
        <w:t>市应急</w:t>
      </w:r>
      <w:r>
        <w:rPr>
          <w:rFonts w:hint="eastAsia" w:ascii="楷体_GB2312" w:hAnsi="楷体_GB2312" w:eastAsia="楷体_GB2312"/>
          <w:color w:val="000000"/>
          <w:spacing w:val="8"/>
          <w:sz w:val="32"/>
          <w:szCs w:val="32"/>
        </w:rPr>
        <w:t>管理</w:t>
      </w:r>
      <w:r>
        <w:rPr>
          <w:rFonts w:ascii="楷体_GB2312" w:hAnsi="楷体_GB2312" w:eastAsia="楷体_GB2312" w:cs="Times New Roman"/>
          <w:color w:val="000000"/>
          <w:spacing w:val="8"/>
          <w:sz w:val="32"/>
          <w:szCs w:val="32"/>
        </w:rPr>
        <w:t>局</w:t>
      </w:r>
      <w:r>
        <w:rPr>
          <w:rFonts w:hint="eastAsia" w:ascii="楷体_GB2312" w:hAnsi="楷体_GB2312" w:eastAsia="楷体_GB2312" w:cs="Times New Roman"/>
          <w:color w:val="000000"/>
          <w:spacing w:val="8"/>
          <w:sz w:val="32"/>
          <w:szCs w:val="32"/>
        </w:rPr>
        <w:t>牵头，</w:t>
      </w:r>
      <w:r>
        <w:rPr>
          <w:rFonts w:ascii="楷体_GB2312" w:hAnsi="楷体_GB2312" w:eastAsia="楷体_GB2312" w:cs="Times New Roman"/>
          <w:color w:val="000000"/>
          <w:spacing w:val="8"/>
          <w:sz w:val="32"/>
          <w:szCs w:val="32"/>
        </w:rPr>
        <w:t>市</w:t>
      </w:r>
      <w:r>
        <w:rPr>
          <w:rFonts w:hint="eastAsia" w:ascii="楷体_GB2312" w:hAnsi="楷体_GB2312" w:eastAsia="楷体_GB2312" w:cs="Times New Roman"/>
          <w:color w:val="000000"/>
          <w:spacing w:val="8"/>
          <w:sz w:val="32"/>
          <w:szCs w:val="32"/>
        </w:rPr>
        <w:t>卫健委</w:t>
      </w:r>
      <w:r>
        <w:rPr>
          <w:rFonts w:ascii="楷体_GB2312" w:hAnsi="楷体_GB2312" w:eastAsia="楷体_GB2312" w:cs="Times New Roman"/>
          <w:color w:val="000000"/>
          <w:spacing w:val="8"/>
          <w:sz w:val="32"/>
          <w:szCs w:val="32"/>
        </w:rPr>
        <w:t>、市生态环境局、市</w:t>
      </w:r>
      <w:r>
        <w:rPr>
          <w:rFonts w:hint="eastAsia" w:ascii="楷体_GB2312" w:hAnsi="楷体_GB2312" w:eastAsia="楷体_GB2312" w:cs="Times New Roman"/>
          <w:color w:val="000000"/>
          <w:spacing w:val="8"/>
          <w:sz w:val="32"/>
          <w:szCs w:val="32"/>
        </w:rPr>
        <w:t>工信</w:t>
      </w:r>
      <w:r>
        <w:rPr>
          <w:rFonts w:ascii="楷体_GB2312" w:hAnsi="楷体_GB2312" w:eastAsia="楷体_GB2312" w:cs="Times New Roman"/>
          <w:color w:val="000000"/>
          <w:spacing w:val="8"/>
          <w:sz w:val="32"/>
          <w:szCs w:val="32"/>
        </w:rPr>
        <w:t>局、市</w:t>
      </w:r>
      <w:r>
        <w:rPr>
          <w:rFonts w:hint="eastAsia" w:ascii="楷体_GB2312" w:hAnsi="楷体_GB2312" w:eastAsia="楷体_GB2312" w:cs="Times New Roman"/>
          <w:color w:val="000000"/>
          <w:spacing w:val="8"/>
          <w:sz w:val="32"/>
          <w:szCs w:val="32"/>
        </w:rPr>
        <w:t>住建</w:t>
      </w:r>
      <w:r>
        <w:rPr>
          <w:rFonts w:ascii="楷体_GB2312" w:hAnsi="楷体_GB2312" w:eastAsia="楷体_GB2312" w:cs="Times New Roman"/>
          <w:color w:val="000000"/>
          <w:spacing w:val="8"/>
          <w:sz w:val="32"/>
          <w:szCs w:val="32"/>
        </w:rPr>
        <w:t>局、市市场监管局、市农业农村局等相关部门按职责分工负责）。</w:t>
      </w:r>
      <w:r>
        <w:rPr>
          <w:rFonts w:ascii="仿宋_GB2312" w:hAnsi="仿宋_GB2312" w:eastAsia="仿宋_GB2312" w:cs="Times New Roman"/>
          <w:color w:val="000000"/>
          <w:spacing w:val="8"/>
          <w:sz w:val="32"/>
          <w:szCs w:val="32"/>
        </w:rPr>
        <w:t>按照</w:t>
      </w:r>
      <w:r>
        <w:rPr>
          <w:rFonts w:ascii="Times New Roman" w:hAnsi="Times New Roman" w:eastAsia="仿宋_GB2312" w:cs="Times New Roman"/>
          <w:color w:val="000000"/>
          <w:spacing w:val="8"/>
          <w:sz w:val="32"/>
          <w:szCs w:val="32"/>
        </w:rPr>
        <w:t>“</w:t>
      </w:r>
      <w:r>
        <w:rPr>
          <w:rFonts w:ascii="仿宋_GB2312" w:hAnsi="仿宋_GB2312" w:eastAsia="仿宋_GB2312" w:cs="Times New Roman"/>
          <w:color w:val="000000"/>
          <w:spacing w:val="8"/>
          <w:sz w:val="32"/>
          <w:szCs w:val="32"/>
        </w:rPr>
        <w:t>摸清底数、突出重点、淘汰落后、综合治理</w:t>
      </w:r>
      <w:r>
        <w:rPr>
          <w:rFonts w:ascii="Times New Roman" w:hAnsi="Times New Roman" w:eastAsia="仿宋_GB2312" w:cs="Times New Roman"/>
          <w:color w:val="000000"/>
          <w:spacing w:val="8"/>
          <w:sz w:val="32"/>
          <w:szCs w:val="32"/>
        </w:rPr>
        <w:t>”</w:t>
      </w:r>
      <w:r>
        <w:rPr>
          <w:rFonts w:ascii="仿宋_GB2312" w:hAnsi="仿宋_GB2312" w:eastAsia="仿宋_GB2312" w:cs="Times New Roman"/>
          <w:color w:val="000000"/>
          <w:spacing w:val="8"/>
          <w:sz w:val="32"/>
          <w:szCs w:val="32"/>
        </w:rPr>
        <w:t>的原则，深入开展尘肺病易发高发行业领域的粉尘危害专项治理工作，督促用人单位落实粉尘防控主体责任，确保实现治理目标。</w:t>
      </w:r>
      <w:r>
        <w:rPr>
          <w:rFonts w:ascii="楷体_GB2312" w:hAnsi="楷体_GB2312" w:eastAsia="楷体_GB2312" w:cs="Times New Roman"/>
          <w:color w:val="000000"/>
          <w:spacing w:val="8"/>
          <w:sz w:val="32"/>
          <w:szCs w:val="32"/>
        </w:rPr>
        <w:t>（市</w:t>
      </w:r>
      <w:r>
        <w:rPr>
          <w:rFonts w:hint="eastAsia" w:ascii="楷体_GB2312" w:hAnsi="楷体_GB2312" w:eastAsia="楷体_GB2312" w:cs="Times New Roman"/>
          <w:color w:val="000000"/>
          <w:spacing w:val="8"/>
          <w:sz w:val="32"/>
          <w:szCs w:val="32"/>
        </w:rPr>
        <w:t>卫健委</w:t>
      </w:r>
      <w:r>
        <w:rPr>
          <w:rFonts w:ascii="楷体_GB2312" w:hAnsi="楷体_GB2312" w:eastAsia="楷体_GB2312" w:cs="Times New Roman"/>
          <w:color w:val="000000"/>
          <w:spacing w:val="8"/>
          <w:sz w:val="32"/>
          <w:szCs w:val="32"/>
        </w:rPr>
        <w:t>牵头，</w:t>
      </w:r>
      <w:r>
        <w:rPr>
          <w:rFonts w:ascii="楷体_GB2312" w:hAnsi="楷体_GB2312" w:eastAsia="楷体_GB2312"/>
          <w:color w:val="000000"/>
          <w:spacing w:val="8"/>
          <w:sz w:val="32"/>
          <w:szCs w:val="32"/>
        </w:rPr>
        <w:t>市应急</w:t>
      </w:r>
      <w:r>
        <w:rPr>
          <w:rFonts w:hint="eastAsia" w:ascii="楷体_GB2312" w:hAnsi="楷体_GB2312" w:eastAsia="楷体_GB2312"/>
          <w:color w:val="000000"/>
          <w:spacing w:val="8"/>
          <w:sz w:val="32"/>
          <w:szCs w:val="32"/>
        </w:rPr>
        <w:t>管理</w:t>
      </w:r>
      <w:r>
        <w:rPr>
          <w:rFonts w:ascii="楷体_GB2312" w:hAnsi="楷体_GB2312" w:eastAsia="楷体_GB2312"/>
          <w:color w:val="000000"/>
          <w:spacing w:val="8"/>
          <w:sz w:val="32"/>
          <w:szCs w:val="32"/>
        </w:rPr>
        <w:t>局</w:t>
      </w:r>
      <w:r>
        <w:rPr>
          <w:rFonts w:ascii="楷体_GB2312" w:hAnsi="楷体_GB2312" w:eastAsia="楷体_GB2312" w:cs="Times New Roman"/>
          <w:color w:val="000000"/>
          <w:spacing w:val="8"/>
          <w:sz w:val="32"/>
          <w:szCs w:val="32"/>
        </w:rPr>
        <w:t>、市</w:t>
      </w:r>
      <w:r>
        <w:rPr>
          <w:rFonts w:hint="eastAsia" w:ascii="楷体_GB2312" w:hAnsi="楷体_GB2312" w:eastAsia="楷体_GB2312" w:cs="Times New Roman"/>
          <w:color w:val="000000"/>
          <w:spacing w:val="8"/>
          <w:sz w:val="32"/>
          <w:szCs w:val="32"/>
        </w:rPr>
        <w:t>工信</w:t>
      </w:r>
      <w:r>
        <w:rPr>
          <w:rFonts w:ascii="楷体_GB2312" w:hAnsi="楷体_GB2312" w:eastAsia="楷体_GB2312" w:cs="Times New Roman"/>
          <w:color w:val="000000"/>
          <w:spacing w:val="8"/>
          <w:sz w:val="32"/>
          <w:szCs w:val="32"/>
        </w:rPr>
        <w:t>局、市</w:t>
      </w:r>
      <w:r>
        <w:rPr>
          <w:rFonts w:hint="eastAsia" w:ascii="楷体_GB2312" w:hAnsi="楷体_GB2312" w:eastAsia="楷体_GB2312" w:cs="Times New Roman"/>
          <w:color w:val="000000"/>
          <w:spacing w:val="8"/>
          <w:sz w:val="32"/>
          <w:szCs w:val="32"/>
        </w:rPr>
        <w:t>住建</w:t>
      </w:r>
      <w:r>
        <w:rPr>
          <w:rFonts w:ascii="楷体_GB2312" w:hAnsi="楷体_GB2312" w:eastAsia="楷体_GB2312" w:cs="Times New Roman"/>
          <w:color w:val="000000"/>
          <w:spacing w:val="8"/>
          <w:sz w:val="32"/>
          <w:szCs w:val="32"/>
        </w:rPr>
        <w:t>局、市市场监管局、市农业农村局等按职责分工负责）</w:t>
      </w:r>
    </w:p>
    <w:p>
      <w:pPr>
        <w:pStyle w:val="3"/>
        <w:widowControl w:val="0"/>
        <w:shd w:val="clear" w:color="auto" w:fill="FFFFFF"/>
        <w:adjustRightInd w:val="0"/>
        <w:snapToGrid w:val="0"/>
        <w:spacing w:before="0" w:beforeAutospacing="0" w:after="0" w:afterAutospacing="0" w:line="560" w:lineRule="exact"/>
        <w:ind w:firstLine="672" w:firstLineChars="200"/>
        <w:jc w:val="both"/>
        <w:rPr>
          <w:rFonts w:ascii="Times New Roman" w:hAnsi="Times New Roman" w:eastAsia="黑体" w:cs="Times New Roman"/>
          <w:color w:val="000000"/>
          <w:spacing w:val="8"/>
          <w:sz w:val="32"/>
          <w:szCs w:val="32"/>
        </w:rPr>
      </w:pPr>
      <w:r>
        <w:rPr>
          <w:rFonts w:hint="eastAsia" w:ascii="黑体" w:hAnsi="黑体" w:eastAsia="黑体" w:cs="Times New Roman"/>
          <w:color w:val="000000"/>
          <w:spacing w:val="8"/>
          <w:sz w:val="32"/>
          <w:szCs w:val="32"/>
        </w:rPr>
        <w:t>三</w:t>
      </w:r>
      <w:r>
        <w:rPr>
          <w:rFonts w:ascii="黑体" w:hAnsi="黑体" w:eastAsia="黑体" w:cs="Times New Roman"/>
          <w:color w:val="000000"/>
          <w:spacing w:val="8"/>
          <w:sz w:val="32"/>
          <w:szCs w:val="32"/>
        </w:rPr>
        <w:t>、时间安排</w:t>
      </w:r>
    </w:p>
    <w:p>
      <w:pPr>
        <w:spacing w:line="560" w:lineRule="exact"/>
        <w:ind w:firstLine="672" w:firstLineChars="200"/>
        <w:rPr>
          <w:rFonts w:ascii="仿宋_GB2312" w:eastAsia="仿宋_GB2312"/>
          <w:color w:val="000000"/>
        </w:rPr>
      </w:pPr>
      <w:r>
        <w:rPr>
          <w:rFonts w:hint="eastAsia" w:ascii="仿宋_GB2312" w:hAnsi="仿宋_GB2312" w:eastAsia="仿宋_GB2312"/>
          <w:color w:val="000000"/>
          <w:spacing w:val="8"/>
          <w:sz w:val="32"/>
          <w:szCs w:val="32"/>
        </w:rPr>
        <w:t>从</w:t>
      </w:r>
      <w:r>
        <w:rPr>
          <w:rFonts w:hint="eastAsia" w:ascii="仿宋_GB2312" w:eastAsia="仿宋_GB2312"/>
          <w:color w:val="000000"/>
          <w:spacing w:val="8"/>
          <w:sz w:val="32"/>
          <w:szCs w:val="32"/>
        </w:rPr>
        <w:t>2020</w:t>
      </w:r>
      <w:r>
        <w:rPr>
          <w:rFonts w:hint="eastAsia" w:ascii="仿宋_GB2312" w:hAnsi="仿宋_GB2312" w:eastAsia="仿宋_GB2312"/>
          <w:color w:val="000000"/>
          <w:spacing w:val="8"/>
          <w:sz w:val="32"/>
          <w:szCs w:val="32"/>
        </w:rPr>
        <w:t>年</w:t>
      </w:r>
      <w:r>
        <w:rPr>
          <w:rFonts w:hint="eastAsia" w:ascii="仿宋_GB2312" w:eastAsia="仿宋_GB2312"/>
          <w:color w:val="000000"/>
          <w:spacing w:val="8"/>
          <w:sz w:val="32"/>
          <w:szCs w:val="32"/>
        </w:rPr>
        <w:t>6</w:t>
      </w:r>
      <w:r>
        <w:rPr>
          <w:rFonts w:hint="eastAsia" w:ascii="仿宋_GB2312" w:hAnsi="仿宋_GB2312" w:eastAsia="仿宋_GB2312"/>
          <w:color w:val="000000"/>
          <w:spacing w:val="8"/>
          <w:sz w:val="32"/>
          <w:szCs w:val="32"/>
        </w:rPr>
        <w:t>月至</w:t>
      </w:r>
      <w:r>
        <w:rPr>
          <w:rFonts w:hint="eastAsia" w:ascii="仿宋_GB2312" w:eastAsia="仿宋_GB2312"/>
          <w:color w:val="000000"/>
          <w:spacing w:val="8"/>
          <w:sz w:val="32"/>
          <w:szCs w:val="32"/>
        </w:rPr>
        <w:t>2022</w:t>
      </w:r>
      <w:r>
        <w:rPr>
          <w:rFonts w:hint="eastAsia" w:ascii="仿宋_GB2312" w:hAnsi="仿宋_GB2312" w:eastAsia="仿宋_GB2312"/>
          <w:color w:val="000000"/>
          <w:spacing w:val="8"/>
          <w:sz w:val="32"/>
          <w:szCs w:val="32"/>
        </w:rPr>
        <w:t>年</w:t>
      </w:r>
      <w:r>
        <w:rPr>
          <w:rFonts w:hint="eastAsia" w:ascii="仿宋_GB2312" w:eastAsia="仿宋_GB2312"/>
          <w:color w:val="000000"/>
          <w:spacing w:val="8"/>
          <w:sz w:val="32"/>
          <w:szCs w:val="32"/>
        </w:rPr>
        <w:t>12</w:t>
      </w:r>
      <w:r>
        <w:rPr>
          <w:rFonts w:hint="eastAsia" w:ascii="仿宋_GB2312" w:hAnsi="仿宋_GB2312" w:eastAsia="仿宋_GB2312"/>
          <w:color w:val="000000"/>
          <w:spacing w:val="8"/>
          <w:sz w:val="32"/>
          <w:szCs w:val="32"/>
        </w:rPr>
        <w:t>月，分四个阶段进行。</w:t>
      </w:r>
    </w:p>
    <w:p>
      <w:pPr>
        <w:pStyle w:val="3"/>
        <w:widowControl w:val="0"/>
        <w:shd w:val="clear" w:color="auto" w:fill="FFFFFF"/>
        <w:adjustRightInd w:val="0"/>
        <w:snapToGrid w:val="0"/>
        <w:spacing w:before="0" w:beforeAutospacing="0" w:after="0" w:afterAutospacing="0" w:line="560" w:lineRule="exact"/>
        <w:ind w:firstLine="672" w:firstLineChars="200"/>
        <w:jc w:val="both"/>
        <w:rPr>
          <w:rFonts w:ascii="Times New Roman" w:hAnsi="Times New Roman" w:eastAsia="仿宋_GB2312" w:cs="Times New Roman"/>
          <w:color w:val="000000"/>
          <w:spacing w:val="8"/>
          <w:sz w:val="32"/>
          <w:szCs w:val="32"/>
        </w:rPr>
      </w:pPr>
      <w:r>
        <w:rPr>
          <w:rFonts w:hint="eastAsia" w:ascii="楷体_GB2312" w:hAnsi="楷体_GB2312" w:eastAsia="楷体_GB2312" w:cs="Times New Roman"/>
          <w:color w:val="000000"/>
          <w:spacing w:val="8"/>
          <w:sz w:val="32"/>
          <w:szCs w:val="32"/>
        </w:rPr>
        <w:t>（一）动员部署（</w:t>
      </w:r>
      <w:r>
        <w:rPr>
          <w:rFonts w:hint="eastAsia" w:ascii="楷体_GB2312" w:hAnsi="Times New Roman" w:eastAsia="楷体_GB2312" w:cs="Times New Roman"/>
          <w:color w:val="000000"/>
          <w:spacing w:val="8"/>
          <w:sz w:val="32"/>
          <w:szCs w:val="32"/>
        </w:rPr>
        <w:t>2020</w:t>
      </w:r>
      <w:r>
        <w:rPr>
          <w:rFonts w:hint="eastAsia" w:ascii="楷体_GB2312" w:hAnsi="楷体_GB2312" w:eastAsia="楷体_GB2312" w:cs="Times New Roman"/>
          <w:color w:val="000000"/>
          <w:spacing w:val="8"/>
          <w:sz w:val="32"/>
          <w:szCs w:val="32"/>
        </w:rPr>
        <w:t>年</w:t>
      </w:r>
      <w:r>
        <w:rPr>
          <w:rFonts w:hint="eastAsia" w:ascii="楷体_GB2312" w:hAnsi="Times New Roman" w:eastAsia="楷体_GB2312" w:cs="Times New Roman"/>
          <w:color w:val="000000"/>
          <w:spacing w:val="8"/>
          <w:sz w:val="32"/>
          <w:szCs w:val="32"/>
        </w:rPr>
        <w:t>6</w:t>
      </w:r>
      <w:r>
        <w:rPr>
          <w:rFonts w:hint="eastAsia" w:ascii="楷体_GB2312" w:hAnsi="楷体_GB2312" w:eastAsia="楷体_GB2312" w:cs="Times New Roman"/>
          <w:color w:val="000000"/>
          <w:spacing w:val="8"/>
          <w:sz w:val="32"/>
          <w:szCs w:val="32"/>
        </w:rPr>
        <w:t>月上旬）。</w:t>
      </w:r>
      <w:r>
        <w:rPr>
          <w:rFonts w:ascii="仿宋_GB2312" w:hAnsi="仿宋_GB2312" w:eastAsia="仿宋_GB2312" w:cs="Times New Roman"/>
          <w:color w:val="000000"/>
          <w:spacing w:val="8"/>
          <w:sz w:val="32"/>
          <w:szCs w:val="32"/>
        </w:rPr>
        <w:t>各级各有关部门和单位根据本方案要求，结合实际制定细化本地区实施方案，进一步明晰目标任务、细化工作措施、制定考核办法，并广泛进行宣传发动，对专项整治工作全面动员部署。</w:t>
      </w:r>
    </w:p>
    <w:p>
      <w:pPr>
        <w:pStyle w:val="3"/>
        <w:widowControl w:val="0"/>
        <w:shd w:val="clear" w:color="auto" w:fill="FFFFFF"/>
        <w:adjustRightInd w:val="0"/>
        <w:snapToGrid w:val="0"/>
        <w:spacing w:before="0" w:beforeAutospacing="0" w:after="0" w:afterAutospacing="0" w:line="560" w:lineRule="exact"/>
        <w:ind w:firstLine="672" w:firstLineChars="200"/>
        <w:jc w:val="both"/>
        <w:rPr>
          <w:rFonts w:ascii="Times New Roman" w:hAnsi="Times New Roman" w:eastAsia="仿宋_GB2312" w:cs="Times New Roman"/>
          <w:color w:val="000000"/>
          <w:spacing w:val="8"/>
          <w:sz w:val="32"/>
          <w:szCs w:val="32"/>
        </w:rPr>
      </w:pPr>
      <w:r>
        <w:rPr>
          <w:rFonts w:ascii="楷体_GB2312" w:hAnsi="楷体_GB2312" w:eastAsia="楷体_GB2312" w:cs="Times New Roman"/>
          <w:color w:val="000000"/>
          <w:spacing w:val="8"/>
          <w:sz w:val="32"/>
          <w:szCs w:val="32"/>
        </w:rPr>
        <w:t>（二）排查整治（2020年6月</w:t>
      </w:r>
      <w:r>
        <w:rPr>
          <w:rFonts w:hint="eastAsia" w:ascii="楷体_GB2312" w:hAnsi="楷体_GB2312" w:eastAsia="楷体_GB2312" w:cs="Times New Roman"/>
          <w:color w:val="000000"/>
          <w:spacing w:val="8"/>
          <w:sz w:val="32"/>
          <w:szCs w:val="32"/>
        </w:rPr>
        <w:t>中旬</w:t>
      </w:r>
      <w:r>
        <w:rPr>
          <w:rFonts w:ascii="楷体_GB2312" w:hAnsi="楷体_GB2312" w:eastAsia="楷体_GB2312" w:cs="Times New Roman"/>
          <w:color w:val="000000"/>
          <w:spacing w:val="8"/>
          <w:sz w:val="32"/>
          <w:szCs w:val="32"/>
        </w:rPr>
        <w:t>至12月）。</w:t>
      </w:r>
      <w:r>
        <w:rPr>
          <w:rFonts w:ascii="仿宋_GB2312" w:hAnsi="仿宋_GB2312" w:eastAsia="仿宋_GB2312" w:cs="Times New Roman"/>
          <w:color w:val="000000"/>
          <w:spacing w:val="8"/>
          <w:sz w:val="32"/>
          <w:szCs w:val="32"/>
        </w:rPr>
        <w:t>各级各有关部门和单位严格落实本方案重点整治内容，认真开展专项整治。</w:t>
      </w:r>
      <w:r>
        <w:rPr>
          <w:rFonts w:ascii="Times New Roman" w:hAnsi="Times New Roman" w:eastAsia="仿宋_GB2312" w:cs="Times New Roman"/>
          <w:color w:val="000000"/>
          <w:spacing w:val="8"/>
          <w:sz w:val="32"/>
          <w:szCs w:val="32"/>
        </w:rPr>
        <w:t>2020</w:t>
      </w:r>
      <w:r>
        <w:rPr>
          <w:rFonts w:ascii="仿宋_GB2312" w:hAnsi="仿宋_GB2312" w:eastAsia="仿宋_GB2312" w:cs="Times New Roman"/>
          <w:color w:val="000000"/>
          <w:spacing w:val="8"/>
          <w:sz w:val="32"/>
          <w:szCs w:val="32"/>
        </w:rPr>
        <w:t>年</w:t>
      </w:r>
      <w:r>
        <w:rPr>
          <w:rFonts w:ascii="Times New Roman" w:hAnsi="Times New Roman" w:eastAsia="仿宋_GB2312" w:cs="Times New Roman"/>
          <w:color w:val="000000"/>
          <w:spacing w:val="8"/>
          <w:sz w:val="32"/>
          <w:szCs w:val="32"/>
        </w:rPr>
        <w:t>12</w:t>
      </w:r>
      <w:r>
        <w:rPr>
          <w:rFonts w:ascii="仿宋_GB2312" w:hAnsi="仿宋_GB2312" w:eastAsia="仿宋_GB2312" w:cs="Times New Roman"/>
          <w:color w:val="000000"/>
          <w:spacing w:val="8"/>
          <w:sz w:val="32"/>
          <w:szCs w:val="32"/>
        </w:rPr>
        <w:t>月底前，完成问题和风险隐患摸排梳理，落实各项安全整治主体责任，建立问题隐患和制度措施清单，制定时间表、路线图，整治工作取得初步成效。</w:t>
      </w:r>
    </w:p>
    <w:p>
      <w:pPr>
        <w:pStyle w:val="3"/>
        <w:widowControl w:val="0"/>
        <w:shd w:val="clear" w:color="auto" w:fill="FFFFFF"/>
        <w:adjustRightInd w:val="0"/>
        <w:snapToGrid w:val="0"/>
        <w:spacing w:before="0" w:beforeAutospacing="0" w:after="0" w:afterAutospacing="0" w:line="560" w:lineRule="exact"/>
        <w:ind w:firstLine="672" w:firstLineChars="200"/>
        <w:jc w:val="both"/>
        <w:rPr>
          <w:rFonts w:ascii="Times New Roman" w:hAnsi="Times New Roman" w:eastAsia="仿宋_GB2312" w:cs="Times New Roman"/>
          <w:color w:val="000000"/>
          <w:spacing w:val="8"/>
          <w:sz w:val="32"/>
          <w:szCs w:val="32"/>
        </w:rPr>
      </w:pPr>
      <w:r>
        <w:rPr>
          <w:rFonts w:ascii="楷体_GB2312" w:hAnsi="楷体_GB2312" w:eastAsia="楷体_GB2312" w:cs="Times New Roman"/>
          <w:color w:val="000000"/>
          <w:spacing w:val="8"/>
          <w:sz w:val="32"/>
          <w:szCs w:val="32"/>
        </w:rPr>
        <w:t>（三）集中攻坚</w:t>
      </w:r>
      <w:r>
        <w:rPr>
          <w:rFonts w:hint="eastAsia" w:ascii="楷体_GB2312" w:hAnsi="楷体_GB2312" w:eastAsia="楷体_GB2312" w:cs="Times New Roman"/>
          <w:color w:val="000000"/>
          <w:spacing w:val="8"/>
          <w:sz w:val="32"/>
          <w:szCs w:val="32"/>
        </w:rPr>
        <w:t>（2021年）</w:t>
      </w:r>
      <w:r>
        <w:rPr>
          <w:rFonts w:ascii="楷体_GB2312" w:hAnsi="楷体_GB2312" w:eastAsia="楷体_GB2312" w:cs="Times New Roman"/>
          <w:color w:val="000000"/>
          <w:spacing w:val="8"/>
          <w:sz w:val="32"/>
          <w:szCs w:val="32"/>
        </w:rPr>
        <w:t>。</w:t>
      </w:r>
      <w:r>
        <w:rPr>
          <w:rFonts w:ascii="仿宋_GB2312" w:hAnsi="仿宋_GB2312" w:eastAsia="仿宋_GB2312" w:cs="Times New Roman"/>
          <w:color w:val="000000"/>
          <w:spacing w:val="8"/>
          <w:sz w:val="32"/>
          <w:szCs w:val="32"/>
        </w:rPr>
        <w:t>各级各有关部门和单位针对重点难点问题，通过现场推进会、专项攻坚等措施，强力推进问题整改。推动建立完善安全风险分级管控和隐患排查治理体系，过程安全风险管控能力得到明显提升。</w:t>
      </w:r>
    </w:p>
    <w:p>
      <w:pPr>
        <w:pStyle w:val="3"/>
        <w:widowControl w:val="0"/>
        <w:shd w:val="clear" w:color="auto" w:fill="FFFFFF"/>
        <w:adjustRightInd w:val="0"/>
        <w:snapToGrid w:val="0"/>
        <w:spacing w:before="0" w:beforeAutospacing="0" w:after="0" w:afterAutospacing="0" w:line="560" w:lineRule="exact"/>
        <w:ind w:firstLine="672" w:firstLineChars="200"/>
        <w:jc w:val="both"/>
        <w:rPr>
          <w:rFonts w:ascii="Times New Roman" w:hAnsi="Times New Roman" w:eastAsia="仿宋_GB2312" w:cs="Times New Roman"/>
          <w:color w:val="000000"/>
          <w:spacing w:val="8"/>
          <w:sz w:val="32"/>
          <w:szCs w:val="32"/>
        </w:rPr>
      </w:pPr>
      <w:r>
        <w:rPr>
          <w:rFonts w:ascii="楷体_GB2312" w:hAnsi="楷体_GB2312" w:eastAsia="楷体_GB2312" w:cs="Times New Roman"/>
          <w:color w:val="000000"/>
          <w:spacing w:val="8"/>
          <w:sz w:val="32"/>
          <w:szCs w:val="32"/>
        </w:rPr>
        <w:t>（四）巩固提升（2022年）。</w:t>
      </w:r>
      <w:r>
        <w:rPr>
          <w:rFonts w:ascii="仿宋_GB2312" w:hAnsi="仿宋_GB2312" w:eastAsia="仿宋_GB2312" w:cs="Times New Roman"/>
          <w:color w:val="000000"/>
          <w:spacing w:val="8"/>
          <w:sz w:val="32"/>
          <w:szCs w:val="32"/>
        </w:rPr>
        <w:t>各级各有关部门和单位认真分析存在的突出安全问题，深入查找深层次原因，总结各地经验做法，研究提出进一步加强过程安全管理的措施，形成常态化、制度化、规范化的制度成果，推动各项治理工作规范、安全开展。</w:t>
      </w:r>
    </w:p>
    <w:p>
      <w:pPr>
        <w:pStyle w:val="3"/>
        <w:widowControl w:val="0"/>
        <w:shd w:val="clear" w:color="auto" w:fill="FFFFFF"/>
        <w:adjustRightInd w:val="0"/>
        <w:snapToGrid w:val="0"/>
        <w:spacing w:before="0" w:beforeAutospacing="0" w:after="0" w:afterAutospacing="0" w:line="560" w:lineRule="exact"/>
        <w:ind w:firstLine="672" w:firstLineChars="200"/>
        <w:jc w:val="both"/>
        <w:rPr>
          <w:rFonts w:ascii="Times New Roman" w:hAnsi="Times New Roman" w:eastAsia="仿宋_GB2312" w:cs="Times New Roman"/>
          <w:color w:val="000000"/>
          <w:spacing w:val="8"/>
          <w:sz w:val="32"/>
          <w:szCs w:val="32"/>
        </w:rPr>
      </w:pPr>
      <w:r>
        <w:rPr>
          <w:rFonts w:ascii="仿宋_GB2312" w:hAnsi="仿宋_GB2312" w:eastAsia="仿宋_GB2312" w:cs="Times New Roman"/>
          <w:color w:val="000000"/>
          <w:spacing w:val="8"/>
          <w:sz w:val="32"/>
          <w:szCs w:val="32"/>
        </w:rPr>
        <w:t>各级各有关部门对重点任务和工作计划完成情况要实施评估，形成年度报告和专项整治三年行动工作报告并及时报送市安委办。</w:t>
      </w:r>
    </w:p>
    <w:p>
      <w:pPr>
        <w:pStyle w:val="3"/>
        <w:widowControl w:val="0"/>
        <w:shd w:val="clear" w:color="auto" w:fill="FFFFFF"/>
        <w:adjustRightInd w:val="0"/>
        <w:snapToGrid w:val="0"/>
        <w:spacing w:before="0" w:beforeAutospacing="0" w:after="0" w:afterAutospacing="0" w:line="560" w:lineRule="exact"/>
        <w:ind w:firstLine="672" w:firstLineChars="200"/>
        <w:jc w:val="both"/>
        <w:rPr>
          <w:rFonts w:ascii="Times New Roman" w:hAnsi="Times New Roman" w:eastAsia="黑体" w:cs="Times New Roman"/>
          <w:color w:val="000000"/>
          <w:spacing w:val="8"/>
          <w:sz w:val="32"/>
          <w:szCs w:val="32"/>
        </w:rPr>
      </w:pPr>
      <w:r>
        <w:rPr>
          <w:rFonts w:hint="eastAsia" w:ascii="黑体" w:hAnsi="黑体" w:eastAsia="黑体" w:cs="Times New Roman"/>
          <w:color w:val="000000"/>
          <w:spacing w:val="8"/>
          <w:sz w:val="32"/>
          <w:szCs w:val="32"/>
        </w:rPr>
        <w:t>四</w:t>
      </w:r>
      <w:r>
        <w:rPr>
          <w:rFonts w:ascii="黑体" w:hAnsi="黑体" w:eastAsia="黑体" w:cs="Times New Roman"/>
          <w:color w:val="000000"/>
          <w:spacing w:val="8"/>
          <w:sz w:val="32"/>
          <w:szCs w:val="32"/>
        </w:rPr>
        <w:t>、保障措施</w:t>
      </w:r>
    </w:p>
    <w:p>
      <w:pPr>
        <w:spacing w:line="560" w:lineRule="exact"/>
        <w:ind w:firstLine="672" w:firstLineChars="200"/>
        <w:rPr>
          <w:rFonts w:eastAsia="仿宋_GB2312"/>
          <w:color w:val="000000"/>
          <w:spacing w:val="8"/>
          <w:sz w:val="32"/>
          <w:szCs w:val="32"/>
        </w:rPr>
      </w:pPr>
      <w:r>
        <w:rPr>
          <w:rFonts w:ascii="楷体_GB2312" w:hAnsi="楷体_GB2312" w:eastAsia="楷体_GB2312"/>
          <w:color w:val="000000"/>
          <w:spacing w:val="8"/>
          <w:sz w:val="32"/>
          <w:szCs w:val="32"/>
        </w:rPr>
        <w:t>（一）强化组织领导。</w:t>
      </w:r>
      <w:r>
        <w:rPr>
          <w:rFonts w:ascii="仿宋_GB2312" w:hAnsi="仿宋_GB2312" w:eastAsia="仿宋_GB2312"/>
          <w:color w:val="000000"/>
          <w:spacing w:val="8"/>
          <w:sz w:val="32"/>
          <w:szCs w:val="32"/>
        </w:rPr>
        <w:t>各级各有关部门和单位要建立安全专项整治工作机制，及时研究专项整治行动中出现的问题，定期听取整治情况汇报，加强重大问题协调；强化危险废物等安全专项整治责任落实，明确承担相关职责的工作机构，确保工作有序有力推进。</w:t>
      </w:r>
    </w:p>
    <w:p>
      <w:pPr>
        <w:pStyle w:val="3"/>
        <w:widowControl w:val="0"/>
        <w:shd w:val="clear" w:color="auto" w:fill="FFFFFF"/>
        <w:adjustRightInd w:val="0"/>
        <w:snapToGrid w:val="0"/>
        <w:spacing w:before="0" w:beforeAutospacing="0" w:after="0" w:afterAutospacing="0" w:line="560" w:lineRule="exact"/>
        <w:ind w:firstLine="672" w:firstLineChars="200"/>
        <w:jc w:val="both"/>
        <w:rPr>
          <w:rFonts w:ascii="Times New Roman" w:hAnsi="Times New Roman" w:eastAsia="仿宋_GB2312" w:cs="Times New Roman"/>
          <w:color w:val="000000"/>
          <w:spacing w:val="8"/>
          <w:sz w:val="32"/>
          <w:szCs w:val="32"/>
        </w:rPr>
      </w:pPr>
      <w:r>
        <w:rPr>
          <w:rFonts w:ascii="楷体_GB2312" w:hAnsi="楷体_GB2312" w:eastAsia="楷体_GB2312" w:cs="Times New Roman"/>
          <w:color w:val="000000"/>
          <w:spacing w:val="8"/>
          <w:sz w:val="32"/>
          <w:szCs w:val="32"/>
        </w:rPr>
        <w:t>（二）强化部门协同。</w:t>
      </w:r>
      <w:r>
        <w:rPr>
          <w:rFonts w:ascii="仿宋_GB2312" w:hAnsi="仿宋_GB2312" w:eastAsia="仿宋_GB2312" w:cs="Times New Roman"/>
          <w:color w:val="000000"/>
          <w:spacing w:val="8"/>
          <w:sz w:val="32"/>
          <w:szCs w:val="32"/>
        </w:rPr>
        <w:t>各级各有关部门和单位要明确职责分工，细化重点任务工作方案，明确时间进度和工作要求，形成整体工作合力。各有关部门要加强政策指导，履行行业安全监管职责，建立上下贯通、分工明确、共同负责的安全管理体制机制。</w:t>
      </w:r>
    </w:p>
    <w:p>
      <w:pPr>
        <w:pStyle w:val="3"/>
        <w:widowControl w:val="0"/>
        <w:shd w:val="clear" w:color="auto" w:fill="FFFFFF"/>
        <w:adjustRightInd w:val="0"/>
        <w:snapToGrid w:val="0"/>
        <w:spacing w:before="0" w:beforeAutospacing="0" w:after="0" w:afterAutospacing="0" w:line="560" w:lineRule="exact"/>
        <w:ind w:firstLine="672" w:firstLineChars="200"/>
        <w:jc w:val="both"/>
        <w:rPr>
          <w:rFonts w:ascii="Times New Roman" w:hAnsi="Times New Roman" w:eastAsia="仿宋_GB2312" w:cs="Times New Roman"/>
          <w:color w:val="000000"/>
          <w:spacing w:val="8"/>
          <w:sz w:val="32"/>
          <w:szCs w:val="32"/>
        </w:rPr>
      </w:pPr>
      <w:r>
        <w:rPr>
          <w:rFonts w:ascii="楷体_GB2312" w:hAnsi="楷体_GB2312" w:eastAsia="楷体_GB2312" w:cs="Times New Roman"/>
          <w:color w:val="000000"/>
          <w:spacing w:val="8"/>
          <w:sz w:val="32"/>
          <w:szCs w:val="32"/>
        </w:rPr>
        <w:t>（三）强化政策支持。</w:t>
      </w:r>
      <w:r>
        <w:rPr>
          <w:rFonts w:ascii="仿宋_GB2312" w:hAnsi="仿宋_GB2312" w:eastAsia="仿宋_GB2312" w:cs="Times New Roman"/>
          <w:color w:val="000000"/>
          <w:spacing w:val="8"/>
          <w:sz w:val="32"/>
          <w:szCs w:val="32"/>
        </w:rPr>
        <w:t>各级要结合本地区实际，制定出台支持安全专项整治的政策措施。生态环境、住建、工信、发改、交通、农业农村、卫生健康、应急、市场监管、水利、公安、自然资源、商务等部门要结合本职工作，研究制定相关具体政策措施，加强业务指导，破解整治过程中遇到的难题。</w:t>
      </w:r>
    </w:p>
    <w:p>
      <w:pPr>
        <w:spacing w:line="560" w:lineRule="exact"/>
        <w:ind w:firstLine="672" w:firstLineChars="200"/>
        <w:rPr>
          <w:rFonts w:ascii="仿宋_GB2312" w:hAnsi="仿宋_GB2312" w:eastAsia="仿宋_GB2312"/>
          <w:color w:val="000000"/>
          <w:spacing w:val="8"/>
          <w:sz w:val="32"/>
          <w:szCs w:val="32"/>
        </w:rPr>
      </w:pPr>
      <w:r>
        <w:rPr>
          <w:rFonts w:ascii="楷体_GB2312" w:hAnsi="楷体_GB2312" w:eastAsia="楷体_GB2312"/>
          <w:color w:val="000000"/>
          <w:spacing w:val="8"/>
          <w:sz w:val="32"/>
          <w:szCs w:val="32"/>
        </w:rPr>
        <w:t>（四）强化督促落实。</w:t>
      </w:r>
      <w:r>
        <w:rPr>
          <w:rFonts w:ascii="仿宋_GB2312" w:hAnsi="仿宋_GB2312" w:eastAsia="仿宋_GB2312"/>
          <w:color w:val="000000"/>
          <w:spacing w:val="8"/>
          <w:sz w:val="32"/>
          <w:szCs w:val="32"/>
        </w:rPr>
        <w:t>各级各有关部门要及时收集、准确掌握辖区内、本领域安全专项整治进展情况，加强工作交流，建立工作台账，强化跟踪督办，对重点难点问题实行闭环管理，确保重点任务按期完成。</w:t>
      </w:r>
    </w:p>
    <w:p>
      <w:pPr>
        <w:spacing w:line="560" w:lineRule="exact"/>
        <w:ind w:firstLine="336" w:firstLineChars="100"/>
        <w:rPr>
          <w:rFonts w:ascii="仿宋_GB2312" w:hAnsi="仿宋_GB2312" w:eastAsia="仿宋_GB2312"/>
          <w:color w:val="000000"/>
          <w:spacing w:val="8"/>
          <w:sz w:val="32"/>
          <w:szCs w:val="32"/>
        </w:rPr>
      </w:pPr>
    </w:p>
    <w:p>
      <w:pPr>
        <w:wordWrap w:val="0"/>
        <w:spacing w:line="560" w:lineRule="exact"/>
        <w:jc w:val="right"/>
        <w:rPr>
          <w:rFonts w:ascii="仿宋_GB2312" w:eastAsia="仿宋_GB2312"/>
          <w:color w:val="000000"/>
          <w:sz w:val="32"/>
          <w:szCs w:val="32"/>
        </w:rPr>
      </w:pPr>
      <w:r>
        <w:rPr>
          <w:rFonts w:hint="eastAsia" w:ascii="仿宋_GB2312" w:eastAsia="仿宋_GB2312"/>
          <w:color w:val="000000"/>
          <w:sz w:val="32"/>
          <w:szCs w:val="32"/>
        </w:rPr>
        <w:t xml:space="preserve">     </w:t>
      </w:r>
    </w:p>
    <w:p>
      <w:pPr>
        <w:spacing w:line="600" w:lineRule="exact"/>
        <w:rPr>
          <w:rFonts w:ascii="仿宋_GB2312" w:eastAsia="仿宋_GB2312"/>
          <w:color w:val="000000"/>
          <w:sz w:val="32"/>
          <w:szCs w:val="32"/>
        </w:rPr>
      </w:pPr>
    </w:p>
    <w:p>
      <w:pPr>
        <w:spacing w:line="600" w:lineRule="exact"/>
        <w:rPr>
          <w:rFonts w:ascii="仿宋_GB2312" w:eastAsia="仿宋_GB2312"/>
          <w:color w:val="000000"/>
          <w:sz w:val="32"/>
          <w:szCs w:val="32"/>
        </w:rPr>
      </w:pPr>
    </w:p>
    <w:p>
      <w:pPr>
        <w:spacing w:line="600" w:lineRule="exact"/>
        <w:rPr>
          <w:rFonts w:ascii="仿宋_GB2312" w:eastAsia="仿宋_GB2312"/>
          <w:color w:val="000000"/>
          <w:sz w:val="32"/>
          <w:szCs w:val="32"/>
        </w:rPr>
      </w:pPr>
    </w:p>
    <w:p>
      <w:pPr>
        <w:spacing w:line="600" w:lineRule="exact"/>
        <w:rPr>
          <w:rFonts w:hint="eastAsia" w:ascii="仿宋_GB2312" w:eastAsia="仿宋_GB2312"/>
          <w:color w:val="000000"/>
          <w:sz w:val="32"/>
          <w:szCs w:val="32"/>
        </w:rPr>
      </w:pPr>
    </w:p>
    <w:p>
      <w:pPr>
        <w:spacing w:line="600" w:lineRule="exact"/>
        <w:rPr>
          <w:rFonts w:ascii="仿宋_GB2312" w:eastAsia="仿宋_GB2312"/>
          <w:color w:val="000000"/>
          <w:sz w:val="32"/>
          <w:szCs w:val="32"/>
        </w:rPr>
      </w:pPr>
    </w:p>
    <w:p>
      <w:pPr>
        <w:jc w:val="center"/>
        <w:rPr>
          <w:rFonts w:hint="eastAsia"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危险废物重点单位、重点行业识别要求</w:t>
      </w:r>
    </w:p>
    <w:p>
      <w:pPr>
        <w:jc w:val="center"/>
        <w:rPr>
          <w:rFonts w:ascii="方正小标宋简体" w:hAnsi="方正小标宋_GBK" w:eastAsia="方正小标宋简体" w:cs="方正小标宋_GBK"/>
          <w:color w:val="000000"/>
          <w:sz w:val="44"/>
          <w:szCs w:val="44"/>
        </w:rPr>
      </w:pP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一、重点单位</w:t>
      </w:r>
    </w:p>
    <w:p>
      <w:pPr>
        <w:spacing w:line="560" w:lineRule="exact"/>
        <w:ind w:left="64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1.危险废物经营单位；</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2.拥有危险废物自行利用处置设施的产废单位；</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3.上年度危险废物规范化管理考核不达标或基本达标单位；</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4.年产生或贮存危险废物超过（含）</w:t>
      </w:r>
      <w:r>
        <w:rPr>
          <w:rFonts w:ascii="仿宋_GB2312" w:hAnsi="仿宋_GB2312" w:eastAsia="仿宋_GB2312" w:cs="仿宋_GB2312"/>
          <w:color w:val="000000"/>
          <w:sz w:val="32"/>
          <w:szCs w:val="32"/>
        </w:rPr>
        <w:t>100</w:t>
      </w:r>
      <w:r>
        <w:rPr>
          <w:rFonts w:hint="eastAsia" w:ascii="仿宋_GB2312" w:hAnsi="仿宋_GB2312" w:eastAsia="仿宋_GB2312" w:cs="仿宋_GB2312"/>
          <w:color w:val="000000"/>
          <w:sz w:val="32"/>
          <w:szCs w:val="32"/>
        </w:rPr>
        <w:t>吨的单位或危险废物长期贮存不及时利用、处置的单位；</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5.涉危险废物投诉举报多、发生过涉危险废物环境事件或危险废物非法转移、倾倒、处置案件的单位；</w:t>
      </w:r>
    </w:p>
    <w:p>
      <w:pPr>
        <w:spacing w:line="56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二、重点行业</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.低温裂解、水泥窑协同处置、综合处置等危险废物环境安全隐患突出的行业；</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.医疗废物综合处置行业；</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.有色冶炼、化工行业；</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.废矿物油、废铅蓄电池、精（蒸）馏残渣利用等行业；</w:t>
      </w:r>
    </w:p>
    <w:p>
      <w:pPr>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.危险废物专项治理行业。</w:t>
      </w:r>
    </w:p>
    <w:p>
      <w:pPr>
        <w:spacing w:line="560" w:lineRule="exact"/>
        <w:ind w:firstLine="640" w:firstLineChars="200"/>
        <w:rPr>
          <w:rFonts w:ascii="仿宋_GB2312" w:hAnsi="仿宋_GB2312" w:eastAsia="仿宋_GB2312" w:cs="仿宋_GB2312"/>
          <w:color w:val="000000"/>
          <w:sz w:val="32"/>
          <w:szCs w:val="32"/>
        </w:rPr>
        <w:sectPr>
          <w:pgSz w:w="11906" w:h="16838"/>
          <w:pgMar w:top="2098" w:right="1474" w:bottom="1701" w:left="1587" w:header="851" w:footer="992" w:gutter="0"/>
          <w:pgNumType w:fmt="numberInDash"/>
          <w:cols w:space="720" w:num="1"/>
          <w:docGrid w:type="lines" w:linePitch="312" w:charSpace="0"/>
        </w:sectPr>
      </w:pPr>
      <w:r>
        <w:rPr>
          <w:rFonts w:hint="eastAsia" w:ascii="仿宋_GB2312" w:hAnsi="仿宋_GB2312" w:eastAsia="仿宋_GB2312" w:cs="仿宋_GB2312"/>
          <w:color w:val="000000"/>
          <w:sz w:val="32"/>
          <w:szCs w:val="32"/>
        </w:rPr>
        <w:t>各地可结合本区域实际，增加其他重点单位和重点行业。</w:t>
      </w:r>
    </w:p>
    <w:tbl>
      <w:tblPr>
        <w:tblStyle w:val="4"/>
        <w:tblW w:w="1134" w:type="dxa"/>
        <w:tblInd w:w="95" w:type="dxa"/>
        <w:tblLayout w:type="autofit"/>
        <w:tblCellMar>
          <w:top w:w="0" w:type="dxa"/>
          <w:left w:w="108" w:type="dxa"/>
          <w:bottom w:w="0" w:type="dxa"/>
          <w:right w:w="108" w:type="dxa"/>
        </w:tblCellMar>
      </w:tblPr>
      <w:tblGrid>
        <w:gridCol w:w="807"/>
        <w:gridCol w:w="6861"/>
        <w:gridCol w:w="1276"/>
        <w:gridCol w:w="3402"/>
        <w:gridCol w:w="1701"/>
      </w:tblGrid>
      <w:tr>
        <w:tblPrEx>
          <w:tblCellMar>
            <w:top w:w="0" w:type="dxa"/>
            <w:left w:w="108" w:type="dxa"/>
            <w:bottom w:w="0" w:type="dxa"/>
            <w:right w:w="108" w:type="dxa"/>
          </w:tblCellMar>
        </w:tblPrEx>
        <w:trPr>
          <w:trHeight w:val="1176" w:hRule="atLeast"/>
        </w:trPr>
        <w:tc>
          <w:tcPr>
            <w:tcW w:w="14047" w:type="dxa"/>
            <w:gridSpan w:val="5"/>
            <w:tcBorders>
              <w:top w:val="nil"/>
              <w:left w:val="nil"/>
              <w:bottom w:val="nil"/>
              <w:right w:val="nil"/>
            </w:tcBorders>
            <w:noWrap/>
            <w:vAlign w:val="center"/>
          </w:tcPr>
          <w:p>
            <w:pPr>
              <w:widowControl/>
              <w:spacing w:line="580" w:lineRule="exact"/>
              <w:jc w:val="center"/>
              <w:rPr>
                <w:rFonts w:hint="eastAsia" w:ascii="方正小标宋简体" w:hAnsi="宋体" w:eastAsia="方正小标宋简体" w:cs="宋体"/>
                <w:color w:val="000000"/>
                <w:spacing w:val="-20"/>
                <w:kern w:val="0"/>
                <w:sz w:val="44"/>
                <w:szCs w:val="44"/>
              </w:rPr>
            </w:pPr>
            <w:r>
              <w:rPr>
                <w:rFonts w:hint="eastAsia" w:ascii="方正小标宋简体" w:hAnsi="宋体" w:eastAsia="方正小标宋简体" w:cs="宋体"/>
                <w:color w:val="000000"/>
                <w:spacing w:val="-20"/>
                <w:kern w:val="0"/>
                <w:sz w:val="44"/>
                <w:szCs w:val="44"/>
              </w:rPr>
              <w:t>常德市学习宣传贯彻习近平总书记关于安全生产重要论述三年行动专题</w:t>
            </w:r>
          </w:p>
          <w:p>
            <w:pPr>
              <w:widowControl/>
              <w:spacing w:line="580" w:lineRule="exact"/>
              <w:jc w:val="center"/>
              <w:rPr>
                <w:rFonts w:ascii="方正小标宋简体" w:hAnsi="宋体" w:eastAsia="方正小标宋简体" w:cs="宋体"/>
                <w:color w:val="000000"/>
                <w:spacing w:val="-20"/>
                <w:kern w:val="0"/>
                <w:sz w:val="44"/>
                <w:szCs w:val="44"/>
              </w:rPr>
            </w:pPr>
            <w:r>
              <w:rPr>
                <w:rFonts w:hint="eastAsia" w:ascii="方正小标宋简体" w:hAnsi="宋体" w:eastAsia="方正小标宋简体" w:cs="宋体"/>
                <w:color w:val="000000"/>
                <w:spacing w:val="-20"/>
                <w:kern w:val="0"/>
                <w:sz w:val="44"/>
                <w:szCs w:val="44"/>
              </w:rPr>
              <w:t>实施方案重点任务分解表（一）</w:t>
            </w:r>
          </w:p>
        </w:tc>
      </w:tr>
      <w:tr>
        <w:tblPrEx>
          <w:tblCellMar>
            <w:top w:w="0" w:type="dxa"/>
            <w:left w:w="108" w:type="dxa"/>
            <w:bottom w:w="0" w:type="dxa"/>
            <w:right w:w="108" w:type="dxa"/>
          </w:tblCellMar>
        </w:tblPrEx>
        <w:trPr>
          <w:trHeight w:val="600"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序号</w:t>
            </w:r>
          </w:p>
        </w:tc>
        <w:tc>
          <w:tcPr>
            <w:tcW w:w="686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任务内容</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牵头单位</w:t>
            </w:r>
          </w:p>
        </w:tc>
        <w:tc>
          <w:tcPr>
            <w:tcW w:w="34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责任单位</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时间</w:t>
            </w:r>
          </w:p>
        </w:tc>
      </w:tr>
      <w:tr>
        <w:tblPrEx>
          <w:tblCellMar>
            <w:top w:w="0" w:type="dxa"/>
            <w:left w:w="108" w:type="dxa"/>
            <w:bottom w:w="0" w:type="dxa"/>
            <w:right w:w="108" w:type="dxa"/>
          </w:tblCellMar>
        </w:tblPrEx>
        <w:trPr>
          <w:trHeight w:val="600" w:hRule="atLeast"/>
        </w:trPr>
        <w:tc>
          <w:tcPr>
            <w:tcW w:w="80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6861" w:type="dxa"/>
            <w:tcBorders>
              <w:top w:val="nil"/>
              <w:left w:val="nil"/>
              <w:bottom w:val="single" w:color="auto" w:sz="4" w:space="0"/>
              <w:right w:val="single" w:color="auto" w:sz="4" w:space="0"/>
            </w:tcBorders>
            <w:noWrap/>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组织观看</w:t>
            </w:r>
            <w:r>
              <w:rPr>
                <w:rFonts w:hint="eastAsia" w:ascii="仿宋_GB2312" w:hAnsi="宋体" w:eastAsia="仿宋_GB2312"/>
                <w:color w:val="000000"/>
                <w:szCs w:val="21"/>
              </w:rPr>
              <w:t>“生命重于泰山——学习习近平总书记关于安全生产重要论述”电视专题片</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委宣传部、市广播电视台、市应急管理局、市交通运输局、市住建局、市自然资源和规划局、市水利局、市林业局、市市场监管局、市消防救援支队、市公安交警支队等负有安全生产监管职责的部门以及区县市党委政府按职责分工负责</w:t>
            </w:r>
          </w:p>
        </w:tc>
        <w:tc>
          <w:tcPr>
            <w:tcW w:w="170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2020年</w:t>
            </w:r>
          </w:p>
        </w:tc>
      </w:tr>
      <w:tr>
        <w:tblPrEx>
          <w:tblCellMar>
            <w:top w:w="0" w:type="dxa"/>
            <w:left w:w="108" w:type="dxa"/>
            <w:bottom w:w="0" w:type="dxa"/>
            <w:right w:w="108" w:type="dxa"/>
          </w:tblCellMar>
        </w:tblPrEx>
        <w:trPr>
          <w:trHeight w:val="585" w:hRule="atLeast"/>
        </w:trPr>
        <w:tc>
          <w:tcPr>
            <w:tcW w:w="80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6861" w:type="dxa"/>
            <w:tcBorders>
              <w:top w:val="nil"/>
              <w:left w:val="nil"/>
              <w:bottom w:val="single" w:color="auto" w:sz="4" w:space="0"/>
              <w:right w:val="single" w:color="auto" w:sz="4" w:space="0"/>
            </w:tcBorders>
            <w:noWrap/>
            <w:vAlign w:val="center"/>
          </w:tcPr>
          <w:p>
            <w:pPr>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各级党委（党组）理论学习中心组每年至少组织一次专题学习习近平总书记关于安全生产重要论述。</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市委宣传部</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市应急管理局、市交通运输局、市住建局、市自然资源和规划局、市水利局、市林业局、市市场监管局、市消防救援支队、市公安交警支队等负有安全生产监管职责的部门以及区县市党委政府按职责分工负责</w:t>
            </w:r>
          </w:p>
        </w:tc>
        <w:tc>
          <w:tcPr>
            <w:tcW w:w="170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2020-2022年</w:t>
            </w:r>
          </w:p>
        </w:tc>
      </w:tr>
      <w:tr>
        <w:tblPrEx>
          <w:tblCellMar>
            <w:top w:w="0" w:type="dxa"/>
            <w:left w:w="108" w:type="dxa"/>
            <w:bottom w:w="0" w:type="dxa"/>
            <w:right w:w="108" w:type="dxa"/>
          </w:tblCellMar>
        </w:tblPrEx>
        <w:trPr>
          <w:trHeight w:val="699"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6861" w:type="dxa"/>
            <w:tcBorders>
              <w:top w:val="single" w:color="auto" w:sz="4" w:space="0"/>
              <w:left w:val="nil"/>
              <w:bottom w:val="single" w:color="auto" w:sz="4" w:space="0"/>
              <w:right w:val="single" w:color="auto" w:sz="4" w:space="0"/>
            </w:tcBorders>
            <w:noWrap/>
            <w:vAlign w:val="center"/>
          </w:tcPr>
          <w:p>
            <w:pPr>
              <w:jc w:val="left"/>
              <w:rPr>
                <w:rFonts w:hint="eastAsia" w:ascii="仿宋_GB2312" w:hAnsi="宋体" w:eastAsia="仿宋_GB2312" w:cs="宋体"/>
                <w:color w:val="000000"/>
                <w:kern w:val="0"/>
                <w:szCs w:val="21"/>
              </w:rPr>
            </w:pPr>
            <w:r>
              <w:rPr>
                <w:rFonts w:hint="eastAsia" w:ascii="仿宋_GB2312" w:hAnsi="宋体" w:eastAsia="仿宋_GB2312"/>
                <w:color w:val="000000"/>
                <w:szCs w:val="21"/>
              </w:rPr>
              <w:t>把学习贯彻习近平总书记关于安全生产重要论述作为干部教育培训重要内容，列入各级党校（行政学院）教学安排。各地各有关部门和企事业单位要分级分批组织安全监管干部和企业负责人、安全管理人员开展轮训，推进学习全覆盖。</w:t>
            </w:r>
          </w:p>
        </w:tc>
        <w:tc>
          <w:tcPr>
            <w:tcW w:w="1276"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市委组织部</w:t>
            </w:r>
          </w:p>
        </w:tc>
        <w:tc>
          <w:tcPr>
            <w:tcW w:w="34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市应急管理局、市交通运输局、市住建局、市自然资源和规划局、市水利局、市市场监管局、市国资委、市消防救援支队、市公安交警支队、等负有安全生产监管职责的部门以及</w:t>
            </w:r>
            <w:r>
              <w:rPr>
                <w:rFonts w:hint="eastAsia" w:ascii="仿宋_GB2312" w:hAnsi="宋体" w:eastAsia="仿宋_GB2312"/>
                <w:color w:val="000000"/>
                <w:kern w:val="0"/>
                <w:szCs w:val="21"/>
              </w:rPr>
              <w:t>市委党校、</w:t>
            </w:r>
            <w:r>
              <w:rPr>
                <w:rFonts w:hint="eastAsia" w:ascii="仿宋_GB2312" w:hAnsi="宋体" w:eastAsia="仿宋_GB2312" w:cs="宋体"/>
                <w:color w:val="000000"/>
                <w:kern w:val="0"/>
                <w:szCs w:val="21"/>
              </w:rPr>
              <w:t>区县市党委政府按职责分工负责</w:t>
            </w:r>
          </w:p>
        </w:tc>
        <w:tc>
          <w:tcPr>
            <w:tcW w:w="1701"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2020-2022年</w:t>
            </w:r>
          </w:p>
        </w:tc>
      </w:tr>
      <w:tr>
        <w:tblPrEx>
          <w:tblCellMar>
            <w:top w:w="0" w:type="dxa"/>
            <w:left w:w="108" w:type="dxa"/>
            <w:bottom w:w="0" w:type="dxa"/>
            <w:right w:w="108" w:type="dxa"/>
          </w:tblCellMar>
        </w:tblPrEx>
        <w:trPr>
          <w:trHeight w:val="834"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6861" w:type="dxa"/>
            <w:tcBorders>
              <w:top w:val="single" w:color="auto" w:sz="4" w:space="0"/>
              <w:left w:val="nil"/>
              <w:bottom w:val="single" w:color="auto" w:sz="4" w:space="0"/>
              <w:right w:val="single" w:color="auto" w:sz="4" w:space="0"/>
            </w:tcBorders>
            <w:noWrap/>
            <w:vAlign w:val="center"/>
          </w:tcPr>
          <w:p>
            <w:pPr>
              <w:jc w:val="left"/>
              <w:rPr>
                <w:rFonts w:hint="eastAsia" w:ascii="仿宋_GB2312" w:hAnsi="宋体" w:eastAsia="仿宋_GB2312" w:cs="宋体"/>
                <w:color w:val="000000"/>
                <w:kern w:val="0"/>
                <w:szCs w:val="21"/>
              </w:rPr>
            </w:pPr>
            <w:r>
              <w:rPr>
                <w:rFonts w:hint="eastAsia" w:ascii="仿宋_GB2312" w:hAnsi="宋体" w:eastAsia="仿宋_GB2312"/>
                <w:color w:val="000000"/>
                <w:szCs w:val="21"/>
              </w:rPr>
              <w:t>组建由领导干部、专家学者、一线工作者组成的专题宣讲团，通过领导干部带头讲、专家学者深入讲、一线工作者互动讲，推动学习贯彻习近平总书记重要论述走深走实。</w:t>
            </w:r>
          </w:p>
        </w:tc>
        <w:tc>
          <w:tcPr>
            <w:tcW w:w="1276"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34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委宣传部、市应急管理局、市交通运输局、市住建局、市自然资源和规划局、市水利局、市林业局、市文旅广体局、市市场监管局、市消防救援支队、市公安交警支队等负有安全生产监管职责的部门按职责分工负责</w:t>
            </w:r>
          </w:p>
        </w:tc>
        <w:tc>
          <w:tcPr>
            <w:tcW w:w="1701"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2020-2022年</w:t>
            </w:r>
          </w:p>
        </w:tc>
      </w:tr>
      <w:tr>
        <w:tblPrEx>
          <w:tblCellMar>
            <w:top w:w="0" w:type="dxa"/>
            <w:left w:w="108" w:type="dxa"/>
            <w:bottom w:w="0" w:type="dxa"/>
            <w:right w:w="108" w:type="dxa"/>
          </w:tblCellMar>
        </w:tblPrEx>
        <w:trPr>
          <w:trHeight w:val="600" w:hRule="atLeast"/>
        </w:trPr>
        <w:tc>
          <w:tcPr>
            <w:tcW w:w="80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6861" w:type="dxa"/>
            <w:tcBorders>
              <w:top w:val="nil"/>
              <w:left w:val="nil"/>
              <w:bottom w:val="single" w:color="auto" w:sz="4" w:space="0"/>
              <w:right w:val="single" w:color="auto" w:sz="4" w:space="0"/>
            </w:tcBorders>
            <w:noWrap/>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olor w:val="000000"/>
                <w:szCs w:val="21"/>
              </w:rPr>
              <w:t>各级党委（党组）将宣传贯彻习近平总书记关于安全生产重要论述纳入党委（党组）宣传工作重点，精心制定宣传方案，部署开展经常性、系统性宣传贯彻和主题宣传活动，形成集中宣传声势。</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委宣传部、市应急管理局、市交通运输局、市住建局、市自然资源和规划局、市水利局、市林业局、市文旅广体局、市市场监管局、市消防救援支队、市公安交警支队等负有安全生产监管职责的部门按职责分工负责</w:t>
            </w:r>
          </w:p>
        </w:tc>
        <w:tc>
          <w:tcPr>
            <w:tcW w:w="170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2020年</w:t>
            </w:r>
          </w:p>
        </w:tc>
      </w:tr>
      <w:tr>
        <w:tblPrEx>
          <w:tblCellMar>
            <w:top w:w="0" w:type="dxa"/>
            <w:left w:w="108" w:type="dxa"/>
            <w:bottom w:w="0" w:type="dxa"/>
            <w:right w:w="108" w:type="dxa"/>
          </w:tblCellMar>
        </w:tblPrEx>
        <w:trPr>
          <w:trHeight w:val="998" w:hRule="atLeast"/>
        </w:trPr>
        <w:tc>
          <w:tcPr>
            <w:tcW w:w="807" w:type="dxa"/>
            <w:tcBorders>
              <w:top w:val="nil"/>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6861" w:type="dxa"/>
            <w:tcBorders>
              <w:top w:val="nil"/>
              <w:left w:val="nil"/>
              <w:bottom w:val="single" w:color="auto" w:sz="4" w:space="0"/>
              <w:right w:val="single" w:color="auto" w:sz="4" w:space="0"/>
            </w:tcBorders>
            <w:noWrap/>
            <w:vAlign w:val="center"/>
          </w:tcPr>
          <w:p>
            <w:pPr>
              <w:widowControl/>
              <w:ind w:firstLine="315" w:firstLineChars="150"/>
              <w:jc w:val="left"/>
              <w:rPr>
                <w:rFonts w:hint="eastAsia" w:ascii="仿宋_GB2312" w:hAnsi="宋体" w:eastAsia="仿宋_GB2312" w:cs="宋体"/>
                <w:color w:val="000000"/>
                <w:kern w:val="0"/>
                <w:szCs w:val="21"/>
              </w:rPr>
            </w:pPr>
            <w:r>
              <w:rPr>
                <w:rFonts w:hint="eastAsia" w:ascii="仿宋_GB2312" w:hAnsi="宋体" w:eastAsia="仿宋_GB2312"/>
                <w:color w:val="000000"/>
                <w:szCs w:val="21"/>
              </w:rPr>
              <w:t>各地各部门结合组织“安全生产月”“119全国消防月”“法制宣传周”“交通安全日”等活动，建设一批灾害事故科普宣传教育、安全法治宣传和安全体验基地，打造一批安全文化主题公园、主题广场、主题政务服务中心、主题村部。</w:t>
            </w:r>
          </w:p>
        </w:tc>
        <w:tc>
          <w:tcPr>
            <w:tcW w:w="1276"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3402"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司法局、市交通运输局、市科技局、市教育局、市住建局、市林业局、市文旅广体局、市应急管理局、市行政审批服务局、市国资委、市消防救援支队、市公安交警支队等市直相关部门以及区县市党委政府按职责分工负责</w:t>
            </w:r>
          </w:p>
        </w:tc>
        <w:tc>
          <w:tcPr>
            <w:tcW w:w="170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2021年</w:t>
            </w:r>
          </w:p>
        </w:tc>
      </w:tr>
      <w:tr>
        <w:tblPrEx>
          <w:tblCellMar>
            <w:top w:w="0" w:type="dxa"/>
            <w:left w:w="108" w:type="dxa"/>
            <w:bottom w:w="0" w:type="dxa"/>
            <w:right w:w="108" w:type="dxa"/>
          </w:tblCellMar>
        </w:tblPrEx>
        <w:trPr>
          <w:trHeight w:val="559"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6861" w:type="dxa"/>
            <w:tcBorders>
              <w:top w:val="single" w:color="auto" w:sz="4" w:space="0"/>
              <w:left w:val="nil"/>
              <w:bottom w:val="single" w:color="auto" w:sz="4" w:space="0"/>
              <w:right w:val="single" w:color="auto" w:sz="4" w:space="0"/>
            </w:tcBorders>
            <w:noWrap/>
            <w:vAlign w:val="center"/>
          </w:tcPr>
          <w:p>
            <w:pPr>
              <w:rPr>
                <w:rFonts w:hint="eastAsia" w:ascii="仿宋_GB2312" w:hAnsi="宋体" w:eastAsia="仿宋_GB2312" w:cs="宋体"/>
                <w:color w:val="000000"/>
                <w:kern w:val="0"/>
                <w:szCs w:val="21"/>
              </w:rPr>
            </w:pPr>
            <w:r>
              <w:rPr>
                <w:rFonts w:hint="eastAsia" w:ascii="仿宋_GB2312" w:hAnsi="宋体" w:eastAsia="仿宋_GB2312"/>
                <w:color w:val="000000"/>
                <w:szCs w:val="21"/>
              </w:rPr>
              <w:t>通过建设企业安全文化长廊，召开安全文化主题班组会、“开学第一课”，组织演讲、征文、知识竞赛，利用“村村响”应急广播及组织安全文化小分队、志愿者，综合运用符合地方特色的戏曲、小品、话剧等多种互动方式，深入开展习近平总书记重要论述宣讲工作，积极推进安全宣传进企业、进农村、进社区、进学校、进家庭。</w:t>
            </w:r>
          </w:p>
        </w:tc>
        <w:tc>
          <w:tcPr>
            <w:tcW w:w="1276"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34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委宣传部、市应急管理局、市交通运输局、市教育局、市住建局、市自然资源和规划局、市水利局、市林业局、市市场监管局、市国资委、市消防救援支队、市公安交警支队等负有安全生产监管职责的部门以及区县市党委政府按职责分工负责</w:t>
            </w:r>
          </w:p>
        </w:tc>
        <w:tc>
          <w:tcPr>
            <w:tcW w:w="1701"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2021年</w:t>
            </w:r>
          </w:p>
        </w:tc>
      </w:tr>
      <w:tr>
        <w:tblPrEx>
          <w:tblCellMar>
            <w:top w:w="0" w:type="dxa"/>
            <w:left w:w="108" w:type="dxa"/>
            <w:bottom w:w="0" w:type="dxa"/>
            <w:right w:w="108" w:type="dxa"/>
          </w:tblCellMar>
        </w:tblPrEx>
        <w:trPr>
          <w:trHeight w:val="803"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6861" w:type="dxa"/>
            <w:tcBorders>
              <w:top w:val="single" w:color="auto" w:sz="4" w:space="0"/>
              <w:left w:val="nil"/>
              <w:bottom w:val="single" w:color="auto" w:sz="4" w:space="0"/>
              <w:right w:val="single" w:color="auto" w:sz="4" w:space="0"/>
            </w:tcBorders>
            <w:noWrap/>
            <w:vAlign w:val="center"/>
          </w:tcPr>
          <w:p>
            <w:pPr>
              <w:rPr>
                <w:rFonts w:hint="eastAsia" w:ascii="仿宋_GB2312" w:hAnsi="宋体" w:eastAsia="仿宋_GB2312" w:cs="宋体"/>
                <w:color w:val="000000"/>
                <w:kern w:val="0"/>
                <w:szCs w:val="21"/>
              </w:rPr>
            </w:pPr>
            <w:r>
              <w:rPr>
                <w:rFonts w:hint="eastAsia" w:ascii="仿宋_GB2312" w:hAnsi="宋体" w:eastAsia="仿宋_GB2312"/>
                <w:color w:val="000000"/>
                <w:szCs w:val="21"/>
              </w:rPr>
              <w:t>定期汇编制作本地本行业领域安全生产事故典型案例和警示教育片。深入开展“以案说法”活动，对典型案例深入剖析，用鲜活事例警示教育。在各级主流媒体开设“曝光台”，曝光安全生产典型问题，强化警示教育。</w:t>
            </w:r>
          </w:p>
        </w:tc>
        <w:tc>
          <w:tcPr>
            <w:tcW w:w="1276"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34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发展改革委、市教育局、市民政局、市工信局、市公安局、市交通运输局、市生态环境局、市住建局、市自然资源和规划局、市农业农村局、市商务局、市水利局、市林业局、市文旅广体局、市卫健委、市应急管理局、市市场监管局、市国资委、市城管执法局、市消防救援支队、市公安交警支队、市邮政管理局等负有安全生产监管职责的部门以及区县市政府按职责分工负责</w:t>
            </w:r>
          </w:p>
        </w:tc>
        <w:tc>
          <w:tcPr>
            <w:tcW w:w="1701"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2020-2022年</w:t>
            </w:r>
          </w:p>
        </w:tc>
      </w:tr>
      <w:tr>
        <w:tblPrEx>
          <w:tblCellMar>
            <w:top w:w="0" w:type="dxa"/>
            <w:left w:w="108" w:type="dxa"/>
            <w:bottom w:w="0" w:type="dxa"/>
            <w:right w:w="108" w:type="dxa"/>
          </w:tblCellMar>
        </w:tblPrEx>
        <w:trPr>
          <w:trHeight w:val="1129"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9</w:t>
            </w:r>
          </w:p>
        </w:tc>
        <w:tc>
          <w:tcPr>
            <w:tcW w:w="6861" w:type="dxa"/>
            <w:tcBorders>
              <w:top w:val="single" w:color="auto" w:sz="4" w:space="0"/>
              <w:left w:val="nil"/>
              <w:bottom w:val="single" w:color="auto" w:sz="4" w:space="0"/>
              <w:right w:val="single" w:color="auto" w:sz="4" w:space="0"/>
            </w:tcBorders>
            <w:noWrap/>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olor w:val="000000"/>
                <w:szCs w:val="21"/>
              </w:rPr>
              <w:t>各级党委和政府要认真贯彻落实《地方党政领导干部安全生产责任制规定》和《湖南省党政领导干部安全生产责任制实施细则》，始终把安全生产摆在重要位置，定期研究部署安全生产重点工作，组织开展专题调研和检查指导，协调解决安全生产体制机制、目标管理考核等重大问题，坚守安全生产底线，采取切实管用的安全监管措施，加强源头治理、系统治理、精准治理、综合治理，有效防范和遏制较大及以上生产安全事故发生，实现安全生产与经济社会协调发展。各有关部门要按照“三个必须”的要求，把安全生产工作作为本行业领域管理的重要内容，依法依规履行安全监管责任，指导帮助生产经营单位加强安全管理，切实消除盲区漏洞。</w:t>
            </w:r>
          </w:p>
        </w:tc>
        <w:tc>
          <w:tcPr>
            <w:tcW w:w="1276"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34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发展改革委、市教育局、市民政局、市工信局、市公安局、市交通运输局、市生态环境局、市住建局、市自然资源和规划局、市农业农村局、市商务局、市水利局、市文旅广体局、市卫健委、市应急管理局、市市场监管局、市国资委、市林业局、市城管执法局、市消防救援支队、市公安交警支队、市邮政管理局等负有安全生产监管职责的部门以及区县市党委政府按职责分工负责</w:t>
            </w:r>
          </w:p>
        </w:tc>
        <w:tc>
          <w:tcPr>
            <w:tcW w:w="1701"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2020-2022年</w:t>
            </w:r>
          </w:p>
        </w:tc>
      </w:tr>
      <w:tr>
        <w:tblPrEx>
          <w:tblCellMar>
            <w:top w:w="0" w:type="dxa"/>
            <w:left w:w="108" w:type="dxa"/>
            <w:bottom w:w="0" w:type="dxa"/>
            <w:right w:w="108" w:type="dxa"/>
          </w:tblCellMar>
        </w:tblPrEx>
        <w:trPr>
          <w:trHeight w:val="600"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widowControl/>
              <w:ind w:firstLine="210" w:firstLineChars="1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6861" w:type="dxa"/>
            <w:tcBorders>
              <w:top w:val="single" w:color="auto" w:sz="4" w:space="0"/>
              <w:left w:val="nil"/>
              <w:bottom w:val="single" w:color="auto" w:sz="4" w:space="0"/>
              <w:right w:val="single" w:color="auto" w:sz="4" w:space="0"/>
            </w:tcBorders>
            <w:noWrap/>
            <w:vAlign w:val="center"/>
          </w:tcPr>
          <w:p>
            <w:pPr>
              <w:widowControl/>
              <w:spacing w:line="26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各级安委会要健全完善安全生产工作制度和安全生产考核办法，进一步压实部门监管责任，督查成员单位改进作风，严格落实安全生产约谈、警示通报、挂牌督办、一票否决等制度。</w:t>
            </w:r>
          </w:p>
        </w:tc>
        <w:tc>
          <w:tcPr>
            <w:tcW w:w="1276" w:type="dxa"/>
            <w:tcBorders>
              <w:top w:val="single" w:color="auto" w:sz="4" w:space="0"/>
              <w:left w:val="nil"/>
              <w:bottom w:val="single" w:color="auto" w:sz="4" w:space="0"/>
              <w:right w:val="single" w:color="auto" w:sz="4" w:space="0"/>
            </w:tcBorders>
            <w:noWrap/>
            <w:vAlign w:val="center"/>
          </w:tcPr>
          <w:p>
            <w:pPr>
              <w:spacing w:line="26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3402"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市交通运输局、市住建局、市自然资源和规划局、市水利局、市市场监管局、市国资委、市消防救援支队、市公安交警支队等负有安全生产监管职责的部门以及区县市党委政府、安委会按职责分工负责</w:t>
            </w:r>
          </w:p>
        </w:tc>
        <w:tc>
          <w:tcPr>
            <w:tcW w:w="1701"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2020-2022年</w:t>
            </w:r>
          </w:p>
        </w:tc>
      </w:tr>
      <w:tr>
        <w:tblPrEx>
          <w:tblCellMar>
            <w:top w:w="0" w:type="dxa"/>
            <w:left w:w="108" w:type="dxa"/>
            <w:bottom w:w="0" w:type="dxa"/>
            <w:right w:w="108" w:type="dxa"/>
          </w:tblCellMar>
        </w:tblPrEx>
        <w:trPr>
          <w:trHeight w:val="2068" w:hRule="atLeast"/>
        </w:trPr>
        <w:tc>
          <w:tcPr>
            <w:tcW w:w="807" w:type="dxa"/>
            <w:tcBorders>
              <w:top w:val="nil"/>
              <w:left w:val="single" w:color="auto" w:sz="4" w:space="0"/>
              <w:bottom w:val="single" w:color="auto" w:sz="4" w:space="0"/>
              <w:right w:val="single" w:color="auto" w:sz="4" w:space="0"/>
            </w:tcBorders>
            <w:noWrap/>
            <w:vAlign w:val="center"/>
          </w:tcPr>
          <w:p>
            <w:pPr>
              <w:widowControl/>
              <w:ind w:firstLine="210" w:firstLineChars="1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6861" w:type="dxa"/>
            <w:tcBorders>
              <w:top w:val="nil"/>
              <w:left w:val="nil"/>
              <w:bottom w:val="single" w:color="auto" w:sz="4" w:space="0"/>
              <w:right w:val="single" w:color="auto" w:sz="4" w:space="0"/>
            </w:tcBorders>
            <w:noWrap/>
            <w:vAlign w:val="center"/>
          </w:tcPr>
          <w:p>
            <w:pPr>
              <w:adjustRightInd w:val="0"/>
              <w:snapToGrid w:val="0"/>
              <w:spacing w:line="260" w:lineRule="exact"/>
              <w:rPr>
                <w:rFonts w:hint="eastAsia" w:ascii="仿宋_GB2312" w:hAnsi="宋体" w:eastAsia="仿宋_GB2312" w:cs="宋体"/>
                <w:color w:val="000000"/>
                <w:kern w:val="0"/>
                <w:szCs w:val="21"/>
              </w:rPr>
            </w:pPr>
            <w:r>
              <w:rPr>
                <w:rFonts w:hint="eastAsia" w:ascii="仿宋_GB2312" w:hAnsi="宋体" w:eastAsia="仿宋_GB2312"/>
                <w:color w:val="000000"/>
                <w:szCs w:val="21"/>
              </w:rPr>
              <w:t>深入开展“落实企业安全生产主体责任三年行动”和安全监管“强执法防事故”行动，建立健全企业全过程安全生产管理制度，完善落实“班前会”、安全诚信、安全承诺、专家服务、举报奖励和舆论监督等措施，督促企业法定代表人和实际控制人在岗在位履行第一责任人责任，推动企业主体责任落实，确保安全生产。</w:t>
            </w:r>
          </w:p>
        </w:tc>
        <w:tc>
          <w:tcPr>
            <w:tcW w:w="1276" w:type="dxa"/>
            <w:tcBorders>
              <w:top w:val="nil"/>
              <w:left w:val="nil"/>
              <w:bottom w:val="single" w:color="auto" w:sz="4" w:space="0"/>
              <w:right w:val="single" w:color="auto" w:sz="4" w:space="0"/>
            </w:tcBorders>
            <w:noWrap/>
            <w:vAlign w:val="center"/>
          </w:tcPr>
          <w:p>
            <w:pPr>
              <w:widowControl/>
              <w:spacing w:line="26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3402" w:type="dxa"/>
            <w:tcBorders>
              <w:top w:val="nil"/>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市交通运输局、市住建局、市自然资源和规划局、市水利局、市林业局、市市场监管局、市国资委、市消防救援支队、市公安交警支队等负有安全生产监管职责的部门以及区县市党委政府按职责分工负责</w:t>
            </w:r>
          </w:p>
        </w:tc>
        <w:tc>
          <w:tcPr>
            <w:tcW w:w="1701"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2020-2022年</w:t>
            </w:r>
          </w:p>
        </w:tc>
      </w:tr>
      <w:tr>
        <w:tblPrEx>
          <w:tblCellMar>
            <w:top w:w="0" w:type="dxa"/>
            <w:left w:w="108" w:type="dxa"/>
            <w:bottom w:w="0" w:type="dxa"/>
            <w:right w:w="108" w:type="dxa"/>
          </w:tblCellMar>
        </w:tblPrEx>
        <w:trPr>
          <w:trHeight w:val="2220"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6861" w:type="dxa"/>
            <w:tcBorders>
              <w:top w:val="single" w:color="auto" w:sz="4" w:space="0"/>
              <w:left w:val="nil"/>
              <w:bottom w:val="single" w:color="auto" w:sz="4" w:space="0"/>
              <w:right w:val="single" w:color="auto" w:sz="4" w:space="0"/>
            </w:tcBorders>
            <w:noWrap/>
            <w:vAlign w:val="center"/>
          </w:tcPr>
          <w:p>
            <w:pPr>
              <w:widowControl/>
              <w:spacing w:line="260" w:lineRule="exact"/>
              <w:rPr>
                <w:rFonts w:hint="eastAsia" w:ascii="仿宋_GB2312" w:hAnsi="宋体" w:eastAsia="仿宋_GB2312" w:cs="宋体"/>
                <w:color w:val="000000"/>
                <w:kern w:val="0"/>
                <w:szCs w:val="21"/>
              </w:rPr>
            </w:pPr>
            <w:r>
              <w:rPr>
                <w:rFonts w:hint="eastAsia" w:ascii="仿宋_GB2312" w:hAnsi="宋体" w:eastAsia="仿宋_GB2312"/>
                <w:color w:val="000000"/>
                <w:szCs w:val="21"/>
              </w:rPr>
              <w:t>继续推进《中共中央国务院关于推进安全生产领域改革发展的意见》、《湖南省关于推进安全生产领域改革发展的实施意见》以及《常德市关于推进安全生产领域改革发展的实施意见》有关任务的落实落细。</w:t>
            </w:r>
          </w:p>
        </w:tc>
        <w:tc>
          <w:tcPr>
            <w:tcW w:w="1276"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3402"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市交通运输局、市住建局、市自然资源和规划局、市水利局、市林业局、市市场监管局、市国资委、市消防救援支队、市公安交警支队等负有安全生产监管职责的部门以及区县市党委政府按职责分工负责</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2020-2022年</w:t>
            </w:r>
          </w:p>
        </w:tc>
      </w:tr>
      <w:tr>
        <w:tblPrEx>
          <w:tblCellMar>
            <w:top w:w="0" w:type="dxa"/>
            <w:left w:w="108" w:type="dxa"/>
            <w:bottom w:w="0" w:type="dxa"/>
            <w:right w:w="108" w:type="dxa"/>
          </w:tblCellMar>
        </w:tblPrEx>
        <w:trPr>
          <w:trHeight w:val="1960" w:hRule="exact"/>
        </w:trPr>
        <w:tc>
          <w:tcPr>
            <w:tcW w:w="807"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6861" w:type="dxa"/>
            <w:tcBorders>
              <w:top w:val="single" w:color="auto" w:sz="4" w:space="0"/>
              <w:left w:val="nil"/>
              <w:bottom w:val="single" w:color="auto" w:sz="4" w:space="0"/>
              <w:right w:val="single" w:color="auto" w:sz="4" w:space="0"/>
            </w:tcBorders>
            <w:noWrap/>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加强安全监管干部队伍建设，到2022年底具有安全生产相关专业学历和实践经验的执法人员不低于在职人员75%。</w:t>
            </w:r>
          </w:p>
        </w:tc>
        <w:tc>
          <w:tcPr>
            <w:tcW w:w="1276"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3402"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市委组织部、</w:t>
            </w:r>
            <w:r>
              <w:rPr>
                <w:rFonts w:hint="eastAsia" w:ascii="仿宋_GB2312" w:hAnsi="宋体" w:eastAsia="仿宋_GB2312"/>
                <w:color w:val="000000"/>
                <w:kern w:val="0"/>
                <w:szCs w:val="21"/>
              </w:rPr>
              <w:t>市委编办、市人社局、</w:t>
            </w:r>
            <w:r>
              <w:rPr>
                <w:rFonts w:hint="eastAsia" w:ascii="仿宋_GB2312" w:hAnsi="宋体" w:eastAsia="仿宋_GB2312" w:cs="宋体"/>
                <w:color w:val="000000"/>
                <w:kern w:val="0"/>
                <w:szCs w:val="21"/>
              </w:rPr>
              <w:t>市交通运输局、市住建局、市自然资源和规划局、市水利局、市林业局、市市场监管局、市国资委、市消防救援支队、市公安交警支队等负有安全生产监管职责的部门以及区县市党委政府按职责分工负责</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2020-2022年</w:t>
            </w:r>
          </w:p>
        </w:tc>
      </w:tr>
      <w:tr>
        <w:tblPrEx>
          <w:tblCellMar>
            <w:top w:w="0" w:type="dxa"/>
            <w:left w:w="108" w:type="dxa"/>
            <w:bottom w:w="0" w:type="dxa"/>
            <w:right w:w="108" w:type="dxa"/>
          </w:tblCellMar>
        </w:tblPrEx>
        <w:trPr>
          <w:trHeight w:val="1766"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6861" w:type="dxa"/>
            <w:tcBorders>
              <w:top w:val="single" w:color="auto" w:sz="4" w:space="0"/>
              <w:left w:val="nil"/>
              <w:bottom w:val="single" w:color="auto" w:sz="4" w:space="0"/>
              <w:right w:val="single" w:color="auto" w:sz="4" w:space="0"/>
            </w:tcBorders>
            <w:noWrap/>
            <w:vAlign w:val="center"/>
          </w:tcPr>
          <w:p>
            <w:pPr>
              <w:rPr>
                <w:rFonts w:hint="eastAsia" w:ascii="仿宋_GB2312" w:hAnsi="宋体" w:eastAsia="仿宋_GB2312"/>
                <w:color w:val="000000"/>
                <w:kern w:val="0"/>
                <w:szCs w:val="21"/>
              </w:rPr>
            </w:pPr>
            <w:r>
              <w:rPr>
                <w:rFonts w:hint="eastAsia" w:ascii="仿宋_GB2312" w:hAnsi="宋体" w:eastAsia="仿宋_GB2312"/>
                <w:color w:val="000000"/>
                <w:szCs w:val="21"/>
              </w:rPr>
              <w:t>围绕建立公共安全隐患排查和安全预防控制体系，坚持从源头上加强治理，建立安全风险评估制度，对城乡规划、产业发展规划、重大工程项目实施重大安全风险“一票否决”，修订完善安全设防地方标准。坚持创新方式加强监管，综合运用大数据和“互联网+监管”等信息化手段以及“四不两直”明查暗访等传统手段，分行业分领域全面排查整治安全隐患，突出道路和水上交通、危险化学品和烟花爆竹、非煤矿山、建筑施工、消防和人员密集场所、特种设备等重点行业领域，彻底整治安全生产顽瘴痼疾，标本兼治消除事故隐患。要特别重视加强化工、桥梁、隧道、电力、油气、水利等重大工程和设施安全风险防控，强化规划设计、建筑施工、运营管理等各环节的安全责任措施落实，确保万无一失。</w:t>
            </w:r>
          </w:p>
        </w:tc>
        <w:tc>
          <w:tcPr>
            <w:tcW w:w="1276"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3402"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发展改革委、市工信局、市交通运输局、市住建局、市自然资源和规划局、市水利局、市林业局、市应急管理局、市市场监管局、市消防救援支队、市公安交警支队等负有安全生产监管职责的部门以及区县市党委政府按职责分工负责</w:t>
            </w:r>
          </w:p>
        </w:tc>
        <w:tc>
          <w:tcPr>
            <w:tcW w:w="1701"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1715"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6861" w:type="dxa"/>
            <w:tcBorders>
              <w:top w:val="single" w:color="auto" w:sz="4" w:space="0"/>
              <w:left w:val="nil"/>
              <w:bottom w:val="single" w:color="auto" w:sz="4" w:space="0"/>
              <w:right w:val="single" w:color="auto" w:sz="4" w:space="0"/>
            </w:tcBorders>
            <w:noWrap/>
            <w:vAlign w:val="center"/>
          </w:tcPr>
          <w:p>
            <w:pPr>
              <w:rPr>
                <w:rFonts w:hint="eastAsia" w:ascii="仿宋_GB2312" w:hAnsi="宋体" w:eastAsia="仿宋_GB2312" w:cs="宋体"/>
                <w:color w:val="000000"/>
                <w:kern w:val="0"/>
                <w:szCs w:val="21"/>
              </w:rPr>
            </w:pPr>
            <w:r>
              <w:rPr>
                <w:rFonts w:hint="eastAsia" w:ascii="仿宋_GB2312" w:hAnsi="宋体" w:eastAsia="仿宋_GB2312"/>
                <w:color w:val="000000"/>
                <w:kern w:val="0"/>
                <w:szCs w:val="21"/>
              </w:rPr>
              <w:t>全面推进行政执法公示、执法全过程记录、重大执法决定法制审核、</w:t>
            </w:r>
            <w:r>
              <w:rPr>
                <w:rFonts w:hint="eastAsia" w:ascii="仿宋_GB2312" w:hAnsi="宋体" w:eastAsia="仿宋_GB2312"/>
                <w:color w:val="000000"/>
                <w:szCs w:val="21"/>
              </w:rPr>
              <w:t>执法决定说明理由制度</w:t>
            </w:r>
            <w:r>
              <w:rPr>
                <w:rFonts w:hint="eastAsia" w:ascii="仿宋_GB2312" w:hAnsi="宋体" w:eastAsia="仿宋_GB2312"/>
                <w:color w:val="000000"/>
                <w:kern w:val="0"/>
                <w:szCs w:val="21"/>
              </w:rPr>
              <w:t>等“四项制度”和</w:t>
            </w:r>
            <w:r>
              <w:rPr>
                <w:rFonts w:hint="eastAsia" w:ascii="仿宋_GB2312" w:hAnsi="宋体" w:eastAsia="仿宋_GB2312"/>
                <w:color w:val="000000"/>
                <w:szCs w:val="21"/>
              </w:rPr>
              <w:t>安全生产分类分级监管执法</w:t>
            </w:r>
            <w:r>
              <w:rPr>
                <w:rFonts w:hint="eastAsia" w:ascii="仿宋_GB2312" w:hAnsi="宋体" w:eastAsia="仿宋_GB2312"/>
                <w:color w:val="000000"/>
                <w:kern w:val="0"/>
                <w:szCs w:val="21"/>
              </w:rPr>
              <w:t>。</w:t>
            </w:r>
          </w:p>
        </w:tc>
        <w:tc>
          <w:tcPr>
            <w:tcW w:w="1276"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3402" w:type="dxa"/>
            <w:tcBorders>
              <w:top w:val="single" w:color="auto" w:sz="4" w:space="0"/>
              <w:left w:val="nil"/>
              <w:bottom w:val="single" w:color="auto" w:sz="4" w:space="0"/>
              <w:right w:val="single" w:color="auto" w:sz="4" w:space="0"/>
            </w:tcBorders>
            <w:noWrap w:val="0"/>
            <w:vAlign w:val="center"/>
          </w:tcPr>
          <w:p>
            <w:pPr>
              <w:spacing w:line="26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市应急管理局、市交通运输局、市住建局、市自然资源和规划局、市水利局、市林业局、市市场监管局、市消防救援支队、市公安交警支队等负有安全生产监管职责的部门按职责分工负责</w:t>
            </w:r>
          </w:p>
        </w:tc>
        <w:tc>
          <w:tcPr>
            <w:tcW w:w="1701"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2020-2022年</w:t>
            </w:r>
          </w:p>
        </w:tc>
      </w:tr>
      <w:tr>
        <w:tblPrEx>
          <w:tblCellMar>
            <w:top w:w="0" w:type="dxa"/>
            <w:left w:w="108" w:type="dxa"/>
            <w:bottom w:w="0" w:type="dxa"/>
            <w:right w:w="108" w:type="dxa"/>
          </w:tblCellMar>
        </w:tblPrEx>
        <w:trPr>
          <w:trHeight w:val="1667"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ind w:firstLine="210" w:firstLineChars="1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6861" w:type="dxa"/>
            <w:tcBorders>
              <w:top w:val="single" w:color="auto" w:sz="4" w:space="0"/>
              <w:left w:val="nil"/>
              <w:bottom w:val="single" w:color="auto" w:sz="4" w:space="0"/>
              <w:right w:val="single" w:color="auto" w:sz="4" w:space="0"/>
            </w:tcBorders>
            <w:noWrap/>
            <w:vAlign w:val="center"/>
          </w:tcPr>
          <w:p>
            <w:pPr>
              <w:adjustRightInd w:val="0"/>
              <w:snapToGrid w:val="0"/>
              <w:spacing w:line="2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认真贯彻落实《干部教育培训工作条例》《应急管理部全国应急管理干部大培训总体方案》《中共湖南省委2019-2022年湖南省干部教育培训规划》，结合工作实际，分年度制定计划，开展应急管理系统干部培训轮训；通过公务员聘用制方式引进急需紧缺人才。联合教育部门加强安全生产学科专业建设，提高干部队伍整体素质。</w:t>
            </w:r>
          </w:p>
        </w:tc>
        <w:tc>
          <w:tcPr>
            <w:tcW w:w="1276"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市委组织部</w:t>
            </w:r>
          </w:p>
        </w:tc>
        <w:tc>
          <w:tcPr>
            <w:tcW w:w="3402" w:type="dxa"/>
            <w:tcBorders>
              <w:top w:val="single" w:color="auto" w:sz="4" w:space="0"/>
              <w:left w:val="nil"/>
              <w:bottom w:val="single" w:color="auto" w:sz="4" w:space="0"/>
              <w:right w:val="single" w:color="auto" w:sz="4" w:space="0"/>
            </w:tcBorders>
            <w:noWrap w:val="0"/>
            <w:vAlign w:val="center"/>
          </w:tcPr>
          <w:p>
            <w:pPr>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市应急管理局、市教育局、市人社局按职责分工负责</w:t>
            </w:r>
          </w:p>
        </w:tc>
        <w:tc>
          <w:tcPr>
            <w:tcW w:w="1701"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2020-2022年</w:t>
            </w:r>
          </w:p>
        </w:tc>
      </w:tr>
    </w:tbl>
    <w:p>
      <w:pPr>
        <w:rPr>
          <w:color w:val="000000"/>
        </w:rPr>
        <w:sectPr>
          <w:pgSz w:w="16838" w:h="11906" w:orient="landscape"/>
          <w:pgMar w:top="1797" w:right="1440" w:bottom="1797" w:left="1440" w:header="851" w:footer="992" w:gutter="0"/>
          <w:pgNumType w:fmt="numberInDash"/>
          <w:cols w:space="720" w:num="1"/>
          <w:docGrid w:type="linesAndChars" w:linePitch="312" w:charSpace="0"/>
        </w:sectPr>
      </w:pPr>
    </w:p>
    <w:tbl>
      <w:tblPr>
        <w:tblStyle w:val="4"/>
        <w:tblW w:w="14047" w:type="dxa"/>
        <w:tblInd w:w="95" w:type="dxa"/>
        <w:tblLayout w:type="autofit"/>
        <w:tblCellMar>
          <w:top w:w="0" w:type="dxa"/>
          <w:left w:w="108" w:type="dxa"/>
          <w:bottom w:w="0" w:type="dxa"/>
          <w:right w:w="108" w:type="dxa"/>
        </w:tblCellMar>
      </w:tblPr>
      <w:tblGrid>
        <w:gridCol w:w="807"/>
        <w:gridCol w:w="426"/>
        <w:gridCol w:w="7475"/>
        <w:gridCol w:w="1277"/>
        <w:gridCol w:w="2644"/>
        <w:gridCol w:w="1418"/>
      </w:tblGrid>
      <w:tr>
        <w:tblPrEx>
          <w:tblCellMar>
            <w:top w:w="0" w:type="dxa"/>
            <w:left w:w="108" w:type="dxa"/>
            <w:bottom w:w="0" w:type="dxa"/>
            <w:right w:w="108" w:type="dxa"/>
          </w:tblCellMar>
        </w:tblPrEx>
        <w:trPr>
          <w:trHeight w:val="1176" w:hRule="atLeast"/>
        </w:trPr>
        <w:tc>
          <w:tcPr>
            <w:tcW w:w="14047" w:type="dxa"/>
            <w:gridSpan w:val="6"/>
            <w:tcBorders>
              <w:top w:val="nil"/>
              <w:left w:val="nil"/>
              <w:bottom w:val="nil"/>
              <w:right w:val="nil"/>
            </w:tcBorders>
            <w:noWrap/>
            <w:vAlign w:val="center"/>
          </w:tcPr>
          <w:p>
            <w:pPr>
              <w:widowControl/>
              <w:spacing w:line="580" w:lineRule="exact"/>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常德市落实企业安全生产主体责任三年行动专题实施方案</w:t>
            </w:r>
          </w:p>
          <w:p>
            <w:pPr>
              <w:widowControl/>
              <w:spacing w:line="58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重点任务分解表（二）</w:t>
            </w:r>
          </w:p>
        </w:tc>
      </w:tr>
      <w:tr>
        <w:tblPrEx>
          <w:tblCellMar>
            <w:top w:w="0" w:type="dxa"/>
            <w:left w:w="108" w:type="dxa"/>
            <w:bottom w:w="0" w:type="dxa"/>
            <w:right w:w="108" w:type="dxa"/>
          </w:tblCellMar>
        </w:tblPrEx>
        <w:trPr>
          <w:trHeight w:val="524"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序号</w:t>
            </w:r>
          </w:p>
        </w:tc>
        <w:tc>
          <w:tcPr>
            <w:tcW w:w="790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任务内容</w:t>
            </w:r>
          </w:p>
        </w:tc>
        <w:tc>
          <w:tcPr>
            <w:tcW w:w="127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牵头单位</w:t>
            </w:r>
          </w:p>
        </w:tc>
        <w:tc>
          <w:tcPr>
            <w:tcW w:w="26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责任单位</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完成时间</w:t>
            </w:r>
          </w:p>
        </w:tc>
      </w:tr>
      <w:tr>
        <w:tblPrEx>
          <w:tblCellMar>
            <w:top w:w="0" w:type="dxa"/>
            <w:left w:w="108" w:type="dxa"/>
            <w:bottom w:w="0" w:type="dxa"/>
            <w:right w:w="108" w:type="dxa"/>
          </w:tblCellMar>
        </w:tblPrEx>
        <w:trPr>
          <w:trHeight w:val="1575"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7901" w:type="dxa"/>
            <w:gridSpan w:val="2"/>
            <w:tcBorders>
              <w:top w:val="nil"/>
              <w:left w:val="nil"/>
              <w:bottom w:val="single" w:color="auto" w:sz="4" w:space="0"/>
              <w:right w:val="single" w:color="auto" w:sz="4" w:space="0"/>
            </w:tcBorders>
            <w:noWrap w:val="0"/>
            <w:vAlign w:val="center"/>
          </w:tcPr>
          <w:p>
            <w:pPr>
              <w:adjustRightInd w:val="0"/>
              <w:snapToGrid w:val="0"/>
              <w:spacing w:line="280" w:lineRule="exact"/>
              <w:rPr>
                <w:rFonts w:hint="eastAsia" w:ascii="仿宋_GB2312" w:hAnsi="宋体" w:eastAsia="仿宋_GB2312"/>
                <w:color w:val="000000"/>
                <w:szCs w:val="21"/>
              </w:rPr>
            </w:pPr>
            <w:r>
              <w:rPr>
                <w:rFonts w:hint="eastAsia" w:ascii="仿宋_GB2312" w:hAnsi="宋体" w:eastAsia="仿宋_GB2312"/>
                <w:b/>
                <w:color w:val="000000"/>
                <w:szCs w:val="21"/>
              </w:rPr>
              <w:t>健全全员安全生产责任制。</w:t>
            </w:r>
            <w:r>
              <w:rPr>
                <w:rFonts w:hint="eastAsia" w:ascii="仿宋_GB2312" w:hAnsi="宋体" w:eastAsia="仿宋_GB2312"/>
                <w:color w:val="000000"/>
                <w:szCs w:val="21"/>
              </w:rPr>
              <w:t>建立健全从主要负责人到一线岗位员工覆盖所有管理和操作岗位的安全生产责任制。建立“一会三卡”制度（班组安全会，动工卡、体检卡、应急卡），</w:t>
            </w:r>
            <w:r>
              <w:rPr>
                <w:rFonts w:hint="eastAsia" w:ascii="仿宋_GB2312" w:hAnsi="宋体" w:eastAsia="仿宋_GB2312"/>
                <w:color w:val="000000"/>
                <w:kern w:val="0"/>
                <w:szCs w:val="21"/>
              </w:rPr>
              <w:t>建立并落实动火作业、受限空间等票证管理制度。</w:t>
            </w:r>
            <w:r>
              <w:rPr>
                <w:rFonts w:hint="eastAsia" w:ascii="仿宋_GB2312" w:hAnsi="宋体" w:eastAsia="仿宋_GB2312"/>
                <w:color w:val="000000"/>
                <w:szCs w:val="21"/>
              </w:rPr>
              <w:t>加强安全生产法治教育，持续开展“安康杯”竞赛活动，提高全员守法自觉性。建立企业内部安全生产监督考核机制，推动各个岗位安全生产责任落实到位。</w:t>
            </w:r>
          </w:p>
        </w:tc>
        <w:tc>
          <w:tcPr>
            <w:tcW w:w="1277" w:type="dxa"/>
            <w:vMerge w:val="restart"/>
            <w:tcBorders>
              <w:top w:val="nil"/>
              <w:left w:val="nil"/>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2644" w:type="dxa"/>
            <w:vMerge w:val="restart"/>
            <w:tcBorders>
              <w:top w:val="nil"/>
              <w:left w:val="nil"/>
              <w:right w:val="single" w:color="auto" w:sz="4" w:space="0"/>
            </w:tcBorders>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市交通运输局、市住建局、市自然资源和规划局、市水利局、市林业局、市市场监管局、市国资委、市消防救援支队、市公安交警支队等负有安全生产监管职责的部门负责督促指导，各企业负责落实</w:t>
            </w:r>
          </w:p>
        </w:tc>
        <w:tc>
          <w:tcPr>
            <w:tcW w:w="1418" w:type="dxa"/>
            <w:vMerge w:val="restart"/>
            <w:tcBorders>
              <w:top w:val="nil"/>
              <w:left w:val="nil"/>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2020年底前</w:t>
            </w:r>
          </w:p>
        </w:tc>
      </w:tr>
      <w:tr>
        <w:tblPrEx>
          <w:tblCellMar>
            <w:top w:w="0" w:type="dxa"/>
            <w:left w:w="108" w:type="dxa"/>
            <w:bottom w:w="0" w:type="dxa"/>
            <w:right w:w="108" w:type="dxa"/>
          </w:tblCellMar>
        </w:tblPrEx>
        <w:trPr>
          <w:trHeight w:val="2385"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7901"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hint="eastAsia" w:ascii="仿宋_GB2312" w:hAnsi="宋体" w:eastAsia="仿宋_GB2312"/>
                <w:color w:val="000000"/>
                <w:szCs w:val="21"/>
              </w:rPr>
            </w:pPr>
            <w:r>
              <w:rPr>
                <w:rFonts w:hint="eastAsia" w:ascii="仿宋_GB2312" w:hAnsi="宋体" w:eastAsia="仿宋_GB2312" w:cs="宋体"/>
                <w:b/>
                <w:color w:val="000000"/>
                <w:kern w:val="0"/>
                <w:szCs w:val="21"/>
              </w:rPr>
              <w:t>落实企业主要负责人责任。</w:t>
            </w:r>
            <w:r>
              <w:rPr>
                <w:rFonts w:hint="eastAsia" w:ascii="仿宋_GB2312" w:hAnsi="宋体" w:eastAsia="仿宋_GB2312" w:cs="宋体"/>
                <w:color w:val="000000"/>
                <w:kern w:val="0"/>
                <w:szCs w:val="21"/>
              </w:rPr>
              <w:t>落实“十个一次”工作（包含</w:t>
            </w:r>
            <w:r>
              <w:rPr>
                <w:rFonts w:hint="eastAsia" w:ascii="仿宋_GB2312" w:hAnsi="宋体" w:eastAsia="仿宋_GB2312"/>
                <w:color w:val="000000"/>
                <w:kern w:val="0"/>
                <w:szCs w:val="21"/>
              </w:rPr>
              <w:t>每个月至少带队检查一次安全生产工作；每季度至少主持研究一次安全生产工作；每年至少主持召开一次安全生产总结表彰动员会、主持召开一次安全生产工作讲评会、向职代会做一次安全生产工作述职、组织签订一次全员岗位安全生产责任书（员工承诺书）、给员工上一次安全生产辅导课、组织一次安全生产知识技能竞赛、参加一次安全生产应急救援演练、参加一次安全生产知识技能培训</w:t>
            </w:r>
            <w:r>
              <w:rPr>
                <w:rFonts w:hint="eastAsia" w:ascii="仿宋_GB2312" w:hAnsi="宋体" w:eastAsia="仿宋_GB2312" w:cs="宋体"/>
                <w:color w:val="000000"/>
                <w:kern w:val="0"/>
                <w:szCs w:val="21"/>
              </w:rPr>
              <w:t>）。</w:t>
            </w:r>
            <w:r>
              <w:rPr>
                <w:rFonts w:hint="eastAsia" w:ascii="仿宋_GB2312" w:hAnsi="宋体" w:eastAsia="仿宋_GB2312"/>
                <w:bCs/>
                <w:color w:val="000000"/>
                <w:kern w:val="0"/>
                <w:szCs w:val="21"/>
              </w:rPr>
              <w:t>建立企业主要负责人述职述安制度，考试制度，事故企业主要负责人公开道歉制度。</w:t>
            </w:r>
            <w:r>
              <w:rPr>
                <w:rFonts w:hint="eastAsia" w:ascii="仿宋_GB2312" w:hAnsi="宋体" w:eastAsia="仿宋_GB2312"/>
                <w:color w:val="000000"/>
                <w:kern w:val="0"/>
                <w:szCs w:val="21"/>
              </w:rPr>
              <w:t>坚持依法依规开展生产经营活动，</w:t>
            </w:r>
            <w:r>
              <w:rPr>
                <w:rFonts w:hint="eastAsia" w:ascii="仿宋_GB2312" w:hAnsi="宋体" w:eastAsia="仿宋_GB2312"/>
                <w:color w:val="000000"/>
                <w:szCs w:val="21"/>
              </w:rPr>
              <w:t>做到安全责任、安全管理、安全投入、安全培训、应急救援“五到位”。在安全生产关键时间节点做到在岗在位、盯守现场、全程督导，确保安全</w:t>
            </w:r>
          </w:p>
        </w:tc>
        <w:tc>
          <w:tcPr>
            <w:tcW w:w="1277" w:type="dxa"/>
            <w:vMerge w:val="continue"/>
            <w:tcBorders>
              <w:left w:val="nil"/>
              <w:right w:val="single" w:color="auto" w:sz="4" w:space="0"/>
            </w:tcBorders>
            <w:noWrap/>
            <w:vAlign w:val="center"/>
          </w:tcPr>
          <w:p>
            <w:pPr>
              <w:widowControl/>
              <w:jc w:val="center"/>
              <w:rPr>
                <w:rFonts w:hint="eastAsia" w:ascii="仿宋_GB2312" w:hAnsi="宋体" w:eastAsia="仿宋_GB2312" w:cs="宋体"/>
                <w:color w:val="000000"/>
                <w:kern w:val="0"/>
                <w:szCs w:val="21"/>
              </w:rPr>
            </w:pPr>
          </w:p>
        </w:tc>
        <w:tc>
          <w:tcPr>
            <w:tcW w:w="2644" w:type="dxa"/>
            <w:vMerge w:val="continue"/>
            <w:tcBorders>
              <w:left w:val="nil"/>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418" w:type="dxa"/>
            <w:vMerge w:val="continue"/>
            <w:tcBorders>
              <w:left w:val="nil"/>
              <w:right w:val="single" w:color="auto" w:sz="4" w:space="0"/>
            </w:tcBorders>
            <w:noWrap/>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1967"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8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7901"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hint="eastAsia" w:ascii="仿宋_GB2312" w:hAnsi="宋体" w:eastAsia="仿宋_GB2312"/>
                <w:color w:val="000000"/>
                <w:szCs w:val="21"/>
              </w:rPr>
            </w:pPr>
            <w:r>
              <w:rPr>
                <w:rFonts w:hint="eastAsia" w:ascii="仿宋_GB2312" w:hAnsi="宋体" w:eastAsia="仿宋_GB2312"/>
                <w:b/>
                <w:color w:val="000000"/>
                <w:szCs w:val="21"/>
              </w:rPr>
              <w:t>落实全员安全生产责任。</w:t>
            </w:r>
            <w:r>
              <w:rPr>
                <w:rFonts w:hint="eastAsia" w:ascii="仿宋_GB2312" w:hAnsi="宋体" w:eastAsia="仿宋_GB2312"/>
                <w:color w:val="000000"/>
                <w:szCs w:val="21"/>
              </w:rPr>
              <w:t>强化内部各部门安全生产职责，落实一岗双责制度。重点行业领域企业要严格落实以师带徒制度，确保新招员工安全作业。企业安全管理人员、重点岗位、班组和一线从业人员要严格履行自身安全生产职责，严格遵守岗位安全操作规程，确保安全生产，建立“层层负责、人人有责、各负其责”的安全生产工作体系。企业要将全员安全生产责任制及有关考核奖惩措施在醒目位置长期公示并适时公示考核结果与应用情况。</w:t>
            </w:r>
          </w:p>
        </w:tc>
        <w:tc>
          <w:tcPr>
            <w:tcW w:w="1277" w:type="dxa"/>
            <w:vMerge w:val="continue"/>
            <w:tcBorders>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p>
        </w:tc>
        <w:tc>
          <w:tcPr>
            <w:tcW w:w="2644" w:type="dxa"/>
            <w:vMerge w:val="continue"/>
            <w:tcBorders>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418" w:type="dxa"/>
            <w:vMerge w:val="continue"/>
            <w:tcBorders>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2040" w:hRule="atLeast"/>
        </w:trPr>
        <w:tc>
          <w:tcPr>
            <w:tcW w:w="807" w:type="dxa"/>
            <w:vMerge w:val="restart"/>
            <w:tcBorders>
              <w:top w:val="single" w:color="auto" w:sz="4" w:space="0"/>
              <w:left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901" w:type="dxa"/>
            <w:gridSpan w:val="2"/>
            <w:vMerge w:val="restart"/>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hint="eastAsia" w:ascii="仿宋_GB2312" w:hAnsi="宋体" w:eastAsia="仿宋_GB2312"/>
                <w:color w:val="000000"/>
                <w:szCs w:val="21"/>
              </w:rPr>
            </w:pPr>
            <w:r>
              <w:rPr>
                <w:rFonts w:hint="eastAsia" w:ascii="仿宋_GB2312" w:hAnsi="宋体" w:eastAsia="仿宋_GB2312"/>
                <w:b/>
                <w:color w:val="000000"/>
                <w:szCs w:val="21"/>
              </w:rPr>
              <w:t>建立完善安全生产管理团队。</w:t>
            </w:r>
            <w:r>
              <w:rPr>
                <w:rFonts w:hint="eastAsia" w:ascii="仿宋_GB2312" w:hAnsi="宋体" w:eastAsia="仿宋_GB2312"/>
                <w:color w:val="000000"/>
                <w:szCs w:val="21"/>
              </w:rPr>
              <w:t>企业要依法建立健全安全生产管理机构，配齐安全生产管理人员，全力支持安全管理机构工作，并建立相应的奖惩制度。企业要持续提升安全管理科学化、专业化、规范化水平，建立安全技术团队。</w:t>
            </w:r>
            <w:r>
              <w:rPr>
                <w:rFonts w:hint="eastAsia" w:ascii="仿宋_GB2312" w:hAnsi="宋体" w:eastAsia="仿宋_GB2312"/>
                <w:b/>
                <w:color w:val="000000"/>
                <w:szCs w:val="21"/>
              </w:rPr>
              <w:t>到2021年底前，非煤矿山、危险化学品、烟花爆竹、交通运输、建筑施工、民用爆炸物品、金属冶炼、渔业生产、特种设备等高危企业，通过自身培养和市场化机制，全部建立安全生产技术和管理团队。</w:t>
            </w:r>
          </w:p>
          <w:p>
            <w:pPr>
              <w:adjustRightInd w:val="0"/>
              <w:snapToGrid w:val="0"/>
              <w:spacing w:line="280" w:lineRule="exact"/>
              <w:rPr>
                <w:rFonts w:hint="eastAsia" w:ascii="仿宋_GB2312" w:hAnsi="宋体" w:eastAsia="仿宋_GB2312"/>
                <w:b/>
                <w:color w:val="000000"/>
                <w:szCs w:val="21"/>
              </w:rPr>
            </w:pPr>
            <w:r>
              <w:rPr>
                <w:rFonts w:hint="eastAsia" w:ascii="仿宋_GB2312" w:hAnsi="宋体" w:eastAsia="仿宋_GB2312"/>
                <w:b/>
                <w:color w:val="000000"/>
                <w:szCs w:val="21"/>
              </w:rPr>
              <w:t>2022年底，全市从业人员在300人以上的高危生产经营单位、从业人员在1000人以上的生产经营单位，应当设置享受与单位或公司副职同等待遇的安全总监，建立安全生产委员会。</w:t>
            </w:r>
          </w:p>
          <w:p>
            <w:pPr>
              <w:widowControl/>
              <w:jc w:val="center"/>
              <w:rPr>
                <w:rFonts w:hint="eastAsia" w:ascii="仿宋_GB2312" w:hAnsi="宋体" w:eastAsia="仿宋_GB2312" w:cs="宋体"/>
                <w:color w:val="000000"/>
                <w:kern w:val="0"/>
                <w:szCs w:val="21"/>
              </w:rPr>
            </w:pPr>
          </w:p>
        </w:tc>
        <w:tc>
          <w:tcPr>
            <w:tcW w:w="1277" w:type="dxa"/>
            <w:vMerge w:val="restart"/>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2644" w:type="dxa"/>
            <w:vMerge w:val="restart"/>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市交通运输局、市住建局、市自然资源和规划局、市水利局、市农业农村局、市林业局、市市场监管局、市国资委、市消防救援支队、市公安交警支队等负有安全生产监管职责的部门负责督促指导，各企业负责落实</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2021年底前</w:t>
            </w:r>
          </w:p>
        </w:tc>
      </w:tr>
      <w:tr>
        <w:tblPrEx>
          <w:tblCellMar>
            <w:top w:w="0" w:type="dxa"/>
            <w:left w:w="108" w:type="dxa"/>
            <w:bottom w:w="0" w:type="dxa"/>
            <w:right w:w="108" w:type="dxa"/>
          </w:tblCellMar>
        </w:tblPrEx>
        <w:trPr>
          <w:trHeight w:val="2242" w:hRule="atLeast"/>
        </w:trPr>
        <w:tc>
          <w:tcPr>
            <w:tcW w:w="807" w:type="dxa"/>
            <w:vMerge w:val="continue"/>
            <w:tcBorders>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p>
        </w:tc>
        <w:tc>
          <w:tcPr>
            <w:tcW w:w="7901" w:type="dxa"/>
            <w:gridSpan w:val="2"/>
            <w:vMerge w:val="continue"/>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hint="eastAsia" w:ascii="仿宋_GB2312" w:hAnsi="宋体" w:eastAsia="仿宋_GB2312" w:cs="宋体"/>
                <w:b/>
                <w:color w:val="000000"/>
                <w:kern w:val="0"/>
                <w:szCs w:val="21"/>
              </w:rPr>
            </w:pPr>
          </w:p>
        </w:tc>
        <w:tc>
          <w:tcPr>
            <w:tcW w:w="1277" w:type="dxa"/>
            <w:vMerge w:val="continue"/>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p>
        </w:tc>
        <w:tc>
          <w:tcPr>
            <w:tcW w:w="2644" w:type="dxa"/>
            <w:vMerge w:val="continue"/>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p>
        </w:tc>
        <w:tc>
          <w:tcPr>
            <w:tcW w:w="1418" w:type="dxa"/>
            <w:tcBorders>
              <w:top w:val="single" w:color="auto" w:sz="4" w:space="0"/>
              <w:left w:val="nil"/>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3243"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901"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hint="eastAsia" w:ascii="仿宋_GB2312" w:hAnsi="宋体" w:eastAsia="仿宋_GB2312"/>
                <w:color w:val="000000"/>
                <w:szCs w:val="21"/>
              </w:rPr>
            </w:pPr>
            <w:r>
              <w:rPr>
                <w:rFonts w:hint="eastAsia" w:ascii="仿宋_GB2312" w:hAnsi="宋体" w:eastAsia="仿宋_GB2312"/>
                <w:b/>
                <w:color w:val="000000"/>
                <w:szCs w:val="21"/>
              </w:rPr>
              <w:t>强化安全投入。</w:t>
            </w:r>
            <w:r>
              <w:rPr>
                <w:rFonts w:hint="eastAsia" w:ascii="仿宋_GB2312" w:hAnsi="宋体" w:eastAsia="仿宋_GB2312"/>
                <w:color w:val="000000"/>
                <w:szCs w:val="21"/>
              </w:rPr>
              <w:t>企业要保证安全生产条件所必需的资金投入，严格安全生产费用提取管理使用制度，坚持内部审计与外部审计相结合，确保足额提取、使用到位，严禁违规挪作他用。对由于安全生产所必需的资金投入不足导致的后果承担相关法律责任。严格落实安全技术设备设施改造等支持政策，加大淘汰落后力度，及时更新推广应用先进适用安全生产工艺和技术装备，提高安全生产保障能力。企业要加强从业人员劳动保护，配齐并督促从业人员正确佩戴和使用符合国家或行业标准的安全防护用品。</w:t>
            </w:r>
          </w:p>
          <w:p>
            <w:pPr>
              <w:widowControl/>
              <w:jc w:val="center"/>
              <w:rPr>
                <w:rFonts w:hint="eastAsia" w:ascii="仿宋_GB2312" w:hAnsi="宋体" w:eastAsia="仿宋_GB2312" w:cs="宋体"/>
                <w:color w:val="000000"/>
                <w:kern w:val="0"/>
                <w:szCs w:val="21"/>
              </w:rPr>
            </w:pPr>
          </w:p>
        </w:tc>
        <w:tc>
          <w:tcPr>
            <w:tcW w:w="1277"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2644"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发展改革委、市教育局、市民政局、市工信局、市公安局、市交通运输局、市生态环境局、市住建局、市自然资源和规划局、市农业农村局、市商务局、市水利局、市林业局、市文旅广体局、市卫健委、市应急管理局、市市场监管局、市国资委、市城管执法局、市消防救援支队、市公安交警支队、市邮政管理局等负有安全生产监管职责的部门负责督促指导，相关企业负责落实</w:t>
            </w:r>
          </w:p>
        </w:tc>
        <w:tc>
          <w:tcPr>
            <w:tcW w:w="1418"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p>
        </w:tc>
      </w:tr>
      <w:tr>
        <w:tblPrEx>
          <w:tblCellMar>
            <w:top w:w="0" w:type="dxa"/>
            <w:left w:w="108" w:type="dxa"/>
            <w:bottom w:w="0" w:type="dxa"/>
            <w:right w:w="108" w:type="dxa"/>
          </w:tblCellMar>
        </w:tblPrEx>
        <w:trPr>
          <w:trHeight w:val="4230"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901" w:type="dxa"/>
            <w:gridSpan w:val="2"/>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hint="eastAsia" w:ascii="仿宋_GB2312" w:hAnsi="宋体" w:eastAsia="仿宋_GB2312" w:cs="宋体"/>
                <w:color w:val="000000"/>
                <w:kern w:val="0"/>
                <w:szCs w:val="21"/>
              </w:rPr>
            </w:pPr>
            <w:r>
              <w:rPr>
                <w:rFonts w:hint="eastAsia" w:ascii="仿宋_GB2312" w:hAnsi="宋体" w:eastAsia="仿宋_GB2312"/>
                <w:b/>
                <w:color w:val="000000"/>
                <w:szCs w:val="21"/>
              </w:rPr>
              <w:t>强化安全教育培训。</w:t>
            </w:r>
            <w:r>
              <w:rPr>
                <w:rFonts w:hint="eastAsia" w:ascii="仿宋_GB2312" w:hAnsi="宋体" w:eastAsia="仿宋_GB2312"/>
                <w:color w:val="000000"/>
                <w:szCs w:val="21"/>
              </w:rPr>
              <w:t>企业要建立健全安全教育培训制度，将企业职工以及被派遣劳动者、外包施工队伍人员统一纳入培训范围，对从业人员进行安全生产教育和培训，保证从业人员具备必要的安全生产知识，熟悉安全生产规章制度和操作规程，掌握岗位操作技能和应急处置措施，未取得特种作业操作证和未经安全生产教育培训合格的从业人员，不得上岗作业。在危险化学品“两重点一重大”装置操作、矿山井下作业、油气管道带压开孔、金属冶炼煤气作业等风险偏高的技能操作型岗位新招录员工中，推行企业新型学徒制，实行“入企即入校”企校合作培养培训，按规定给予职业技能培训补贴。同时，充分利用国家职业技能提升行动支持政策，加强企业安全人才培养。2022年底前，市属以上重点行业领域主要依托现有职业院校（技工院校）加强人员培训，实现重点岗位人员“变招工为招生”，80%以上的重点岗位职工完成职业技能晋级培训。</w:t>
            </w:r>
          </w:p>
        </w:tc>
        <w:tc>
          <w:tcPr>
            <w:tcW w:w="1277" w:type="dxa"/>
            <w:tcBorders>
              <w:top w:val="single" w:color="auto" w:sz="4" w:space="0"/>
              <w:left w:val="nil"/>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2644" w:type="dxa"/>
            <w:tcBorders>
              <w:top w:val="single" w:color="auto" w:sz="4" w:space="0"/>
              <w:left w:val="nil"/>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发展改革委、市人社局、市应急管理局、市交通运输局、市住建局、市自然资源和规划局、市农业农村局、市水利局、市林业局、市市场监管局、市国资委、市消防救援支队、市公安交警支队等负有安全生产监管职责的部门负责督促指导，相关企业负责落实</w:t>
            </w:r>
          </w:p>
        </w:tc>
        <w:tc>
          <w:tcPr>
            <w:tcW w:w="1418" w:type="dxa"/>
            <w:tcBorders>
              <w:top w:val="single" w:color="auto" w:sz="4" w:space="0"/>
              <w:left w:val="nil"/>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olor w:val="000000"/>
                <w:szCs w:val="21"/>
              </w:rPr>
              <w:t>2022年底前</w:t>
            </w:r>
          </w:p>
        </w:tc>
      </w:tr>
      <w:tr>
        <w:tblPrEx>
          <w:tblCellMar>
            <w:top w:w="0" w:type="dxa"/>
            <w:left w:w="108" w:type="dxa"/>
            <w:bottom w:w="0" w:type="dxa"/>
            <w:right w:w="108" w:type="dxa"/>
          </w:tblCellMar>
        </w:tblPrEx>
        <w:trPr>
          <w:trHeight w:val="408" w:hRule="atLeast"/>
        </w:trPr>
        <w:tc>
          <w:tcPr>
            <w:tcW w:w="80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901"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b/>
                <w:color w:val="000000"/>
                <w:szCs w:val="21"/>
              </w:rPr>
              <w:t>持续推进企业安全生产标准化建设。</w:t>
            </w:r>
            <w:r>
              <w:rPr>
                <w:rFonts w:hint="eastAsia" w:ascii="仿宋_GB2312" w:hAnsi="宋体" w:eastAsia="仿宋_GB2312"/>
                <w:color w:val="000000"/>
                <w:szCs w:val="21"/>
              </w:rPr>
              <w:t>各类企业要按照《企业安全生产标准化基本规范》（GB/T 33000-2016）和行业专业标准化评定标准的要求自主建设，从目标职责、制度化管理、教育培训、现场管理、安全风险管控、隐患排查治理、应急管理、事故管理和持续改进等八个方面，建立与企业日常安全管理相适应、以安全生产标准化为重点的企业自主安全生产管理体系，实现安全生产现场管理、操作行为、设备设施和作业环境规范化。企业要在安全生产标准化建设、运行过程中，根据人、物、管理和时空环境等因素变化，持续改进风险管控和隐患排查治理工作，有效提升企业安全管理水平。</w:t>
            </w:r>
            <w:r>
              <w:rPr>
                <w:rFonts w:hint="eastAsia" w:ascii="仿宋_GB2312" w:hAnsi="宋体" w:eastAsia="仿宋_GB2312"/>
                <w:b/>
                <w:color w:val="000000"/>
                <w:szCs w:val="21"/>
              </w:rPr>
              <w:t>2022年底前，高危行业及规模以上企业均应完成安全生产标准化自评工作。</w:t>
            </w:r>
          </w:p>
        </w:tc>
        <w:tc>
          <w:tcPr>
            <w:tcW w:w="127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26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市工信局、市交通运输局、市住建局、市自然资源和规划局、市水利局、市林业局、市市场监管局、市国资委、市消防救援支队、市公安交警支队等负有安全生产监管职责的部门负责督促指导，相关企业负责落实</w:t>
            </w:r>
          </w:p>
        </w:tc>
        <w:tc>
          <w:tcPr>
            <w:tcW w:w="1418"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2449" w:hRule="atLeast"/>
        </w:trPr>
        <w:tc>
          <w:tcPr>
            <w:tcW w:w="1233"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475"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hint="eastAsia" w:ascii="仿宋_GB2312" w:hAnsi="宋体" w:eastAsia="仿宋_GB2312"/>
                <w:color w:val="000000"/>
                <w:szCs w:val="21"/>
              </w:rPr>
            </w:pPr>
            <w:r>
              <w:rPr>
                <w:rFonts w:hint="eastAsia" w:ascii="仿宋_GB2312" w:hAnsi="宋体" w:eastAsia="仿宋_GB2312"/>
                <w:b/>
                <w:color w:val="000000"/>
                <w:szCs w:val="21"/>
              </w:rPr>
              <w:t>建立企业安全风险辨识评估制度。</w:t>
            </w:r>
            <w:r>
              <w:rPr>
                <w:rFonts w:hint="eastAsia" w:ascii="仿宋_GB2312" w:hAnsi="宋体" w:eastAsia="仿宋_GB2312"/>
                <w:color w:val="000000"/>
                <w:szCs w:val="21"/>
              </w:rPr>
              <w:t>企业要按照有关法律法规标准，针对本企业类型和特点，</w:t>
            </w:r>
            <w:r>
              <w:rPr>
                <w:rFonts w:hint="eastAsia" w:ascii="仿宋_GB2312" w:hAnsi="宋体" w:eastAsia="仿宋_GB2312"/>
                <w:color w:val="000000"/>
                <w:kern w:val="0"/>
                <w:szCs w:val="21"/>
              </w:rPr>
              <w:t>建立和完善安全风险研判责任体系，明确企业负责人、部门负责人、作业人员岗位风险排查工作职责。科学制定安全风险识别程序和方法，</w:t>
            </w:r>
            <w:r>
              <w:rPr>
                <w:rFonts w:hint="eastAsia" w:ascii="仿宋_GB2312" w:hAnsi="宋体" w:eastAsia="仿宋_GB2312"/>
                <w:color w:val="000000"/>
                <w:szCs w:val="21"/>
              </w:rPr>
              <w:t>定期组织专业力量全方位、全过程辨识生产工艺、设备设施、作业环境、人员行为和管理体系等方面存在的安全风险，开展双重预防体系运行情况评估。按照有关标准规范对识辨出的安全风险进行分类、梳理、评估，</w:t>
            </w:r>
            <w:r>
              <w:rPr>
                <w:rFonts w:hint="eastAsia" w:ascii="仿宋_GB2312" w:hAnsi="宋体" w:eastAsia="仿宋_GB2312"/>
                <w:b/>
                <w:color w:val="000000"/>
                <w:kern w:val="0"/>
                <w:szCs w:val="21"/>
              </w:rPr>
              <w:t>加强动态分级管理，制定企业“红、橙、黄、蓝”（重大风险、较大风险、一般风险和低风险）分布图，科学确定安全风险类别和等级，实现“一企一清单”</w:t>
            </w:r>
            <w:r>
              <w:rPr>
                <w:rFonts w:hint="eastAsia" w:ascii="仿宋_GB2312" w:hAnsi="宋体" w:eastAsia="仿宋_GB2312"/>
                <w:b/>
                <w:color w:val="000000"/>
                <w:szCs w:val="21"/>
              </w:rPr>
              <w:t>。</w:t>
            </w:r>
          </w:p>
          <w:p>
            <w:pPr>
              <w:adjustRightInd w:val="0"/>
              <w:snapToGrid w:val="0"/>
              <w:spacing w:line="280" w:lineRule="exact"/>
              <w:rPr>
                <w:rFonts w:hint="eastAsia" w:ascii="仿宋_GB2312" w:hAnsi="宋体" w:eastAsia="仿宋_GB2312" w:cs="宋体"/>
                <w:color w:val="000000"/>
                <w:kern w:val="0"/>
                <w:szCs w:val="21"/>
              </w:rPr>
            </w:pPr>
          </w:p>
        </w:tc>
        <w:tc>
          <w:tcPr>
            <w:tcW w:w="127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264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工信局、市应急管理局、市交通运输局、市住建局、市自然资源和规划局、市水利局、市林业局、市市场监管局、市国资委、市消防救援支队、市公安交警支队等负有安全生产监管职责的部门负责督促指导，相关企业负责落实</w:t>
            </w:r>
          </w:p>
        </w:tc>
        <w:tc>
          <w:tcPr>
            <w:tcW w:w="1418"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2020年底前</w:t>
            </w:r>
          </w:p>
        </w:tc>
      </w:tr>
      <w:tr>
        <w:tblPrEx>
          <w:tblCellMar>
            <w:top w:w="0" w:type="dxa"/>
            <w:left w:w="108" w:type="dxa"/>
            <w:bottom w:w="0" w:type="dxa"/>
            <w:right w:w="108" w:type="dxa"/>
          </w:tblCellMar>
        </w:tblPrEx>
        <w:trPr>
          <w:trHeight w:val="2550" w:hRule="atLeast"/>
        </w:trPr>
        <w:tc>
          <w:tcPr>
            <w:tcW w:w="1233" w:type="dxa"/>
            <w:gridSpan w:val="2"/>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475" w:type="dxa"/>
            <w:vMerge w:val="restart"/>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hint="eastAsia" w:ascii="仿宋_GB2312" w:hAnsi="宋体" w:eastAsia="仿宋_GB2312"/>
                <w:b/>
                <w:color w:val="000000"/>
                <w:szCs w:val="21"/>
              </w:rPr>
            </w:pPr>
            <w:r>
              <w:rPr>
                <w:rFonts w:hint="eastAsia" w:ascii="仿宋_GB2312" w:hAnsi="宋体" w:eastAsia="仿宋_GB2312"/>
                <w:b/>
                <w:color w:val="000000"/>
                <w:szCs w:val="21"/>
              </w:rPr>
              <w:t>建立安全风险管控制度。</w:t>
            </w:r>
            <w:r>
              <w:rPr>
                <w:rFonts w:hint="eastAsia" w:ascii="仿宋_GB2312" w:hAnsi="宋体" w:eastAsia="仿宋_GB2312"/>
                <w:color w:val="000000"/>
                <w:szCs w:val="21"/>
              </w:rPr>
              <w:t>企业要根据风险评估结果，对安全风险分级分类进行管理，逐一落实企业、车间、班组和岗位管控责任，从组织、制度、技术、应急等方面对安全风险进行有效管控，达到回避、降低和监测风险的目的。健全完善企业安全风险管控体系，落实企业安全风险全员、全方位、全过程辨识以及分类梳理、评估定级、登记建档、分级管控、公告警示、监测预警等制度，建立企业安全风险数据库，绘制安全风险空间分布图，落实企业、车间、班组和岗位的管控责任，强化对重大危险源和存在重大安全风险的生产经营系统、生产区域、岗位的动态管控。针对高危工艺、设备、物品、场所和岗位等重点环节，高度关注运营状况和危险源变化后的风险状况，动态评估、调整风险等级和管控措施，确保安全风险始终处于受控范围内。</w:t>
            </w:r>
            <w:r>
              <w:rPr>
                <w:rFonts w:hint="eastAsia" w:ascii="仿宋_GB2312" w:hAnsi="宋体" w:eastAsia="仿宋_GB2312"/>
                <w:b/>
                <w:color w:val="000000"/>
                <w:szCs w:val="21"/>
              </w:rPr>
              <w:t>2021年底前，各类企业要建立起完善的安全风险管控制度。</w:t>
            </w:r>
          </w:p>
          <w:p>
            <w:pPr>
              <w:adjustRightInd w:val="0"/>
              <w:snapToGrid w:val="0"/>
              <w:spacing w:line="280" w:lineRule="exact"/>
              <w:rPr>
                <w:rFonts w:hint="eastAsia" w:ascii="仿宋_GB2312" w:hAnsi="宋体" w:eastAsia="仿宋_GB2312"/>
                <w:b/>
                <w:color w:val="000000"/>
                <w:szCs w:val="21"/>
              </w:rPr>
            </w:pPr>
            <w:r>
              <w:rPr>
                <w:rFonts w:hint="eastAsia" w:ascii="仿宋_GB2312" w:hAnsi="宋体" w:eastAsia="仿宋_GB2312"/>
                <w:b/>
                <w:color w:val="000000"/>
                <w:szCs w:val="21"/>
              </w:rPr>
              <w:t>加快安全生产风险监测系统建设。2022年底前，全市所有高危行业企业和重大危险源企业全部纳入联网监控，实现互联互通，分级管控。</w:t>
            </w:r>
          </w:p>
          <w:p>
            <w:pPr>
              <w:adjustRightInd w:val="0"/>
              <w:snapToGrid w:val="0"/>
              <w:spacing w:line="280" w:lineRule="exact"/>
              <w:rPr>
                <w:rFonts w:hint="eastAsia" w:ascii="仿宋_GB2312" w:hAnsi="宋体" w:eastAsia="仿宋_GB2312" w:cs="宋体"/>
                <w:color w:val="000000"/>
                <w:kern w:val="0"/>
                <w:szCs w:val="21"/>
              </w:rPr>
            </w:pPr>
          </w:p>
        </w:tc>
        <w:tc>
          <w:tcPr>
            <w:tcW w:w="1277" w:type="dxa"/>
            <w:vMerge w:val="restart"/>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2644" w:type="dxa"/>
            <w:vMerge w:val="restart"/>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工信局、市应急管理局、市交通运输局、市住建局、市自然资源和规划局、市水利局、市林业局、市市场监管局、市国资委、市消防救援支队、市公安交警支队等负有安全生产监管职责的部门负责督促指导，相关企业负责落实</w:t>
            </w:r>
          </w:p>
        </w:tc>
        <w:tc>
          <w:tcPr>
            <w:tcW w:w="1418"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olor w:val="000000"/>
                <w:szCs w:val="21"/>
              </w:rPr>
              <w:t>2021年底前</w:t>
            </w:r>
          </w:p>
        </w:tc>
      </w:tr>
      <w:tr>
        <w:tblPrEx>
          <w:tblCellMar>
            <w:top w:w="0" w:type="dxa"/>
            <w:left w:w="108" w:type="dxa"/>
            <w:bottom w:w="0" w:type="dxa"/>
            <w:right w:w="108" w:type="dxa"/>
          </w:tblCellMar>
        </w:tblPrEx>
        <w:trPr>
          <w:trHeight w:val="2755" w:hRule="atLeast"/>
        </w:trPr>
        <w:tc>
          <w:tcPr>
            <w:tcW w:w="1233" w:type="dxa"/>
            <w:gridSpan w:val="2"/>
            <w:vMerge w:val="continue"/>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rPr>
                <w:rFonts w:hint="eastAsia" w:ascii="仿宋_GB2312" w:hAnsi="宋体" w:eastAsia="仿宋_GB2312" w:cs="宋体"/>
                <w:color w:val="000000"/>
                <w:kern w:val="0"/>
                <w:szCs w:val="21"/>
              </w:rPr>
            </w:pPr>
          </w:p>
        </w:tc>
        <w:tc>
          <w:tcPr>
            <w:tcW w:w="7475" w:type="dxa"/>
            <w:vMerge w:val="continue"/>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hint="eastAsia" w:ascii="仿宋_GB2312" w:hAnsi="宋体" w:eastAsia="仿宋_GB2312"/>
                <w:color w:val="000000"/>
                <w:szCs w:val="21"/>
              </w:rPr>
            </w:pPr>
          </w:p>
        </w:tc>
        <w:tc>
          <w:tcPr>
            <w:tcW w:w="1277" w:type="dxa"/>
            <w:vMerge w:val="continue"/>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p>
        </w:tc>
        <w:tc>
          <w:tcPr>
            <w:tcW w:w="2644" w:type="dxa"/>
            <w:vMerge w:val="continue"/>
            <w:tcBorders>
              <w:top w:val="single" w:color="auto" w:sz="4" w:space="0"/>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kern w:val="0"/>
                <w:szCs w:val="21"/>
              </w:rPr>
            </w:pPr>
          </w:p>
        </w:tc>
        <w:tc>
          <w:tcPr>
            <w:tcW w:w="1418"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2022年底前</w:t>
            </w:r>
          </w:p>
        </w:tc>
      </w:tr>
      <w:tr>
        <w:tblPrEx>
          <w:tblCellMar>
            <w:top w:w="0" w:type="dxa"/>
            <w:left w:w="108" w:type="dxa"/>
            <w:bottom w:w="0" w:type="dxa"/>
            <w:right w:w="108" w:type="dxa"/>
          </w:tblCellMar>
        </w:tblPrEx>
        <w:trPr>
          <w:trHeight w:val="2400" w:hRule="atLeast"/>
        </w:trPr>
        <w:tc>
          <w:tcPr>
            <w:tcW w:w="1233" w:type="dxa"/>
            <w:gridSpan w:val="2"/>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475"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exact"/>
              <w:rPr>
                <w:rFonts w:hint="eastAsia" w:ascii="仿宋_GB2312" w:hAnsi="宋体" w:eastAsia="仿宋_GB2312"/>
                <w:color w:val="000000"/>
                <w:szCs w:val="21"/>
              </w:rPr>
            </w:pPr>
            <w:r>
              <w:rPr>
                <w:rFonts w:hint="eastAsia" w:ascii="仿宋_GB2312" w:hAnsi="宋体" w:eastAsia="仿宋_GB2312"/>
                <w:b/>
                <w:color w:val="000000"/>
                <w:szCs w:val="21"/>
              </w:rPr>
              <w:t>建立安全风险警示报告制度。</w:t>
            </w:r>
            <w:r>
              <w:rPr>
                <w:rFonts w:hint="eastAsia" w:ascii="仿宋_GB2312" w:hAnsi="宋体" w:eastAsia="仿宋_GB2312"/>
                <w:color w:val="000000"/>
                <w:kern w:val="0"/>
                <w:szCs w:val="21"/>
              </w:rPr>
              <w:t>企业要在醒目位置和重点区域分别设置安全风险公告栏，制作岗位风险告知卡，确保每名员工都能掌握安全风险的基本情况及防范、应急措施。对存在重大安全风险的工作场所和岗位，要设置明显警示标志，并强化危险源监测和预警。企业要依据有关法律法规要求，明确风险管控和报告流程，建立健全安全生产风险报告制度，接受政府监管和社会监督。企业主要负责人对本单位安全风险管控和报告工作全面负责，要按照安全风险管控制度的要求，对辨识出的安全风险，建立台账清单，定期向相关监管部门报送。</w:t>
            </w:r>
          </w:p>
        </w:tc>
        <w:tc>
          <w:tcPr>
            <w:tcW w:w="1277"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2644" w:type="dxa"/>
            <w:tcBorders>
              <w:top w:val="single" w:color="auto" w:sz="4" w:space="0"/>
              <w:left w:val="nil"/>
              <w:bottom w:val="single" w:color="auto" w:sz="4" w:space="0"/>
              <w:right w:val="single" w:color="auto" w:sz="4" w:space="0"/>
            </w:tcBorders>
            <w:noWrap w:val="0"/>
            <w:vAlign w:val="center"/>
          </w:tcPr>
          <w:p>
            <w:pPr>
              <w:adjustRightInd w:val="0"/>
              <w:snapToGrid w:val="0"/>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市发展改革委、市教育局、市民政局、市生态环境局、市农业农村局、</w:t>
            </w:r>
            <w:r>
              <w:rPr>
                <w:rFonts w:hint="eastAsia" w:ascii="仿宋_GB2312" w:hAnsi="宋体" w:eastAsia="仿宋_GB2312" w:cs="宋体"/>
                <w:color w:val="000000"/>
                <w:kern w:val="0"/>
                <w:szCs w:val="21"/>
              </w:rPr>
              <w:t>市应急管理局、市交通运输局、市住建局、市自然资源和规划局、市水利局、市公安局、市教育局、市商务局、市文旅广体局、市城管执法局、市林业局、市市场监管局、市卫健委、市国资委、市消防救援支队、市公安交警支队、市邮政管理局等负有安全生产监管职责的部门以及各地政府、各企业负责落实</w:t>
            </w:r>
          </w:p>
          <w:p>
            <w:pPr>
              <w:jc w:val="center"/>
              <w:rPr>
                <w:rFonts w:hint="eastAsia" w:ascii="仿宋_GB2312" w:hAnsi="宋体" w:eastAsia="仿宋_GB2312" w:cs="宋体"/>
                <w:color w:val="000000"/>
                <w:kern w:val="0"/>
                <w:szCs w:val="21"/>
              </w:rPr>
            </w:pPr>
          </w:p>
        </w:tc>
        <w:tc>
          <w:tcPr>
            <w:tcW w:w="1418" w:type="dxa"/>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宋体"/>
                <w:color w:val="000000"/>
                <w:kern w:val="0"/>
                <w:szCs w:val="21"/>
              </w:rPr>
            </w:pPr>
            <w:r>
              <w:rPr>
                <w:rFonts w:hint="eastAsia" w:ascii="仿宋_GB2312" w:hAnsi="宋体" w:eastAsia="仿宋_GB2312"/>
                <w:color w:val="000000"/>
                <w:szCs w:val="21"/>
              </w:rPr>
              <w:t>2021年底前</w:t>
            </w:r>
          </w:p>
        </w:tc>
      </w:tr>
      <w:tr>
        <w:tblPrEx>
          <w:tblCellMar>
            <w:top w:w="0" w:type="dxa"/>
            <w:left w:w="108" w:type="dxa"/>
            <w:bottom w:w="0" w:type="dxa"/>
            <w:right w:w="108" w:type="dxa"/>
          </w:tblCellMar>
        </w:tblPrEx>
        <w:trPr>
          <w:trHeight w:val="975" w:hRule="atLeast"/>
        </w:trPr>
        <w:tc>
          <w:tcPr>
            <w:tcW w:w="1233" w:type="dxa"/>
            <w:gridSpan w:val="2"/>
            <w:tcBorders>
              <w:top w:val="single" w:color="auto" w:sz="4" w:space="0"/>
              <w:left w:val="single" w:color="auto" w:sz="4" w:space="0"/>
              <w:bottom w:val="single" w:color="auto" w:sz="4" w:space="0"/>
              <w:right w:val="single" w:color="auto" w:sz="6" w:space="0"/>
            </w:tcBorders>
            <w:noWrap/>
            <w:vAlign w:val="center"/>
          </w:tcPr>
          <w:p>
            <w:pPr>
              <w:adjustRightInd w:val="0"/>
              <w:snapToGrid w:val="0"/>
              <w:spacing w:line="24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11</w:t>
            </w:r>
          </w:p>
        </w:tc>
        <w:tc>
          <w:tcPr>
            <w:tcW w:w="7475" w:type="dxa"/>
            <w:tcBorders>
              <w:top w:val="single" w:color="auto" w:sz="4" w:space="0"/>
              <w:left w:val="single" w:color="auto" w:sz="6" w:space="0"/>
              <w:bottom w:val="single" w:color="auto" w:sz="4" w:space="0"/>
              <w:right w:val="single" w:color="auto" w:sz="6" w:space="0"/>
            </w:tcBorders>
            <w:noWrap w:val="0"/>
            <w:vAlign w:val="center"/>
          </w:tcPr>
          <w:p>
            <w:pPr>
              <w:adjustRightInd w:val="0"/>
              <w:snapToGrid w:val="0"/>
              <w:spacing w:line="280" w:lineRule="exact"/>
              <w:rPr>
                <w:rFonts w:hint="eastAsia" w:ascii="仿宋_GB2312" w:hAnsi="宋体" w:eastAsia="仿宋_GB2312"/>
                <w:b/>
                <w:color w:val="000000"/>
                <w:szCs w:val="21"/>
              </w:rPr>
            </w:pPr>
            <w:r>
              <w:rPr>
                <w:rFonts w:hint="eastAsia" w:ascii="仿宋_GB2312" w:hAnsi="宋体" w:eastAsia="仿宋_GB2312"/>
                <w:b/>
                <w:color w:val="000000"/>
                <w:szCs w:val="21"/>
              </w:rPr>
              <w:t>加强安全隐患排查。</w:t>
            </w:r>
            <w:r>
              <w:rPr>
                <w:rFonts w:hint="eastAsia" w:ascii="仿宋_GB2312" w:hAnsi="宋体" w:eastAsia="仿宋_GB2312"/>
                <w:color w:val="000000"/>
                <w:szCs w:val="21"/>
              </w:rPr>
              <w:t>企业要建立健全以风险辨识管控为基础，建立班组班前、班中、班后安全生产检查（即“一班三检”）、重点对象和重点部位安全生产检查（即“点检”）、作业区域安全生产巡查（即“巡检”），车间周安全生产检查、月安全生产大检查，企业月安全生产检查、季安全生产大检查、复工复产前安全生产大检查等例检制度为补充的隐患排查治理制度，制定符合企业实际的隐患排查治理清单，完善隐患排查、治理、记录、通报、报告等重点环节的程序、方法和标准，明确和细化隐患排查的事项、内容和频次，并将责任逐一分解落实，推动全员参与自主排查隐患。</w:t>
            </w:r>
            <w:r>
              <w:rPr>
                <w:rFonts w:hint="eastAsia" w:ascii="仿宋_GB2312" w:hAnsi="宋体" w:eastAsia="仿宋_GB2312"/>
                <w:b/>
                <w:color w:val="000000"/>
                <w:szCs w:val="21"/>
              </w:rPr>
              <w:t>企业要按照国家有关规定，通过与政府部门互联互通的隐患排查治理信息系统等方式，及时向负有安全生产监督管理职责的部门和企业职代会“双报告”风险管控和隐患排查治理情况。</w:t>
            </w:r>
          </w:p>
          <w:p>
            <w:pPr>
              <w:adjustRightInd w:val="0"/>
              <w:snapToGrid w:val="0"/>
              <w:spacing w:line="240" w:lineRule="exact"/>
              <w:rPr>
                <w:rFonts w:hint="eastAsia" w:ascii="仿宋_GB2312" w:hAnsi="宋体" w:eastAsia="仿宋_GB2312"/>
                <w:color w:val="000000"/>
                <w:szCs w:val="21"/>
              </w:rPr>
            </w:pPr>
          </w:p>
        </w:tc>
        <w:tc>
          <w:tcPr>
            <w:tcW w:w="1277" w:type="dxa"/>
            <w:tcBorders>
              <w:top w:val="single" w:color="auto" w:sz="4" w:space="0"/>
              <w:left w:val="single" w:color="auto" w:sz="6" w:space="0"/>
              <w:bottom w:val="single" w:color="auto" w:sz="4" w:space="0"/>
              <w:right w:val="single" w:color="auto" w:sz="6"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2644" w:type="dxa"/>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市发展改革委、市教育局、市民政局、市生态环境局、市农业农村局、</w:t>
            </w:r>
            <w:r>
              <w:rPr>
                <w:rFonts w:hint="eastAsia" w:ascii="仿宋_GB2312" w:hAnsi="宋体" w:eastAsia="仿宋_GB2312" w:cs="宋体"/>
                <w:color w:val="000000"/>
                <w:kern w:val="0"/>
                <w:szCs w:val="21"/>
              </w:rPr>
              <w:t>市应急管理局、市交通运输局、市住建局、市自然资源和规划局、市水利局、市公安局、市教育局、市商务局、市文旅广体局、市城管执法局、市林业局、市市场监管局、市卫健委、市国资委、市消防救援支队、市公安交警支队、市邮政管理局等负有安全生产监管职责的部门以及各地政府、各企业负责落实</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2020年底前</w:t>
            </w:r>
          </w:p>
        </w:tc>
      </w:tr>
      <w:tr>
        <w:tblPrEx>
          <w:tblCellMar>
            <w:top w:w="0" w:type="dxa"/>
            <w:left w:w="108" w:type="dxa"/>
            <w:bottom w:w="0" w:type="dxa"/>
            <w:right w:w="108" w:type="dxa"/>
          </w:tblCellMar>
        </w:tblPrEx>
        <w:trPr>
          <w:trHeight w:val="2220" w:hRule="atLeast"/>
        </w:trPr>
        <w:tc>
          <w:tcPr>
            <w:tcW w:w="1233" w:type="dxa"/>
            <w:gridSpan w:val="2"/>
            <w:vMerge w:val="restart"/>
            <w:tcBorders>
              <w:top w:val="single" w:color="auto" w:sz="4" w:space="0"/>
              <w:left w:val="single" w:color="auto" w:sz="4" w:space="0"/>
              <w:right w:val="single" w:color="auto" w:sz="6" w:space="0"/>
            </w:tcBorders>
            <w:noWrap/>
            <w:vAlign w:val="center"/>
          </w:tcPr>
          <w:p>
            <w:pPr>
              <w:adjustRightInd w:val="0"/>
              <w:snapToGrid w:val="0"/>
              <w:spacing w:line="24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12</w:t>
            </w:r>
          </w:p>
        </w:tc>
        <w:tc>
          <w:tcPr>
            <w:tcW w:w="7475" w:type="dxa"/>
            <w:vMerge w:val="restart"/>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280" w:lineRule="exact"/>
              <w:rPr>
                <w:rFonts w:hint="eastAsia" w:ascii="仿宋_GB2312" w:hAnsi="宋体" w:eastAsia="仿宋_GB2312"/>
                <w:b/>
                <w:color w:val="000000"/>
                <w:szCs w:val="21"/>
              </w:rPr>
            </w:pPr>
            <w:r>
              <w:rPr>
                <w:rFonts w:hint="eastAsia" w:ascii="仿宋_GB2312" w:hAnsi="宋体" w:eastAsia="仿宋_GB2312"/>
                <w:b/>
                <w:color w:val="000000"/>
                <w:szCs w:val="21"/>
              </w:rPr>
              <w:t>严格落实治理措施。</w:t>
            </w:r>
            <w:r>
              <w:rPr>
                <w:rFonts w:hint="eastAsia" w:ascii="仿宋_GB2312" w:hAnsi="宋体" w:eastAsia="仿宋_GB2312"/>
                <w:color w:val="000000"/>
                <w:szCs w:val="21"/>
              </w:rPr>
              <w:t>企业要按照有关行业重大事故隐患判定标准，加强对重大事故隐患治理，并向负有监管职责的部门报告；制定并实施严格的隐患治理方案，做到责任、措施、资金、时限和预案“五到位”，实现闭环管理。对属于重大事故隐患的，严格按照“一单四制”要求进行管理。企业要建立事故隐患举报奖励制度，鼓励员工发现和举报事故隐患。</w:t>
            </w:r>
            <w:r>
              <w:rPr>
                <w:rFonts w:hint="eastAsia" w:ascii="仿宋_GB2312" w:hAnsi="宋体" w:eastAsia="仿宋_GB2312"/>
                <w:b/>
                <w:color w:val="000000"/>
                <w:szCs w:val="21"/>
              </w:rPr>
              <w:t>2020年底前，企业建立起完善的隐患排查治理制度。</w:t>
            </w:r>
          </w:p>
          <w:p>
            <w:pPr>
              <w:adjustRightInd w:val="0"/>
              <w:snapToGrid w:val="0"/>
              <w:spacing w:line="280" w:lineRule="exact"/>
              <w:rPr>
                <w:rFonts w:hint="eastAsia" w:ascii="仿宋_GB2312" w:hAnsi="宋体" w:eastAsia="仿宋_GB2312"/>
                <w:color w:val="000000"/>
                <w:szCs w:val="21"/>
              </w:rPr>
            </w:pPr>
            <w:r>
              <w:rPr>
                <w:rFonts w:hint="eastAsia" w:ascii="仿宋_GB2312" w:hAnsi="宋体" w:eastAsia="仿宋_GB2312"/>
                <w:b/>
                <w:color w:val="000000"/>
                <w:szCs w:val="21"/>
              </w:rPr>
              <w:t>2021年底前，各地区和各类企业要建立完善隐患排查治理“一张网”信息化管理系统，做到自查自改自报，实现动态分析、全过程记录管理和评价，防止漏管失控；2022年底前，企业隐患排查治理全面走向制度、规范化轨道。</w:t>
            </w:r>
          </w:p>
          <w:p>
            <w:pPr>
              <w:adjustRightInd w:val="0"/>
              <w:snapToGrid w:val="0"/>
              <w:spacing w:line="240" w:lineRule="exact"/>
              <w:rPr>
                <w:rFonts w:hint="eastAsia" w:ascii="仿宋_GB2312" w:hAnsi="宋体" w:eastAsia="仿宋_GB2312"/>
                <w:color w:val="000000"/>
                <w:szCs w:val="21"/>
              </w:rPr>
            </w:pPr>
          </w:p>
        </w:tc>
        <w:tc>
          <w:tcPr>
            <w:tcW w:w="1277" w:type="dxa"/>
            <w:vMerge w:val="restart"/>
            <w:tcBorders>
              <w:top w:val="single" w:color="auto" w:sz="6" w:space="0"/>
              <w:left w:val="single" w:color="auto" w:sz="6" w:space="0"/>
              <w:bottom w:val="single" w:color="auto" w:sz="4" w:space="0"/>
              <w:right w:val="single" w:color="auto" w:sz="6"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2644" w:type="dxa"/>
            <w:vMerge w:val="restart"/>
            <w:tcBorders>
              <w:top w:val="single" w:color="auto" w:sz="6" w:space="0"/>
              <w:left w:val="single" w:color="auto" w:sz="6" w:space="0"/>
              <w:bottom w:val="single" w:color="auto" w:sz="4" w:space="0"/>
              <w:right w:val="single" w:color="auto" w:sz="4" w:space="0"/>
            </w:tcBorders>
            <w:noWrap w:val="0"/>
            <w:vAlign w:val="center"/>
          </w:tcPr>
          <w:p>
            <w:pPr>
              <w:adjustRightInd w:val="0"/>
              <w:snapToGrid w:val="0"/>
              <w:spacing w:line="280" w:lineRule="exact"/>
              <w:rPr>
                <w:rFonts w:hint="eastAsia" w:ascii="仿宋_GB2312" w:hAnsi="宋体" w:eastAsia="仿宋_GB2312"/>
                <w:color w:val="000000"/>
                <w:szCs w:val="21"/>
              </w:rPr>
            </w:pPr>
            <w:r>
              <w:rPr>
                <w:rFonts w:hint="eastAsia" w:ascii="仿宋_GB2312" w:hAnsi="宋体" w:eastAsia="仿宋_GB2312"/>
                <w:color w:val="000000"/>
                <w:szCs w:val="21"/>
              </w:rPr>
              <w:t>市发展改革委、市教育局、市民政局、市生态环境局、市农业农村局、</w:t>
            </w:r>
            <w:r>
              <w:rPr>
                <w:rFonts w:hint="eastAsia" w:ascii="仿宋_GB2312" w:hAnsi="宋体" w:eastAsia="仿宋_GB2312" w:cs="宋体"/>
                <w:color w:val="000000"/>
                <w:kern w:val="0"/>
                <w:szCs w:val="21"/>
              </w:rPr>
              <w:t>市应急管理局、市交通运输局、市住建局、市自然资源和规划局、市水利局、市公安局、市教育局、市商务局、市文旅广体局、市城管执法局、市林业局、市市场监管局、市卫健委、市国资委、市消防救援支队、市公安交警支队、市邮政管理局等负有安全生产监管职责的部门以及各地政府、各企业负责落实</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2020年底前</w:t>
            </w:r>
          </w:p>
        </w:tc>
      </w:tr>
      <w:tr>
        <w:tblPrEx>
          <w:tblCellMar>
            <w:top w:w="0" w:type="dxa"/>
            <w:left w:w="108" w:type="dxa"/>
            <w:bottom w:w="0" w:type="dxa"/>
            <w:right w:w="108" w:type="dxa"/>
          </w:tblCellMar>
        </w:tblPrEx>
        <w:trPr>
          <w:trHeight w:val="1870" w:hRule="atLeast"/>
        </w:trPr>
        <w:tc>
          <w:tcPr>
            <w:tcW w:w="1233" w:type="dxa"/>
            <w:gridSpan w:val="2"/>
            <w:vMerge w:val="continue"/>
            <w:tcBorders>
              <w:left w:val="single" w:color="auto" w:sz="4" w:space="0"/>
              <w:bottom w:val="single" w:color="auto" w:sz="4" w:space="0"/>
              <w:right w:val="single" w:color="auto" w:sz="6" w:space="0"/>
            </w:tcBorders>
            <w:noWrap/>
            <w:vAlign w:val="center"/>
          </w:tcPr>
          <w:p>
            <w:pPr>
              <w:adjustRightInd w:val="0"/>
              <w:snapToGrid w:val="0"/>
              <w:spacing w:line="240" w:lineRule="exact"/>
              <w:jc w:val="center"/>
              <w:rPr>
                <w:rFonts w:hint="eastAsia" w:ascii="仿宋_GB2312" w:hAnsi="宋体" w:eastAsia="仿宋_GB2312"/>
                <w:color w:val="000000"/>
                <w:szCs w:val="21"/>
              </w:rPr>
            </w:pPr>
          </w:p>
        </w:tc>
        <w:tc>
          <w:tcPr>
            <w:tcW w:w="7475" w:type="dxa"/>
            <w:vMerge w:val="continue"/>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280" w:lineRule="exact"/>
              <w:rPr>
                <w:rFonts w:hint="eastAsia" w:ascii="仿宋_GB2312" w:hAnsi="宋体" w:eastAsia="仿宋_GB2312"/>
                <w:b/>
                <w:color w:val="000000"/>
                <w:szCs w:val="21"/>
              </w:rPr>
            </w:pPr>
          </w:p>
        </w:tc>
        <w:tc>
          <w:tcPr>
            <w:tcW w:w="1277" w:type="dxa"/>
            <w:vMerge w:val="continue"/>
            <w:tcBorders>
              <w:top w:val="single" w:color="auto" w:sz="6" w:space="0"/>
              <w:left w:val="single" w:color="auto" w:sz="6" w:space="0"/>
              <w:bottom w:val="single" w:color="auto" w:sz="4" w:space="0"/>
              <w:right w:val="single" w:color="auto" w:sz="6" w:space="0"/>
            </w:tcBorders>
            <w:noWrap/>
            <w:vAlign w:val="center"/>
          </w:tcPr>
          <w:p>
            <w:pPr>
              <w:widowControl/>
              <w:jc w:val="center"/>
              <w:rPr>
                <w:rFonts w:hint="eastAsia" w:ascii="仿宋_GB2312" w:hAnsi="宋体" w:eastAsia="仿宋_GB2312" w:cs="宋体"/>
                <w:color w:val="000000"/>
                <w:kern w:val="0"/>
                <w:szCs w:val="21"/>
              </w:rPr>
            </w:pPr>
          </w:p>
        </w:tc>
        <w:tc>
          <w:tcPr>
            <w:tcW w:w="2644" w:type="dxa"/>
            <w:vMerge w:val="continue"/>
            <w:tcBorders>
              <w:top w:val="single" w:color="auto" w:sz="6" w:space="0"/>
              <w:left w:val="single" w:color="auto" w:sz="6" w:space="0"/>
              <w:bottom w:val="single" w:color="auto" w:sz="4" w:space="0"/>
              <w:right w:val="single" w:color="auto" w:sz="4" w:space="0"/>
            </w:tcBorders>
            <w:noWrap w:val="0"/>
            <w:vAlign w:val="center"/>
          </w:tcPr>
          <w:p>
            <w:pPr>
              <w:jc w:val="center"/>
              <w:rPr>
                <w:rFonts w:hint="eastAsia" w:ascii="仿宋_GB2312" w:hAnsi="宋体" w:eastAsia="仿宋_GB2312" w:cs="宋体"/>
                <w:color w:val="000000"/>
                <w:kern w:val="0"/>
                <w:szCs w:val="21"/>
              </w:rPr>
            </w:pP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2021年底前</w:t>
            </w:r>
          </w:p>
        </w:tc>
      </w:tr>
      <w:tr>
        <w:tblPrEx>
          <w:tblCellMar>
            <w:top w:w="0" w:type="dxa"/>
            <w:left w:w="108" w:type="dxa"/>
            <w:bottom w:w="0" w:type="dxa"/>
            <w:right w:w="108" w:type="dxa"/>
          </w:tblCellMar>
        </w:tblPrEx>
        <w:trPr>
          <w:trHeight w:val="4093" w:hRule="atLeast"/>
        </w:trPr>
        <w:tc>
          <w:tcPr>
            <w:tcW w:w="1233" w:type="dxa"/>
            <w:gridSpan w:val="2"/>
            <w:tcBorders>
              <w:top w:val="single" w:color="auto" w:sz="4" w:space="0"/>
              <w:left w:val="single" w:color="auto" w:sz="4" w:space="0"/>
              <w:bottom w:val="single" w:color="auto" w:sz="4" w:space="0"/>
              <w:right w:val="single" w:color="auto" w:sz="6" w:space="0"/>
            </w:tcBorders>
            <w:noWrap/>
            <w:vAlign w:val="center"/>
          </w:tcPr>
          <w:p>
            <w:pPr>
              <w:adjustRightInd w:val="0"/>
              <w:snapToGrid w:val="0"/>
              <w:spacing w:line="24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13</w:t>
            </w:r>
          </w:p>
        </w:tc>
        <w:tc>
          <w:tcPr>
            <w:tcW w:w="7475" w:type="dxa"/>
            <w:tcBorders>
              <w:top w:val="single" w:color="auto" w:sz="4" w:space="0"/>
              <w:left w:val="single" w:color="auto" w:sz="6" w:space="0"/>
              <w:bottom w:val="single" w:color="auto" w:sz="4" w:space="0"/>
              <w:right w:val="single" w:color="auto" w:sz="6" w:space="0"/>
            </w:tcBorders>
            <w:noWrap w:val="0"/>
            <w:vAlign w:val="center"/>
          </w:tcPr>
          <w:p>
            <w:pPr>
              <w:adjustRightInd w:val="0"/>
              <w:snapToGrid w:val="0"/>
              <w:spacing w:line="280" w:lineRule="exact"/>
              <w:rPr>
                <w:rFonts w:hint="eastAsia" w:ascii="仿宋_GB2312" w:hAnsi="宋体" w:eastAsia="仿宋_GB2312"/>
                <w:color w:val="000000"/>
                <w:szCs w:val="21"/>
              </w:rPr>
            </w:pPr>
            <w:r>
              <w:rPr>
                <w:rFonts w:hint="eastAsia" w:ascii="仿宋_GB2312" w:hAnsi="宋体" w:eastAsia="仿宋_GB2312"/>
                <w:b/>
                <w:color w:val="000000"/>
                <w:szCs w:val="21"/>
              </w:rPr>
              <w:t>建立完善企业安全承诺制度。</w:t>
            </w:r>
            <w:r>
              <w:rPr>
                <w:rFonts w:hint="eastAsia" w:ascii="仿宋_GB2312" w:hAnsi="宋体" w:eastAsia="仿宋_GB2312"/>
                <w:color w:val="000000"/>
                <w:kern w:val="0"/>
                <w:szCs w:val="21"/>
              </w:rPr>
              <w:t>企业建立健全安全生产公开承诺制度，实行企业主要负责人、员工安全生产双向承诺。</w:t>
            </w:r>
            <w:r>
              <w:rPr>
                <w:rFonts w:hint="eastAsia" w:ascii="仿宋_GB2312" w:hAnsi="宋体" w:eastAsia="仿宋_GB2312"/>
                <w:color w:val="000000"/>
                <w:szCs w:val="21"/>
              </w:rPr>
              <w:t>企业主要负责人要结合本企业实际，在进行全面安全风险评估研判的基础上，通过各种方式途径，向社会和全体员工公开落实主体责任、健全管理体系、加大安全投入、严格风险管控、强化隐患治理等情况。要加强社会监督、舆论监督和企业内部监督，完善和落实举报奖励制度，督促企业严守承诺、落实到位。</w:t>
            </w:r>
            <w:r>
              <w:rPr>
                <w:rFonts w:hint="eastAsia" w:ascii="仿宋_GB2312" w:hAnsi="宋体" w:eastAsia="仿宋_GB2312"/>
                <w:b/>
                <w:color w:val="000000"/>
                <w:szCs w:val="21"/>
              </w:rPr>
              <w:t>2020年底前，制定出台包括所有重点行业领域的安全生产承诺制度。</w:t>
            </w:r>
          </w:p>
          <w:p>
            <w:pPr>
              <w:adjustRightInd w:val="0"/>
              <w:snapToGrid w:val="0"/>
              <w:spacing w:line="280" w:lineRule="exact"/>
              <w:rPr>
                <w:rFonts w:hint="eastAsia" w:ascii="仿宋_GB2312" w:hAnsi="宋体" w:eastAsia="仿宋_GB2312"/>
                <w:color w:val="000000"/>
                <w:szCs w:val="21"/>
              </w:rPr>
            </w:pPr>
          </w:p>
        </w:tc>
        <w:tc>
          <w:tcPr>
            <w:tcW w:w="1277" w:type="dxa"/>
            <w:tcBorders>
              <w:top w:val="single" w:color="auto" w:sz="4" w:space="0"/>
              <w:left w:val="single" w:color="auto" w:sz="6" w:space="0"/>
              <w:bottom w:val="single" w:color="auto" w:sz="4" w:space="0"/>
              <w:right w:val="single" w:color="auto" w:sz="6" w:space="0"/>
            </w:tcBorders>
            <w:noWrap/>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市安委办</w:t>
            </w:r>
          </w:p>
        </w:tc>
        <w:tc>
          <w:tcPr>
            <w:tcW w:w="2644" w:type="dxa"/>
            <w:tcBorders>
              <w:top w:val="single" w:color="auto" w:sz="4" w:space="0"/>
              <w:left w:val="single" w:color="auto" w:sz="6" w:space="0"/>
              <w:bottom w:val="single" w:color="auto" w:sz="4" w:space="0"/>
              <w:right w:val="single" w:color="auto" w:sz="6" w:space="0"/>
            </w:tcBorders>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市交通运输局、市住建局、市自然资源和规划局、市水利局、市林业局、市市场监管局、市国资委、市消防救援支队、市公安交警支队等负有安全生产监管职责的部门负责督促指导，相关企业负责落实</w:t>
            </w:r>
          </w:p>
        </w:tc>
        <w:tc>
          <w:tcPr>
            <w:tcW w:w="1418" w:type="dxa"/>
            <w:tcBorders>
              <w:top w:val="single" w:color="auto" w:sz="4" w:space="0"/>
              <w:left w:val="single" w:color="auto" w:sz="6" w:space="0"/>
              <w:bottom w:val="single" w:color="auto" w:sz="4" w:space="0"/>
              <w:right w:val="single" w:color="auto" w:sz="4" w:space="0"/>
            </w:tcBorders>
            <w:noWrap/>
            <w:vAlign w:val="center"/>
          </w:tcPr>
          <w:p>
            <w:pPr>
              <w:spacing w:line="240" w:lineRule="exact"/>
              <w:jc w:val="center"/>
              <w:rPr>
                <w:rFonts w:hint="eastAsia" w:ascii="仿宋_GB2312" w:hAnsi="宋体" w:eastAsia="仿宋_GB2312" w:cs="宋体"/>
                <w:color w:val="000000"/>
                <w:kern w:val="0"/>
                <w:szCs w:val="21"/>
              </w:rPr>
            </w:pPr>
            <w:r>
              <w:rPr>
                <w:rFonts w:hint="eastAsia" w:ascii="仿宋_GB2312" w:hAnsi="宋体" w:eastAsia="仿宋_GB2312"/>
                <w:color w:val="000000"/>
                <w:szCs w:val="21"/>
              </w:rPr>
              <w:t>2020年底前</w:t>
            </w:r>
          </w:p>
        </w:tc>
      </w:tr>
      <w:tr>
        <w:tblPrEx>
          <w:tblCellMar>
            <w:top w:w="0" w:type="dxa"/>
            <w:left w:w="108" w:type="dxa"/>
            <w:bottom w:w="0" w:type="dxa"/>
            <w:right w:w="108" w:type="dxa"/>
          </w:tblCellMar>
        </w:tblPrEx>
        <w:trPr>
          <w:trHeight w:val="2258" w:hRule="atLeast"/>
        </w:trPr>
        <w:tc>
          <w:tcPr>
            <w:tcW w:w="1233" w:type="dxa"/>
            <w:gridSpan w:val="2"/>
            <w:tcBorders>
              <w:top w:val="single" w:color="auto" w:sz="4" w:space="0"/>
              <w:left w:val="single" w:color="auto" w:sz="4" w:space="0"/>
              <w:bottom w:val="single" w:color="auto" w:sz="4" w:space="0"/>
              <w:right w:val="single" w:color="auto" w:sz="6" w:space="0"/>
            </w:tcBorders>
            <w:noWrap/>
            <w:vAlign w:val="center"/>
          </w:tcPr>
          <w:p>
            <w:pPr>
              <w:adjustRightInd w:val="0"/>
              <w:snapToGrid w:val="0"/>
              <w:spacing w:line="24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14</w:t>
            </w:r>
          </w:p>
        </w:tc>
        <w:tc>
          <w:tcPr>
            <w:tcW w:w="7475"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spacing w:line="260" w:lineRule="exact"/>
              <w:rPr>
                <w:rFonts w:hint="eastAsia" w:ascii="仿宋_GB2312" w:hAnsi="宋体" w:eastAsia="仿宋_GB2312"/>
                <w:color w:val="000000"/>
                <w:szCs w:val="21"/>
              </w:rPr>
            </w:pPr>
            <w:r>
              <w:rPr>
                <w:rFonts w:hint="eastAsia" w:ascii="仿宋_GB2312" w:hAnsi="宋体" w:eastAsia="仿宋_GB2312"/>
                <w:b/>
                <w:color w:val="000000"/>
                <w:szCs w:val="21"/>
              </w:rPr>
              <w:t>完善落实安全生产诚信制度。</w:t>
            </w:r>
            <w:r>
              <w:rPr>
                <w:rFonts w:hint="eastAsia" w:ascii="仿宋_GB2312" w:hAnsi="宋体" w:eastAsia="仿宋_GB2312"/>
                <w:color w:val="000000"/>
                <w:szCs w:val="21"/>
              </w:rPr>
              <w:t>各地各有关部门要</w:t>
            </w:r>
            <w:r>
              <w:rPr>
                <w:rFonts w:hint="eastAsia" w:ascii="仿宋_GB2312" w:hAnsi="宋体" w:eastAsia="仿宋_GB2312"/>
                <w:color w:val="000000"/>
                <w:kern w:val="0"/>
                <w:szCs w:val="21"/>
              </w:rPr>
              <w:t>健全落实联合惩戒和联合激励机制，督促生产经营单位严格履行安全生产主体责任、依法依规开展生产经营活动。</w:t>
            </w:r>
            <w:r>
              <w:rPr>
                <w:rFonts w:hint="eastAsia" w:ascii="仿宋_GB2312" w:hAnsi="宋体" w:eastAsia="仿宋_GB2312"/>
                <w:color w:val="000000"/>
                <w:szCs w:val="21"/>
              </w:rPr>
              <w:t>对存在以隐蔽、欺骗或阻碍等方式逃避、对抗安全生产监管，违章指挥、违章作业产生重大安全隐患，违规更改工艺流程，破坏监测监控设施，以及发生事故隐瞒不报、谎报或迟报事故等严重危害人民群众生命财产安全的主观故意行为的单位及主要责任人，依法依规将其纳入信用记录，加强失信惩戒，从严监管。</w:t>
            </w:r>
            <w:r>
              <w:rPr>
                <w:rFonts w:hint="eastAsia" w:ascii="仿宋_GB2312" w:hAnsi="宋体" w:eastAsia="仿宋_GB2312"/>
                <w:b/>
                <w:color w:val="000000"/>
                <w:szCs w:val="21"/>
              </w:rPr>
              <w:t>2020年底前，修订完成加强企业安全生产诚信体系建设制度。</w:t>
            </w:r>
          </w:p>
        </w:tc>
        <w:tc>
          <w:tcPr>
            <w:tcW w:w="1277" w:type="dxa"/>
            <w:tcBorders>
              <w:top w:val="single" w:color="auto" w:sz="6" w:space="0"/>
              <w:left w:val="single" w:color="auto" w:sz="6" w:space="0"/>
              <w:bottom w:val="single" w:color="auto" w:sz="4" w:space="0"/>
              <w:right w:val="single" w:color="auto" w:sz="6" w:space="0"/>
            </w:tcBorders>
            <w:noWrap/>
            <w:vAlign w:val="center"/>
          </w:tcPr>
          <w:p>
            <w:pPr>
              <w:widowControl/>
              <w:spacing w:line="26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市发展改革委</w:t>
            </w:r>
          </w:p>
        </w:tc>
        <w:tc>
          <w:tcPr>
            <w:tcW w:w="2644" w:type="dxa"/>
            <w:tcBorders>
              <w:top w:val="single" w:color="auto" w:sz="6" w:space="0"/>
              <w:left w:val="single" w:color="auto" w:sz="6" w:space="0"/>
              <w:bottom w:val="single" w:color="auto" w:sz="4" w:space="0"/>
              <w:right w:val="single" w:color="auto" w:sz="6" w:space="0"/>
            </w:tcBorders>
            <w:noWrap w:val="0"/>
            <w:vAlign w:val="center"/>
          </w:tcPr>
          <w:p>
            <w:pPr>
              <w:widowControl/>
              <w:spacing w:line="26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市应急管理局、市交通运输局、市住建局、市自然资源和规划局、市水利局、市林业局、市市场监管局、市国资委、市消防救援支队、市公安交警支队等负有安全生产监管职责的部门</w:t>
            </w:r>
          </w:p>
        </w:tc>
        <w:tc>
          <w:tcPr>
            <w:tcW w:w="1418" w:type="dxa"/>
            <w:tcBorders>
              <w:top w:val="single" w:color="auto" w:sz="6" w:space="0"/>
              <w:left w:val="single" w:color="auto" w:sz="6" w:space="0"/>
              <w:bottom w:val="single" w:color="auto" w:sz="4" w:space="0"/>
              <w:right w:val="single" w:color="auto" w:sz="4" w:space="0"/>
            </w:tcBorders>
            <w:noWrap/>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olor w:val="000000"/>
                <w:szCs w:val="21"/>
              </w:rPr>
              <w:t>2020年底前</w:t>
            </w:r>
          </w:p>
        </w:tc>
      </w:tr>
      <w:tr>
        <w:tblPrEx>
          <w:tblCellMar>
            <w:top w:w="0" w:type="dxa"/>
            <w:left w:w="108" w:type="dxa"/>
            <w:bottom w:w="0" w:type="dxa"/>
            <w:right w:w="108" w:type="dxa"/>
          </w:tblCellMar>
        </w:tblPrEx>
        <w:trPr>
          <w:trHeight w:val="867" w:hRule="atLeast"/>
        </w:trPr>
        <w:tc>
          <w:tcPr>
            <w:tcW w:w="1233" w:type="dxa"/>
            <w:gridSpan w:val="2"/>
            <w:tcBorders>
              <w:top w:val="single" w:color="auto" w:sz="4" w:space="0"/>
              <w:left w:val="single" w:color="auto" w:sz="4" w:space="0"/>
              <w:bottom w:val="single" w:color="auto" w:sz="4" w:space="0"/>
              <w:right w:val="single" w:color="auto" w:sz="6" w:space="0"/>
            </w:tcBorders>
            <w:noWrap/>
            <w:vAlign w:val="center"/>
          </w:tcPr>
          <w:p>
            <w:pPr>
              <w:adjustRightInd w:val="0"/>
              <w:snapToGrid w:val="0"/>
              <w:spacing w:line="24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15</w:t>
            </w:r>
          </w:p>
        </w:tc>
        <w:tc>
          <w:tcPr>
            <w:tcW w:w="7475" w:type="dxa"/>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260" w:lineRule="exact"/>
              <w:rPr>
                <w:rFonts w:hint="eastAsia" w:ascii="仿宋_GB2312" w:hAnsi="宋体" w:eastAsia="仿宋_GB2312"/>
                <w:b/>
                <w:color w:val="000000"/>
                <w:szCs w:val="21"/>
              </w:rPr>
            </w:pPr>
            <w:r>
              <w:rPr>
                <w:rFonts w:hint="eastAsia" w:ascii="仿宋_GB2312" w:hAnsi="宋体" w:eastAsia="仿宋_GB2312"/>
                <w:b/>
                <w:color w:val="000000"/>
                <w:szCs w:val="21"/>
              </w:rPr>
              <w:t>提升专业技术服务机构服务水平。</w:t>
            </w:r>
            <w:r>
              <w:rPr>
                <w:rFonts w:hint="eastAsia" w:ascii="仿宋_GB2312" w:hAnsi="宋体" w:eastAsia="仿宋_GB2312"/>
                <w:color w:val="000000"/>
                <w:szCs w:val="21"/>
              </w:rPr>
              <w:t>各地各有关部门要筛选一批专业化安全技术服务机构，支持做大做强，为企业提供高水平安全技术和管理服务。加强监督管理，</w:t>
            </w:r>
            <w:r>
              <w:rPr>
                <w:rFonts w:hint="eastAsia" w:ascii="仿宋_GB2312" w:hAnsi="宋体" w:eastAsia="仿宋_GB2312"/>
                <w:color w:val="000000"/>
                <w:kern w:val="0"/>
                <w:szCs w:val="21"/>
              </w:rPr>
              <w:t>全面推行项目清单制服务。</w:t>
            </w:r>
            <w:r>
              <w:rPr>
                <w:rFonts w:hint="eastAsia" w:ascii="仿宋_GB2312" w:hAnsi="宋体" w:eastAsia="仿宋_GB2312"/>
                <w:b/>
                <w:color w:val="000000"/>
                <w:szCs w:val="21"/>
              </w:rPr>
              <w:t>2020年底前，制定出台技术服务机构评价结果公开和第三方评估制度，确保规范运作，切实为企业提供有效技术支撑。</w:t>
            </w:r>
          </w:p>
          <w:p>
            <w:pPr>
              <w:adjustRightInd w:val="0"/>
              <w:snapToGrid w:val="0"/>
              <w:spacing w:line="260" w:lineRule="exact"/>
              <w:rPr>
                <w:rFonts w:hint="eastAsia" w:ascii="仿宋_GB2312" w:hAnsi="宋体" w:eastAsia="仿宋_GB2312"/>
                <w:color w:val="000000"/>
                <w:szCs w:val="21"/>
              </w:rPr>
            </w:pPr>
          </w:p>
        </w:tc>
        <w:tc>
          <w:tcPr>
            <w:tcW w:w="1277"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644" w:type="dxa"/>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市交通运输局、市住建局、市自然资源和规划局、市水利局、市林业局、市市场监管局、市国资委、市消防救援支队、市公安交警支队等负有安全生产监管职责的部门负责督促指导，相关企业负责落实</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olor w:val="000000"/>
                <w:szCs w:val="21"/>
              </w:rPr>
              <w:t>2020年底前</w:t>
            </w:r>
          </w:p>
        </w:tc>
      </w:tr>
      <w:tr>
        <w:tblPrEx>
          <w:tblCellMar>
            <w:top w:w="0" w:type="dxa"/>
            <w:left w:w="108" w:type="dxa"/>
            <w:bottom w:w="0" w:type="dxa"/>
            <w:right w:w="108" w:type="dxa"/>
          </w:tblCellMar>
        </w:tblPrEx>
        <w:trPr>
          <w:trHeight w:val="1134" w:hRule="exact"/>
        </w:trPr>
        <w:tc>
          <w:tcPr>
            <w:tcW w:w="1233" w:type="dxa"/>
            <w:gridSpan w:val="2"/>
            <w:vMerge w:val="restart"/>
            <w:tcBorders>
              <w:top w:val="single" w:color="auto" w:sz="4" w:space="0"/>
              <w:left w:val="single" w:color="auto" w:sz="4" w:space="0"/>
              <w:right w:val="single" w:color="auto" w:sz="6" w:space="0"/>
            </w:tcBorders>
            <w:noWrap/>
            <w:vAlign w:val="center"/>
          </w:tcPr>
          <w:p>
            <w:pPr>
              <w:adjustRightInd w:val="0"/>
              <w:snapToGrid w:val="0"/>
              <w:spacing w:line="24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16</w:t>
            </w:r>
          </w:p>
        </w:tc>
        <w:tc>
          <w:tcPr>
            <w:tcW w:w="7475" w:type="dxa"/>
            <w:vMerge w:val="restart"/>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260" w:lineRule="exact"/>
              <w:rPr>
                <w:rFonts w:hint="eastAsia" w:ascii="仿宋_GB2312" w:hAnsi="宋体" w:eastAsia="仿宋_GB2312"/>
                <w:b/>
                <w:color w:val="000000"/>
                <w:szCs w:val="21"/>
              </w:rPr>
            </w:pPr>
            <w:r>
              <w:rPr>
                <w:rFonts w:hint="eastAsia" w:ascii="仿宋_GB2312" w:hAnsi="宋体" w:eastAsia="仿宋_GB2312"/>
                <w:b/>
                <w:color w:val="000000"/>
                <w:szCs w:val="21"/>
              </w:rPr>
              <w:t>充分发挥安责险与风险评估和事故预防功能。</w:t>
            </w:r>
            <w:r>
              <w:rPr>
                <w:rFonts w:hint="eastAsia" w:ascii="仿宋_GB2312" w:hAnsi="宋体" w:eastAsia="仿宋_GB2312"/>
                <w:color w:val="000000"/>
                <w:szCs w:val="21"/>
              </w:rPr>
              <w:t>认真落实《湖南省人民政府办公局关于加强安全生产责任保险工作的实施意见》（湘政办发〔2018〕62号），持续推动落实《安全生产责任保险事故预防技术服务规范》（AQ 9010-2019），通过实施安责险，加快建立保险机构和专业技术服务机构等广泛参与的安全生产社会化服务体系。</w:t>
            </w:r>
            <w:r>
              <w:rPr>
                <w:rFonts w:hint="eastAsia" w:ascii="仿宋_GB2312" w:hAnsi="宋体" w:eastAsia="仿宋_GB2312"/>
                <w:b/>
                <w:color w:val="000000"/>
                <w:szCs w:val="21"/>
              </w:rPr>
              <w:t>2021年底前，各地应急管理部门全部建立安责险信息化管理平台；</w:t>
            </w:r>
          </w:p>
          <w:p>
            <w:pPr>
              <w:adjustRightInd w:val="0"/>
              <w:snapToGrid w:val="0"/>
              <w:spacing w:line="260" w:lineRule="exact"/>
              <w:rPr>
                <w:rFonts w:hint="eastAsia" w:ascii="仿宋_GB2312" w:hAnsi="宋体" w:eastAsia="仿宋_GB2312"/>
                <w:color w:val="000000"/>
                <w:szCs w:val="21"/>
              </w:rPr>
            </w:pPr>
            <w:r>
              <w:rPr>
                <w:rFonts w:hint="eastAsia" w:ascii="仿宋_GB2312" w:hAnsi="宋体" w:eastAsia="仿宋_GB2312"/>
                <w:b/>
                <w:color w:val="000000"/>
                <w:szCs w:val="21"/>
              </w:rPr>
              <w:t>2022年底前，对所有承保安责险的保险机构开展预防技术服务情况实现在线监测，并制定实施第三方评估公示制度。对预防服务没有达到规范标准要求、只收费不服务或少服务的责任单位和负责人予以警示，督促整改，情节严重的按照《安全生产责任保险实施办法》有关规定，纳入安全生产领域联合惩戒“黑名单”管理，并向社会公布。</w:t>
            </w:r>
          </w:p>
        </w:tc>
        <w:tc>
          <w:tcPr>
            <w:tcW w:w="1277" w:type="dxa"/>
            <w:vMerge w:val="restart"/>
            <w:tcBorders>
              <w:top w:val="single" w:color="auto" w:sz="4" w:space="0"/>
              <w:left w:val="nil"/>
              <w:bottom w:val="single" w:color="auto" w:sz="4" w:space="0"/>
              <w:right w:val="single" w:color="auto" w:sz="4" w:space="0"/>
            </w:tcBorders>
            <w:noWrap/>
            <w:vAlign w:val="center"/>
          </w:tcPr>
          <w:p>
            <w:pPr>
              <w:widowControl/>
              <w:spacing w:line="26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644" w:type="dxa"/>
            <w:vMerge w:val="restart"/>
            <w:tcBorders>
              <w:top w:val="single" w:color="auto" w:sz="4" w:space="0"/>
              <w:left w:val="nil"/>
              <w:bottom w:val="single" w:color="auto" w:sz="4" w:space="0"/>
              <w:right w:val="single" w:color="auto" w:sz="4" w:space="0"/>
            </w:tcBorders>
            <w:noWrap w:val="0"/>
            <w:vAlign w:val="center"/>
          </w:tcPr>
          <w:p>
            <w:pPr>
              <w:widowControl/>
              <w:spacing w:line="26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市交通运输局、市住建局、市自然资源和规划局、市水利局、市林业局、市市场监管局、市国资委、市消防救援支队、市公安交警支队等负有安全生产监管职责的部门</w:t>
            </w: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2021年底前</w:t>
            </w:r>
          </w:p>
        </w:tc>
      </w:tr>
      <w:tr>
        <w:tblPrEx>
          <w:tblCellMar>
            <w:top w:w="0" w:type="dxa"/>
            <w:left w:w="108" w:type="dxa"/>
            <w:bottom w:w="0" w:type="dxa"/>
            <w:right w:w="108" w:type="dxa"/>
          </w:tblCellMar>
        </w:tblPrEx>
        <w:trPr>
          <w:trHeight w:val="2222" w:hRule="exact"/>
        </w:trPr>
        <w:tc>
          <w:tcPr>
            <w:tcW w:w="1233" w:type="dxa"/>
            <w:gridSpan w:val="2"/>
            <w:vMerge w:val="continue"/>
            <w:tcBorders>
              <w:left w:val="single" w:color="auto" w:sz="4" w:space="0"/>
              <w:bottom w:val="single" w:color="auto" w:sz="4" w:space="0"/>
              <w:right w:val="single" w:color="auto" w:sz="6" w:space="0"/>
            </w:tcBorders>
            <w:noWrap/>
            <w:vAlign w:val="center"/>
          </w:tcPr>
          <w:p>
            <w:pPr>
              <w:adjustRightInd w:val="0"/>
              <w:snapToGrid w:val="0"/>
              <w:spacing w:line="240" w:lineRule="exact"/>
              <w:rPr>
                <w:rFonts w:hint="eastAsia" w:ascii="仿宋_GB2312" w:hAnsi="宋体" w:eastAsia="仿宋_GB2312"/>
                <w:color w:val="000000"/>
                <w:szCs w:val="21"/>
              </w:rPr>
            </w:pPr>
          </w:p>
        </w:tc>
        <w:tc>
          <w:tcPr>
            <w:tcW w:w="7475" w:type="dxa"/>
            <w:vMerge w:val="continue"/>
            <w:tcBorders>
              <w:top w:val="single" w:color="auto" w:sz="4" w:space="0"/>
              <w:left w:val="single" w:color="auto" w:sz="6" w:space="0"/>
              <w:bottom w:val="single" w:color="auto" w:sz="4" w:space="0"/>
              <w:right w:val="single" w:color="auto" w:sz="4" w:space="0"/>
            </w:tcBorders>
            <w:noWrap w:val="0"/>
            <w:vAlign w:val="center"/>
          </w:tcPr>
          <w:p>
            <w:pPr>
              <w:adjustRightInd w:val="0"/>
              <w:snapToGrid w:val="0"/>
              <w:spacing w:line="280" w:lineRule="exact"/>
              <w:rPr>
                <w:rFonts w:hint="eastAsia" w:ascii="仿宋_GB2312" w:hAnsi="宋体" w:eastAsia="仿宋_GB2312"/>
                <w:b/>
                <w:color w:val="000000"/>
                <w:szCs w:val="21"/>
              </w:rPr>
            </w:pPr>
          </w:p>
        </w:tc>
        <w:tc>
          <w:tcPr>
            <w:tcW w:w="1277" w:type="dxa"/>
            <w:vMerge w:val="continue"/>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Cs w:val="21"/>
              </w:rPr>
            </w:pPr>
          </w:p>
        </w:tc>
        <w:tc>
          <w:tcPr>
            <w:tcW w:w="2644" w:type="dxa"/>
            <w:vMerge w:val="continue"/>
            <w:tcBorders>
              <w:top w:val="single" w:color="auto" w:sz="4" w:space="0"/>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Cs w:val="21"/>
              </w:rPr>
            </w:pPr>
          </w:p>
        </w:tc>
        <w:tc>
          <w:tcPr>
            <w:tcW w:w="1418" w:type="dxa"/>
            <w:tcBorders>
              <w:top w:val="single" w:color="auto" w:sz="4" w:space="0"/>
              <w:left w:val="nil"/>
              <w:bottom w:val="single" w:color="auto" w:sz="4" w:space="0"/>
              <w:right w:val="single" w:color="auto" w:sz="4" w:space="0"/>
            </w:tcBorders>
            <w:noWrap/>
            <w:vAlign w:val="center"/>
          </w:tcPr>
          <w:p>
            <w:pPr>
              <w:spacing w:line="24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bl>
    <w:p>
      <w:pPr>
        <w:rPr>
          <w:rFonts w:ascii="仿宋_GB2312" w:hAnsi="宋体" w:eastAsia="仿宋_GB2312"/>
          <w:color w:val="000000"/>
          <w:szCs w:val="21"/>
        </w:rPr>
      </w:pPr>
    </w:p>
    <w:p>
      <w:pPr>
        <w:rPr>
          <w:rFonts w:ascii="仿宋_GB2312" w:hAnsi="宋体" w:eastAsia="仿宋_GB2312"/>
          <w:color w:val="000000"/>
          <w:szCs w:val="21"/>
        </w:rPr>
      </w:pPr>
    </w:p>
    <w:p>
      <w:pPr>
        <w:rPr>
          <w:rFonts w:ascii="仿宋_GB2312" w:hAnsi="宋体" w:eastAsia="仿宋_GB2312"/>
          <w:color w:val="000000"/>
          <w:szCs w:val="21"/>
        </w:rPr>
      </w:pPr>
    </w:p>
    <w:p>
      <w:pPr>
        <w:rPr>
          <w:color w:val="000000"/>
        </w:rPr>
        <w:sectPr>
          <w:pgSz w:w="16838" w:h="11906" w:orient="landscape"/>
          <w:pgMar w:top="1588" w:right="1440" w:bottom="1418" w:left="1440" w:header="851" w:footer="992" w:gutter="0"/>
          <w:pgNumType w:fmt="numberInDash"/>
          <w:cols w:space="720" w:num="1"/>
          <w:docGrid w:type="linesAndChars" w:linePitch="312" w:charSpace="0"/>
        </w:sectPr>
      </w:pPr>
    </w:p>
    <w:tbl>
      <w:tblPr>
        <w:tblStyle w:val="4"/>
        <w:tblW w:w="14317" w:type="dxa"/>
        <w:tblInd w:w="-459" w:type="dxa"/>
        <w:tblLayout w:type="fixed"/>
        <w:tblCellMar>
          <w:top w:w="0" w:type="dxa"/>
          <w:left w:w="108" w:type="dxa"/>
          <w:bottom w:w="0" w:type="dxa"/>
          <w:right w:w="108" w:type="dxa"/>
        </w:tblCellMar>
      </w:tblPr>
      <w:tblGrid>
        <w:gridCol w:w="993"/>
        <w:gridCol w:w="7654"/>
        <w:gridCol w:w="1701"/>
        <w:gridCol w:w="2410"/>
        <w:gridCol w:w="1559"/>
      </w:tblGrid>
      <w:tr>
        <w:tblPrEx>
          <w:tblCellMar>
            <w:top w:w="0" w:type="dxa"/>
            <w:left w:w="108" w:type="dxa"/>
            <w:bottom w:w="0" w:type="dxa"/>
            <w:right w:w="108" w:type="dxa"/>
          </w:tblCellMar>
        </w:tblPrEx>
        <w:trPr>
          <w:trHeight w:val="1176" w:hRule="atLeast"/>
        </w:trPr>
        <w:tc>
          <w:tcPr>
            <w:tcW w:w="14317" w:type="dxa"/>
            <w:gridSpan w:val="5"/>
            <w:tcBorders>
              <w:top w:val="nil"/>
              <w:left w:val="nil"/>
              <w:bottom w:val="nil"/>
              <w:right w:val="nil"/>
            </w:tcBorders>
            <w:noWrap/>
            <w:vAlign w:val="center"/>
          </w:tcPr>
          <w:p>
            <w:pPr>
              <w:widowControl/>
              <w:spacing w:line="580" w:lineRule="exact"/>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常德市危险化学品安全专项整治三年行动实施方案重点任务分解表（三）</w:t>
            </w:r>
          </w:p>
        </w:tc>
      </w:tr>
      <w:tr>
        <w:tblPrEx>
          <w:tblCellMar>
            <w:top w:w="0" w:type="dxa"/>
            <w:left w:w="108" w:type="dxa"/>
            <w:bottom w:w="0" w:type="dxa"/>
            <w:right w:w="108" w:type="dxa"/>
          </w:tblCellMar>
        </w:tblPrEx>
        <w:trPr>
          <w:trHeight w:val="600"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序号</w:t>
            </w:r>
          </w:p>
        </w:tc>
        <w:tc>
          <w:tcPr>
            <w:tcW w:w="7654"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任务内容</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牵头单位</w:t>
            </w:r>
          </w:p>
        </w:tc>
        <w:tc>
          <w:tcPr>
            <w:tcW w:w="241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责任单位</w:t>
            </w:r>
          </w:p>
        </w:tc>
        <w:tc>
          <w:tcPr>
            <w:tcW w:w="155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完成时间</w:t>
            </w:r>
          </w:p>
        </w:tc>
      </w:tr>
      <w:tr>
        <w:tblPrEx>
          <w:tblCellMar>
            <w:top w:w="0" w:type="dxa"/>
            <w:left w:w="108" w:type="dxa"/>
            <w:bottom w:w="0" w:type="dxa"/>
            <w:right w:w="108" w:type="dxa"/>
          </w:tblCellMar>
        </w:tblPrEx>
        <w:trPr>
          <w:trHeight w:val="600" w:hRule="atLeast"/>
        </w:trPr>
        <w:tc>
          <w:tcPr>
            <w:tcW w:w="993" w:type="dxa"/>
            <w:tcBorders>
              <w:top w:val="nil"/>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w:t>
            </w:r>
          </w:p>
        </w:tc>
        <w:tc>
          <w:tcPr>
            <w:tcW w:w="7654" w:type="dxa"/>
            <w:tcBorders>
              <w:top w:val="nil"/>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安排10%以上的重点岗位职工（包括主要负责人、安全管理人员和特种作业人员）完成职业技能晋级培训。</w:t>
            </w:r>
          </w:p>
        </w:tc>
        <w:tc>
          <w:tcPr>
            <w:tcW w:w="1701"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nil"/>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市人社局、市工信局、市财政局等市直相关部门依据职责分工负责</w:t>
            </w:r>
          </w:p>
        </w:tc>
        <w:tc>
          <w:tcPr>
            <w:tcW w:w="1559"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2021年底前</w:t>
            </w:r>
          </w:p>
        </w:tc>
      </w:tr>
      <w:tr>
        <w:tblPrEx>
          <w:tblCellMar>
            <w:top w:w="0" w:type="dxa"/>
            <w:left w:w="108" w:type="dxa"/>
            <w:bottom w:w="0" w:type="dxa"/>
            <w:right w:w="108" w:type="dxa"/>
          </w:tblCellMar>
        </w:tblPrEx>
        <w:trPr>
          <w:trHeight w:val="600" w:hRule="atLeast"/>
        </w:trPr>
        <w:tc>
          <w:tcPr>
            <w:tcW w:w="993" w:type="dxa"/>
            <w:tcBorders>
              <w:top w:val="nil"/>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w:t>
            </w:r>
          </w:p>
        </w:tc>
        <w:tc>
          <w:tcPr>
            <w:tcW w:w="7654" w:type="dxa"/>
            <w:tcBorders>
              <w:top w:val="nil"/>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危险化学品企业从业人员中取得职业资格证书或职业技能等级证书的比例要达到30%以上。</w:t>
            </w:r>
          </w:p>
        </w:tc>
        <w:tc>
          <w:tcPr>
            <w:tcW w:w="1701"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nil"/>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市人社局、市工信局、市财政局等市直相关部门依据职责分工负责</w:t>
            </w:r>
          </w:p>
        </w:tc>
        <w:tc>
          <w:tcPr>
            <w:tcW w:w="1559"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600" w:hRule="atLeast"/>
        </w:trPr>
        <w:tc>
          <w:tcPr>
            <w:tcW w:w="993" w:type="dxa"/>
            <w:tcBorders>
              <w:top w:val="nil"/>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w:t>
            </w:r>
          </w:p>
        </w:tc>
        <w:tc>
          <w:tcPr>
            <w:tcW w:w="7654" w:type="dxa"/>
            <w:tcBorders>
              <w:top w:val="nil"/>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涉及“两重点一重大”的危险化学品生产装置、储存设施的自动化系统装备投用率100%。</w:t>
            </w:r>
          </w:p>
        </w:tc>
        <w:tc>
          <w:tcPr>
            <w:tcW w:w="1701"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nil"/>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市工信局等市直相关部门依据职责分工负责</w:t>
            </w:r>
          </w:p>
        </w:tc>
        <w:tc>
          <w:tcPr>
            <w:tcW w:w="1559"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2020年底前</w:t>
            </w:r>
          </w:p>
        </w:tc>
      </w:tr>
      <w:tr>
        <w:tblPrEx>
          <w:tblCellMar>
            <w:top w:w="0" w:type="dxa"/>
            <w:left w:w="108" w:type="dxa"/>
            <w:bottom w:w="0" w:type="dxa"/>
            <w:right w:w="108" w:type="dxa"/>
          </w:tblCellMar>
        </w:tblPrEx>
        <w:trPr>
          <w:trHeight w:val="600" w:hRule="atLeast"/>
        </w:trPr>
        <w:tc>
          <w:tcPr>
            <w:tcW w:w="993" w:type="dxa"/>
            <w:tcBorders>
              <w:top w:val="nil"/>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w:t>
            </w:r>
          </w:p>
        </w:tc>
        <w:tc>
          <w:tcPr>
            <w:tcW w:w="7654" w:type="dxa"/>
            <w:tcBorders>
              <w:top w:val="nil"/>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严格落实《湖南省沿江化工企业搬迁改造实施方案》（湘政办发〔2020〕11号文件印发）的要求，加快推进沿江一公里内危险化学品生产企业搬迁改造。</w:t>
            </w:r>
          </w:p>
        </w:tc>
        <w:tc>
          <w:tcPr>
            <w:tcW w:w="1701"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市工信局</w:t>
            </w:r>
          </w:p>
        </w:tc>
        <w:tc>
          <w:tcPr>
            <w:tcW w:w="2410" w:type="dxa"/>
            <w:tcBorders>
              <w:top w:val="nil"/>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市直相关部门依据职责分工指导，县级政府负责具体落实</w:t>
            </w:r>
          </w:p>
        </w:tc>
        <w:tc>
          <w:tcPr>
            <w:tcW w:w="1559"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600" w:hRule="atLeast"/>
        </w:trPr>
        <w:tc>
          <w:tcPr>
            <w:tcW w:w="993" w:type="dxa"/>
            <w:tcBorders>
              <w:top w:val="nil"/>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p>
        </w:tc>
        <w:tc>
          <w:tcPr>
            <w:tcW w:w="7654" w:type="dxa"/>
            <w:tcBorders>
              <w:top w:val="nil"/>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不符合外部安全防护距离要求的涉及“两重点一重大”的危险化学品生产装置和储存设施，经评估具备就地整改条件的，整改工作必须按规定时间完成，未按期完成整改的一律停止使用。</w:t>
            </w:r>
          </w:p>
        </w:tc>
        <w:tc>
          <w:tcPr>
            <w:tcW w:w="1701"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nil"/>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市自然资源和规划局、市工信局、市生态环境局等市直相关部门依据职责分工负责，县级政府负责具体落实</w:t>
            </w:r>
          </w:p>
        </w:tc>
        <w:tc>
          <w:tcPr>
            <w:tcW w:w="1559"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2020年底前</w:t>
            </w:r>
          </w:p>
        </w:tc>
      </w:tr>
      <w:tr>
        <w:tblPrEx>
          <w:tblCellMar>
            <w:top w:w="0" w:type="dxa"/>
            <w:left w:w="108" w:type="dxa"/>
            <w:bottom w:w="0" w:type="dxa"/>
            <w:right w:w="108" w:type="dxa"/>
          </w:tblCellMar>
        </w:tblPrEx>
        <w:trPr>
          <w:trHeight w:val="600" w:hRule="atLeast"/>
        </w:trPr>
        <w:tc>
          <w:tcPr>
            <w:tcW w:w="993" w:type="dxa"/>
            <w:tcBorders>
              <w:top w:val="nil"/>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w:t>
            </w:r>
          </w:p>
        </w:tc>
        <w:tc>
          <w:tcPr>
            <w:tcW w:w="7654" w:type="dxa"/>
            <w:tcBorders>
              <w:top w:val="nil"/>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涉及危险化学品重大危险源的企业全部完成安全预防控制体系建设。</w:t>
            </w:r>
          </w:p>
        </w:tc>
        <w:tc>
          <w:tcPr>
            <w:tcW w:w="1701" w:type="dxa"/>
            <w:tcBorders>
              <w:top w:val="nil"/>
              <w:left w:val="nil"/>
              <w:bottom w:val="single" w:color="auto" w:sz="4" w:space="0"/>
              <w:right w:val="single" w:color="auto" w:sz="4" w:space="0"/>
            </w:tcBorders>
            <w:noWrap/>
            <w:vAlign w:val="top"/>
          </w:tcPr>
          <w:p>
            <w:pPr>
              <w:spacing w:line="280" w:lineRule="exact"/>
              <w:jc w:val="center"/>
              <w:rPr>
                <w:rFonts w:hint="eastAsia" w:ascii="仿宋_GB2312" w:hAnsi="宋体" w:eastAsia="仿宋_GB2312" w:cs="宋体"/>
                <w:color w:val="000000"/>
                <w:kern w:val="0"/>
                <w:szCs w:val="21"/>
              </w:rPr>
            </w:pPr>
          </w:p>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nil"/>
              <w:left w:val="nil"/>
              <w:bottom w:val="single" w:color="auto" w:sz="4" w:space="0"/>
              <w:right w:val="single" w:color="auto" w:sz="4" w:space="0"/>
            </w:tcBorders>
            <w:noWrap w:val="0"/>
            <w:vAlign w:val="top"/>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市工信局、市财政局等市直相关部门依据职责分工负责</w:t>
            </w:r>
          </w:p>
        </w:tc>
        <w:tc>
          <w:tcPr>
            <w:tcW w:w="1559"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600" w:hRule="atLeast"/>
        </w:trPr>
        <w:tc>
          <w:tcPr>
            <w:tcW w:w="993" w:type="dxa"/>
            <w:tcBorders>
              <w:top w:val="nil"/>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w:t>
            </w:r>
          </w:p>
        </w:tc>
        <w:tc>
          <w:tcPr>
            <w:tcW w:w="7654" w:type="dxa"/>
            <w:tcBorders>
              <w:top w:val="nil"/>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所有涉及氯化、氟化、重氮化、过氧化工艺的反应及上下游配套装置必须实现自动化控制；现有涉及氯化、氟化、重氮化、过氧化工艺的精细化工生产装置必须完成有关产品生产工艺全流程的反应安全风险评估。</w:t>
            </w:r>
          </w:p>
        </w:tc>
        <w:tc>
          <w:tcPr>
            <w:tcW w:w="1701"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nil"/>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市生态环境局、市消防救援支队、市发展改革委等市直相关部门依据职责分工负责</w:t>
            </w:r>
          </w:p>
        </w:tc>
        <w:tc>
          <w:tcPr>
            <w:tcW w:w="1559"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600"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涉及爆炸危险性化学品的生产装置控制室、交接班室不得布置在装置区内，已建成投用的必须按规定时间完成整改。</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市生态环境局、市消防救援支队、市发展改革委等市直相关部门依据职责分工负责</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2020年底前</w:t>
            </w:r>
          </w:p>
        </w:tc>
      </w:tr>
      <w:tr>
        <w:tblPrEx>
          <w:tblCellMar>
            <w:top w:w="0" w:type="dxa"/>
            <w:left w:w="108" w:type="dxa"/>
            <w:bottom w:w="0" w:type="dxa"/>
            <w:right w:w="108" w:type="dxa"/>
          </w:tblCellMar>
        </w:tblPrEx>
        <w:trPr>
          <w:trHeight w:val="600" w:hRule="atLeast"/>
        </w:trPr>
        <w:tc>
          <w:tcPr>
            <w:tcW w:w="993" w:type="dxa"/>
            <w:tcBorders>
              <w:top w:val="nil"/>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w:t>
            </w:r>
          </w:p>
        </w:tc>
        <w:tc>
          <w:tcPr>
            <w:tcW w:w="7654" w:type="dxa"/>
            <w:tcBorders>
              <w:top w:val="nil"/>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涉及甲乙类火灾危险性的生产装置控制室、交接班室原则上不得布置在装置区内，确需布置的，应按照《石油化工控制室抗爆设计规范》（GB50779-2012），在规定时间完成抗爆设计、建设和加固。</w:t>
            </w:r>
          </w:p>
        </w:tc>
        <w:tc>
          <w:tcPr>
            <w:tcW w:w="1701" w:type="dxa"/>
            <w:tcBorders>
              <w:top w:val="nil"/>
              <w:left w:val="nil"/>
              <w:bottom w:val="single" w:color="auto" w:sz="4" w:space="0"/>
              <w:right w:val="single" w:color="auto" w:sz="4" w:space="0"/>
            </w:tcBorders>
            <w:noWrap/>
            <w:vAlign w:val="top"/>
          </w:tcPr>
          <w:p>
            <w:pPr>
              <w:spacing w:line="280" w:lineRule="exact"/>
              <w:jc w:val="center"/>
              <w:rPr>
                <w:rFonts w:hint="eastAsia" w:ascii="仿宋_GB2312" w:hAnsi="宋体" w:eastAsia="仿宋_GB2312" w:cs="宋体"/>
                <w:color w:val="000000"/>
                <w:kern w:val="0"/>
                <w:szCs w:val="21"/>
              </w:rPr>
            </w:pPr>
          </w:p>
          <w:p>
            <w:pPr>
              <w:spacing w:line="280" w:lineRule="exact"/>
              <w:jc w:val="center"/>
              <w:rPr>
                <w:rFonts w:hint="eastAsia" w:ascii="仿宋_GB2312" w:hAnsi="宋体" w:eastAsia="仿宋_GB2312" w:cs="宋体"/>
                <w:color w:val="000000"/>
                <w:kern w:val="0"/>
                <w:szCs w:val="21"/>
              </w:rPr>
            </w:pPr>
          </w:p>
          <w:p>
            <w:pPr>
              <w:spacing w:line="280" w:lineRule="exact"/>
              <w:jc w:val="center"/>
              <w:rPr>
                <w:rFonts w:hint="eastAsia" w:ascii="仿宋_GB2312" w:hAnsi="宋体" w:eastAsia="仿宋_GB2312" w:cs="宋体"/>
                <w:color w:val="000000"/>
                <w:kern w:val="0"/>
                <w:szCs w:val="21"/>
              </w:rPr>
            </w:pPr>
          </w:p>
          <w:p>
            <w:pPr>
              <w:spacing w:line="280" w:lineRule="exact"/>
              <w:jc w:val="center"/>
              <w:rPr>
                <w:rFonts w:hint="eastAsia" w:ascii="仿宋_GB2312" w:hAnsi="宋体" w:eastAsia="仿宋_GB2312"/>
                <w:color w:val="000000"/>
                <w:szCs w:val="21"/>
              </w:rPr>
            </w:pPr>
            <w:r>
              <w:rPr>
                <w:rFonts w:hint="eastAsia" w:ascii="仿宋_GB2312" w:hAnsi="宋体" w:eastAsia="仿宋_GB2312" w:cs="宋体"/>
                <w:color w:val="000000"/>
                <w:kern w:val="0"/>
                <w:szCs w:val="21"/>
              </w:rPr>
              <w:t>市应急管理局</w:t>
            </w:r>
          </w:p>
        </w:tc>
        <w:tc>
          <w:tcPr>
            <w:tcW w:w="2410" w:type="dxa"/>
            <w:tcBorders>
              <w:top w:val="nil"/>
              <w:left w:val="nil"/>
              <w:bottom w:val="single" w:color="auto" w:sz="4" w:space="0"/>
              <w:right w:val="single" w:color="auto" w:sz="4" w:space="0"/>
            </w:tcBorders>
            <w:noWrap w:val="0"/>
            <w:vAlign w:val="top"/>
          </w:tcPr>
          <w:p>
            <w:pPr>
              <w:spacing w:line="280" w:lineRule="exact"/>
              <w:jc w:val="left"/>
              <w:rPr>
                <w:rFonts w:hint="eastAsia" w:ascii="仿宋_GB2312" w:hAnsi="宋体" w:eastAsia="仿宋_GB2312"/>
                <w:color w:val="000000"/>
                <w:szCs w:val="21"/>
              </w:rPr>
            </w:pPr>
            <w:r>
              <w:rPr>
                <w:rFonts w:hint="eastAsia" w:ascii="仿宋_GB2312" w:hAnsi="宋体" w:eastAsia="仿宋_GB2312" w:cs="宋体"/>
                <w:color w:val="000000"/>
                <w:kern w:val="0"/>
                <w:szCs w:val="21"/>
              </w:rPr>
              <w:t>市住建局、市生态环境局、市消防救援支队、市发展改革委等市直相关部门依据职责分工负责</w:t>
            </w:r>
          </w:p>
        </w:tc>
        <w:tc>
          <w:tcPr>
            <w:tcW w:w="1559"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2020年底前</w:t>
            </w:r>
          </w:p>
        </w:tc>
      </w:tr>
      <w:tr>
        <w:tblPrEx>
          <w:tblCellMar>
            <w:top w:w="0" w:type="dxa"/>
            <w:left w:w="108" w:type="dxa"/>
            <w:bottom w:w="0" w:type="dxa"/>
            <w:right w:w="108" w:type="dxa"/>
          </w:tblCellMar>
        </w:tblPrEx>
        <w:trPr>
          <w:trHeight w:val="600" w:hRule="atLeast"/>
        </w:trPr>
        <w:tc>
          <w:tcPr>
            <w:tcW w:w="993" w:type="dxa"/>
            <w:tcBorders>
              <w:top w:val="nil"/>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w:t>
            </w:r>
          </w:p>
        </w:tc>
        <w:tc>
          <w:tcPr>
            <w:tcW w:w="7654" w:type="dxa"/>
            <w:tcBorders>
              <w:top w:val="nil"/>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具有甲乙类火灾危险性、粉尘爆炸危险性、中毒危险性的厂房（含装置或车间）和仓库内的办公室、休息室、外操室、巡检室，必须予以拆除。</w:t>
            </w:r>
          </w:p>
        </w:tc>
        <w:tc>
          <w:tcPr>
            <w:tcW w:w="1701" w:type="dxa"/>
            <w:tcBorders>
              <w:top w:val="nil"/>
              <w:left w:val="nil"/>
              <w:bottom w:val="single" w:color="auto" w:sz="4" w:space="0"/>
              <w:right w:val="single" w:color="auto" w:sz="4" w:space="0"/>
            </w:tcBorders>
            <w:noWrap/>
            <w:vAlign w:val="top"/>
          </w:tcPr>
          <w:p>
            <w:pPr>
              <w:spacing w:line="280" w:lineRule="exact"/>
              <w:jc w:val="center"/>
              <w:rPr>
                <w:rFonts w:hint="eastAsia" w:ascii="仿宋_GB2312" w:hAnsi="宋体" w:eastAsia="仿宋_GB2312" w:cs="宋体"/>
                <w:color w:val="000000"/>
                <w:kern w:val="0"/>
                <w:szCs w:val="21"/>
              </w:rPr>
            </w:pPr>
          </w:p>
          <w:p>
            <w:pPr>
              <w:spacing w:line="280" w:lineRule="exact"/>
              <w:jc w:val="center"/>
              <w:rPr>
                <w:rFonts w:hint="eastAsia" w:ascii="仿宋_GB2312" w:hAnsi="宋体" w:eastAsia="仿宋_GB2312" w:cs="宋体"/>
                <w:color w:val="000000"/>
                <w:kern w:val="0"/>
                <w:szCs w:val="21"/>
              </w:rPr>
            </w:pPr>
          </w:p>
          <w:p>
            <w:pPr>
              <w:spacing w:line="280" w:lineRule="exact"/>
              <w:jc w:val="center"/>
              <w:rPr>
                <w:rFonts w:hint="eastAsia" w:ascii="仿宋_GB2312" w:hAnsi="宋体" w:eastAsia="仿宋_GB2312" w:cs="宋体"/>
                <w:color w:val="000000"/>
                <w:kern w:val="0"/>
                <w:szCs w:val="21"/>
              </w:rPr>
            </w:pPr>
          </w:p>
          <w:p>
            <w:pPr>
              <w:spacing w:line="280" w:lineRule="exact"/>
              <w:jc w:val="center"/>
              <w:rPr>
                <w:rFonts w:hint="eastAsia" w:ascii="仿宋_GB2312" w:hAnsi="宋体" w:eastAsia="仿宋_GB2312"/>
                <w:color w:val="000000"/>
                <w:szCs w:val="21"/>
              </w:rPr>
            </w:pPr>
            <w:r>
              <w:rPr>
                <w:rFonts w:hint="eastAsia" w:ascii="仿宋_GB2312" w:hAnsi="宋体" w:eastAsia="仿宋_GB2312" w:cs="宋体"/>
                <w:color w:val="000000"/>
                <w:kern w:val="0"/>
                <w:szCs w:val="21"/>
              </w:rPr>
              <w:t>市应急管理局</w:t>
            </w:r>
          </w:p>
        </w:tc>
        <w:tc>
          <w:tcPr>
            <w:tcW w:w="2410" w:type="dxa"/>
            <w:tcBorders>
              <w:top w:val="nil"/>
              <w:left w:val="nil"/>
              <w:bottom w:val="single" w:color="auto" w:sz="4" w:space="0"/>
              <w:right w:val="single" w:color="auto" w:sz="4" w:space="0"/>
            </w:tcBorders>
            <w:noWrap w:val="0"/>
            <w:vAlign w:val="top"/>
          </w:tcPr>
          <w:p>
            <w:pPr>
              <w:spacing w:line="280" w:lineRule="exact"/>
              <w:jc w:val="left"/>
              <w:rPr>
                <w:rFonts w:hint="eastAsia" w:ascii="仿宋_GB2312" w:hAnsi="宋体" w:eastAsia="仿宋_GB2312"/>
                <w:color w:val="000000"/>
                <w:szCs w:val="21"/>
              </w:rPr>
            </w:pPr>
            <w:r>
              <w:rPr>
                <w:rFonts w:hint="eastAsia" w:ascii="仿宋_GB2312" w:hAnsi="宋体" w:eastAsia="仿宋_GB2312" w:cs="宋体"/>
                <w:color w:val="000000"/>
                <w:kern w:val="0"/>
                <w:szCs w:val="21"/>
              </w:rPr>
              <w:t>市住建局、市生态环境局、市消防救援支队、市发展改革委等市直相关部门依据职责分工负责</w:t>
            </w:r>
          </w:p>
        </w:tc>
        <w:tc>
          <w:tcPr>
            <w:tcW w:w="1559"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2020年8月底前</w:t>
            </w:r>
          </w:p>
        </w:tc>
      </w:tr>
      <w:tr>
        <w:tblPrEx>
          <w:tblCellMar>
            <w:top w:w="0" w:type="dxa"/>
            <w:left w:w="108" w:type="dxa"/>
            <w:bottom w:w="0" w:type="dxa"/>
            <w:right w:w="108" w:type="dxa"/>
          </w:tblCellMar>
        </w:tblPrEx>
        <w:trPr>
          <w:trHeight w:val="600" w:hRule="atLeast"/>
        </w:trPr>
        <w:tc>
          <w:tcPr>
            <w:tcW w:w="993" w:type="dxa"/>
            <w:tcBorders>
              <w:top w:val="nil"/>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11</w:t>
            </w:r>
          </w:p>
        </w:tc>
        <w:tc>
          <w:tcPr>
            <w:tcW w:w="7654" w:type="dxa"/>
            <w:tcBorders>
              <w:top w:val="nil"/>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未落实安全风险评估的精细化工生产装置一律停产整顿。</w:t>
            </w:r>
          </w:p>
        </w:tc>
        <w:tc>
          <w:tcPr>
            <w:tcW w:w="1701"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nil"/>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市工信局、市市场监管局等市直相关部门依据职责分工负责</w:t>
            </w:r>
          </w:p>
        </w:tc>
        <w:tc>
          <w:tcPr>
            <w:tcW w:w="1559"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600" w:hRule="atLeast"/>
        </w:trPr>
        <w:tc>
          <w:tcPr>
            <w:tcW w:w="993" w:type="dxa"/>
            <w:tcBorders>
              <w:top w:val="nil"/>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12</w:t>
            </w:r>
          </w:p>
        </w:tc>
        <w:tc>
          <w:tcPr>
            <w:tcW w:w="7654" w:type="dxa"/>
            <w:tcBorders>
              <w:top w:val="nil"/>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提高化工行业从业人员准入门槛，企业相关人员需具备相关专业或职称或教育水平等。</w:t>
            </w:r>
          </w:p>
        </w:tc>
        <w:tc>
          <w:tcPr>
            <w:tcW w:w="1701"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nil"/>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市教育局、市人社局、等相关部门依据职责分工负责</w:t>
            </w:r>
          </w:p>
        </w:tc>
        <w:tc>
          <w:tcPr>
            <w:tcW w:w="1559" w:type="dxa"/>
            <w:tcBorders>
              <w:top w:val="nil"/>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846"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13</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分区域成立危险化学品应急救援中心。</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市消防救援支队、市交通运输局、市公安局等相关部门依据职责分工负责，县级政府依据职责具体实施</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840"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14</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制定出台新建化工项目准入条件。</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市发展改革委</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市工信局、市自然资源和规划局、市应急管理局、市生态环境局、市住建局、市卫健委等相</w:t>
            </w:r>
            <w:r>
              <w:rPr>
                <w:rFonts w:hint="eastAsia" w:ascii="仿宋_GB2312" w:hAnsi="宋体" w:eastAsia="仿宋_GB2312" w:cs="宋体"/>
                <w:color w:val="000000"/>
                <w:spacing w:val="-20"/>
                <w:kern w:val="0"/>
                <w:szCs w:val="21"/>
              </w:rPr>
              <w:t>关部门依据职责分工负</w:t>
            </w:r>
            <w:r>
              <w:rPr>
                <w:rFonts w:hint="eastAsia" w:ascii="仿宋_GB2312" w:hAnsi="宋体" w:eastAsia="仿宋_GB2312" w:cs="宋体"/>
                <w:color w:val="000000"/>
                <w:kern w:val="0"/>
                <w:szCs w:val="21"/>
              </w:rPr>
              <w:t>责</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2020年底前</w:t>
            </w:r>
          </w:p>
        </w:tc>
      </w:tr>
      <w:tr>
        <w:tblPrEx>
          <w:tblCellMar>
            <w:top w:w="0" w:type="dxa"/>
            <w:left w:w="108" w:type="dxa"/>
            <w:bottom w:w="0" w:type="dxa"/>
            <w:right w:w="108" w:type="dxa"/>
          </w:tblCellMar>
        </w:tblPrEx>
        <w:trPr>
          <w:trHeight w:val="983"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15</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涉及化工行业的县市区要制定完善危险化学品“禁限控”目录。</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区县市相关部门</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2021年底前</w:t>
            </w:r>
          </w:p>
        </w:tc>
      </w:tr>
      <w:tr>
        <w:tblPrEx>
          <w:tblCellMar>
            <w:top w:w="0" w:type="dxa"/>
            <w:left w:w="108" w:type="dxa"/>
            <w:bottom w:w="0" w:type="dxa"/>
            <w:right w:w="108" w:type="dxa"/>
          </w:tblCellMar>
        </w:tblPrEx>
        <w:trPr>
          <w:trHeight w:val="1290"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16</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严格控制涉及光气、氯气、氨气等有毒气体，硝酸铵、硝基胍、氯酸铵等爆炸危险性化学品的建设项目，严禁已淘汰的落后产能异地落户和办厂；对涉及“两重点一重大”的危险化学品建设项目，联合建立安全风险防控机制。项目选址审批前，自然资源主管部门要征求相关部门的意见。</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市发展改革委</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市工信局、市自然资源和规划局、市应急管理局、市生态环境局、市住建局、市卫健委等相关部门依据职责分工负责</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2021年底前</w:t>
            </w:r>
          </w:p>
        </w:tc>
      </w:tr>
      <w:tr>
        <w:tblPrEx>
          <w:tblCellMar>
            <w:top w:w="0" w:type="dxa"/>
            <w:left w:w="108" w:type="dxa"/>
            <w:bottom w:w="0" w:type="dxa"/>
            <w:right w:w="108" w:type="dxa"/>
          </w:tblCellMar>
        </w:tblPrEx>
        <w:trPr>
          <w:trHeight w:val="700"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17</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完成危险化学品安全生产风险监测预警系统建设投用，依托国家数据共享交换平台开展危险化学品安全监管信息共享。</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相关部门依据职责分工负责</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2020年底前</w:t>
            </w:r>
          </w:p>
        </w:tc>
      </w:tr>
      <w:tr>
        <w:tblPrEx>
          <w:tblCellMar>
            <w:top w:w="0" w:type="dxa"/>
            <w:left w:w="108" w:type="dxa"/>
            <w:bottom w:w="0" w:type="dxa"/>
            <w:right w:w="108" w:type="dxa"/>
          </w:tblCellMar>
        </w:tblPrEx>
        <w:trPr>
          <w:trHeight w:val="630"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18</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危险货物运输车辆要全部强制安装远程提醒监控系统，实行运输过程实时定位及路径记录；加强涉及危险化学品的专用停车场安全监管，纳入信息化监管平台。</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市交通运输局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市公安局、市邮政管理局、市商务局等相关部门依据职责分工负责</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707"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19</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依托本地区重点化工企业或第三方专业机构成立实习实训基地。</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市教育局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市人社局、市科技局、市应急管理局等相关部门依据职责分工负责</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549"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深入开展油气输送管道安全隐患治理。</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市发展改革委</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市住建局、市自然资源和规划局、市交通运输局、市应急管理局、市市场监管局等市直相关部门依据职责分工负责</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707"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21</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督促危险化学品生产储存企业按照《危险化学品生产装置和储存设施风险基准》和《危险化学品生产装置和储存设施外部安全防护距离确定方法》确定外部安全防护距离。尤其爆炸危险性化学品的生产和储存企业必须保持足够的外部安全防护距离。</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市自然资源和规划局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市直相关部门依据职责分工负责，县级政府负责具体落实</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707"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22</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具有化工安全生产相关专业学历和实践经验的执法人员数量达到在职人员的75%以上。</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市委编办、市人社局、市教育局等相关部门依据职责分工负责</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707"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23</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危险化学品生产企业全部完成安全风险分级管控和隐患排查治理为重点的安全预防控制体系建设（其中，存在重大风险的2020年底前完成）。</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市发展改革委、市工信局、市自然资源和规划局等相关部门依据职责分工负责</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2021年底前</w:t>
            </w:r>
          </w:p>
        </w:tc>
      </w:tr>
      <w:tr>
        <w:tblPrEx>
          <w:tblCellMar>
            <w:top w:w="0" w:type="dxa"/>
            <w:left w:w="108" w:type="dxa"/>
            <w:bottom w:w="0" w:type="dxa"/>
            <w:right w:w="108" w:type="dxa"/>
          </w:tblCellMar>
        </w:tblPrEx>
        <w:trPr>
          <w:trHeight w:val="707"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24</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加强港口、机场、铁路车站以及与铁路接轨的专用线、专用铁路等危险货物装卸、储存场所和设施的安全监管，对不符合安全生产条件的进行清理整顿。</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市交通运输局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桃花源机场、常德火车站按照职责分工负责</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2020年底前</w:t>
            </w:r>
          </w:p>
        </w:tc>
      </w:tr>
      <w:tr>
        <w:tblPrEx>
          <w:tblCellMar>
            <w:top w:w="0" w:type="dxa"/>
            <w:left w:w="108" w:type="dxa"/>
            <w:bottom w:w="0" w:type="dxa"/>
            <w:right w:w="108" w:type="dxa"/>
          </w:tblCellMar>
        </w:tblPrEx>
        <w:trPr>
          <w:trHeight w:val="707"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25</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督促和指导从事生产的企业及医院、学校、科研机构等单位提高使用危险化学品的安全生产条件，建立健全使用危险化学品的安全管理规章制度和安全操作规程，加强危险化学品使用安全管理，保证危险化学品的安全使用。</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市卫健委、市教育局、市科技局、市工信局、市公安局、市消防救援支队、市人社局等市直相关部门按照职责分工负责</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2020年底前</w:t>
            </w:r>
          </w:p>
        </w:tc>
      </w:tr>
      <w:tr>
        <w:tblPrEx>
          <w:tblCellMar>
            <w:top w:w="0" w:type="dxa"/>
            <w:left w:w="108" w:type="dxa"/>
            <w:bottom w:w="0" w:type="dxa"/>
            <w:right w:w="108" w:type="dxa"/>
          </w:tblCellMar>
        </w:tblPrEx>
        <w:trPr>
          <w:trHeight w:val="707"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26</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全面开展废弃危险化学品等危险废物排查，强化危险废物安全管控，督促企业严格遵照危险废物相关法律法规要求向地方生态环境部门申报，同时要按照有关标准要求进行稳定化处理。建立完善危险废物由产生到处置各环节联单制度。督促企业对重点环保设施和项目组织安全风险评估论证和隐患排查治理。</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市生态环境局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市应急管理局配合，市直相关部门依据职责分工负责</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707"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27</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加快油气输送管道和城镇燃气管道地理信息系统建设。全面排查油气输送管道建设、运行存在的重大安全隐患，全力清除违法违规占压的建构筑物。督促管道企业大力推进完整性管理，强化油气输送管道高后果区管控。提升管道企业自动化控制水平，油气长输管道须装备油气输送管道监控与数据采集（SCADA）系统。</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市发展改革委</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市住建局、市自然资源和规划局、市交通运输局、市应急管理局、市市场监管局等市直相关部门依据职责分工负责</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707"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28</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加强危险化学品安全研究支撑，加强危险化学品安全相关市级科技创新平台建设，开展基础性、前瞻性研究。鼓励加快新材料应用和新技术研发。</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市科技局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市直相关部门依据职责分工负责</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707"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29</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市、县及其相关部门制定贯彻落实中共中央办公厅、国务院办公厅《关于全面加强危险化学品安全生产工作的意见》具体方案，推动各项制度措施落地见效。</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市直相关部门依据职责分工配合，县级政府负责具体落实</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707"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30</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推动危险化学品企业建立安全生产自查自评机制和承诺制度，完善风险分级管控和隐患排查治理预防机制，落实防火巡查检查、消防设施器材定期维护保养、消防培训演练等安全制度，推进安全生产标准化和化工过程安全管理融合，将安全生产标准化建设内容和日常执法检查重点内容有机结合，推动企业持续改进安全管理绩效。</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市发展改革委、市工信局、市生态环境局、市住建局、市财政局、市消防救援支队、市市场监管局等市直相关部门依据职责分工负责</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707"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31</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严厉打击各类非法违法生产经营建设使用行为；全面治理违规违章问题，特别是强化对动火、进入受限空间等特殊作业的执法检查。</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市公安局、市商务局、市交通运输局、市生态环境局、市住建局、市消防救援支队、市市场监管局等市直相关部门依据职责分工指导，县级政府负责具体落实</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707"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32</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根据工信部全国危险化学品全生命周期信息共享平台建设的统一部署，组织常德市危险化学品生产企业纳入信息共享平台，综合利用电子标签、大数据、云计算、人工智能等高新技术，对危险化学品生产、贮存、运输、使用、经营、废弃处置等各环节进行全过程信息化管理和监控。</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市工信局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市直相关部门依据职责分工负责</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r>
        <w:tblPrEx>
          <w:tblCellMar>
            <w:top w:w="0" w:type="dxa"/>
            <w:left w:w="108" w:type="dxa"/>
            <w:bottom w:w="0" w:type="dxa"/>
            <w:right w:w="108" w:type="dxa"/>
          </w:tblCellMar>
        </w:tblPrEx>
        <w:trPr>
          <w:trHeight w:val="707" w:hRule="atLeast"/>
        </w:trPr>
        <w:tc>
          <w:tcPr>
            <w:tcW w:w="993"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33</w:t>
            </w:r>
          </w:p>
        </w:tc>
        <w:tc>
          <w:tcPr>
            <w:tcW w:w="7654" w:type="dxa"/>
            <w:tcBorders>
              <w:top w:val="single" w:color="auto" w:sz="4" w:space="0"/>
              <w:left w:val="nil"/>
              <w:bottom w:val="single" w:color="auto" w:sz="4" w:space="0"/>
              <w:right w:val="single" w:color="auto" w:sz="4" w:space="0"/>
            </w:tcBorders>
            <w:noWrap/>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强化危险化学品应急处置能力建设。加强应急救援装备配备，健全完善应急救援预案，开展实训演练，提高区域协同救援能力。组织实施危险化学品事故应急指南，指导企业提高应急处置能力。</w:t>
            </w:r>
          </w:p>
        </w:tc>
        <w:tc>
          <w:tcPr>
            <w:tcW w:w="1701"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市应急管理局</w:t>
            </w:r>
          </w:p>
        </w:tc>
        <w:tc>
          <w:tcPr>
            <w:tcW w:w="2410" w:type="dxa"/>
            <w:tcBorders>
              <w:top w:val="single" w:color="auto" w:sz="4" w:space="0"/>
              <w:left w:val="nil"/>
              <w:bottom w:val="single" w:color="auto" w:sz="4" w:space="0"/>
              <w:right w:val="single" w:color="auto" w:sz="4" w:space="0"/>
            </w:tcBorders>
            <w:noWrap w:val="0"/>
            <w:vAlign w:val="center"/>
          </w:tcPr>
          <w:p>
            <w:pPr>
              <w:spacing w:line="280" w:lineRule="exact"/>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市消防救援支队、市交通运输局、市公安局等市直相关部门依据职责分工负责，县级政府依据职责具体实施</w:t>
            </w:r>
          </w:p>
        </w:tc>
        <w:tc>
          <w:tcPr>
            <w:tcW w:w="1559" w:type="dxa"/>
            <w:tcBorders>
              <w:top w:val="single" w:color="auto" w:sz="4" w:space="0"/>
              <w:left w:val="nil"/>
              <w:bottom w:val="single" w:color="auto" w:sz="4" w:space="0"/>
              <w:right w:val="single" w:color="auto" w:sz="4" w:space="0"/>
            </w:tcBorders>
            <w:noWrap/>
            <w:vAlign w:val="center"/>
          </w:tcPr>
          <w:p>
            <w:pPr>
              <w:spacing w:line="280" w:lineRule="exact"/>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2022年底前</w:t>
            </w:r>
          </w:p>
        </w:tc>
      </w:tr>
    </w:tbl>
    <w:p>
      <w:pPr>
        <w:spacing w:line="240" w:lineRule="exact"/>
        <w:jc w:val="center"/>
        <w:rPr>
          <w:rFonts w:hint="eastAsia" w:ascii="仿宋_GB2312" w:hAnsi="仿宋" w:eastAsia="仿宋_GB2312" w:cs="宋体"/>
          <w:color w:val="000000"/>
          <w:kern w:val="0"/>
          <w:szCs w:val="21"/>
        </w:rPr>
      </w:pPr>
    </w:p>
    <w:p>
      <w:pPr>
        <w:spacing w:line="240" w:lineRule="exact"/>
        <w:rPr>
          <w:rFonts w:hint="eastAsia" w:ascii="仿宋_GB2312" w:hAnsi="仿宋" w:eastAsia="仿宋_GB2312" w:cs="宋体"/>
          <w:color w:val="000000"/>
          <w:kern w:val="0"/>
          <w:szCs w:val="21"/>
        </w:rPr>
      </w:pPr>
    </w:p>
    <w:p>
      <w:pPr>
        <w:adjustRightInd w:val="0"/>
        <w:snapToGrid w:val="0"/>
        <w:spacing w:line="560" w:lineRule="exact"/>
        <w:rPr>
          <w:rFonts w:hint="eastAsia" w:ascii="仿宋_GB2312" w:eastAsia="仿宋_GB2312"/>
          <w:color w:val="000000"/>
          <w:szCs w:val="21"/>
        </w:rPr>
        <w:sectPr>
          <w:pgSz w:w="16838" w:h="11906" w:orient="landscape"/>
          <w:pgMar w:top="1588" w:right="2098" w:bottom="1474" w:left="1985" w:header="851" w:footer="992" w:gutter="0"/>
          <w:pgNumType w:fmt="numberInDash"/>
          <w:cols w:space="720" w:num="1"/>
          <w:docGrid w:type="lines" w:linePitch="312" w:charSpace="0"/>
        </w:sectPr>
      </w:pPr>
    </w:p>
    <w:tbl>
      <w:tblPr>
        <w:tblStyle w:val="4"/>
        <w:tblW w:w="14079" w:type="dxa"/>
        <w:tblInd w:w="95" w:type="dxa"/>
        <w:tblLayout w:type="fixed"/>
        <w:tblCellMar>
          <w:top w:w="0" w:type="dxa"/>
          <w:left w:w="108" w:type="dxa"/>
          <w:bottom w:w="0" w:type="dxa"/>
          <w:right w:w="108" w:type="dxa"/>
        </w:tblCellMar>
      </w:tblPr>
      <w:tblGrid>
        <w:gridCol w:w="1352"/>
        <w:gridCol w:w="1260"/>
        <w:gridCol w:w="236"/>
        <w:gridCol w:w="142"/>
        <w:gridCol w:w="657"/>
        <w:gridCol w:w="1292"/>
        <w:gridCol w:w="3721"/>
        <w:gridCol w:w="1701"/>
        <w:gridCol w:w="1729"/>
        <w:gridCol w:w="1989"/>
      </w:tblGrid>
      <w:tr>
        <w:tblPrEx>
          <w:tblCellMar>
            <w:top w:w="0" w:type="dxa"/>
            <w:left w:w="108" w:type="dxa"/>
            <w:bottom w:w="0" w:type="dxa"/>
            <w:right w:w="108" w:type="dxa"/>
          </w:tblCellMar>
        </w:tblPrEx>
        <w:trPr>
          <w:trHeight w:val="1176" w:hRule="atLeast"/>
        </w:trPr>
        <w:tc>
          <w:tcPr>
            <w:tcW w:w="14079" w:type="dxa"/>
            <w:gridSpan w:val="10"/>
            <w:tcBorders>
              <w:top w:val="nil"/>
              <w:left w:val="nil"/>
              <w:bottom w:val="nil"/>
              <w:right w:val="nil"/>
            </w:tcBorders>
            <w:noWrap/>
            <w:vAlign w:val="center"/>
          </w:tcPr>
          <w:p>
            <w:pPr>
              <w:jc w:val="center"/>
              <w:rPr>
                <w:rFonts w:ascii="方正小标宋简体" w:eastAsia="方正小标宋简体"/>
                <w:color w:val="000000"/>
                <w:w w:val="90"/>
                <w:sz w:val="44"/>
                <w:szCs w:val="44"/>
              </w:rPr>
            </w:pPr>
            <w:r>
              <w:rPr>
                <w:rFonts w:hint="eastAsia" w:ascii="方正小标宋简体" w:eastAsia="方正小标宋简体"/>
                <w:color w:val="000000"/>
                <w:w w:val="90"/>
                <w:sz w:val="44"/>
                <w:szCs w:val="44"/>
              </w:rPr>
              <w:t>常德市烟花爆竹行业顽瘴痼疾促进产业转型升级实施方案重点任务分解表（四）</w:t>
            </w:r>
          </w:p>
        </w:tc>
      </w:tr>
      <w:tr>
        <w:tblPrEx>
          <w:tblCellMar>
            <w:top w:w="0" w:type="dxa"/>
            <w:left w:w="108" w:type="dxa"/>
            <w:bottom w:w="0" w:type="dxa"/>
            <w:right w:w="108" w:type="dxa"/>
          </w:tblCellMar>
        </w:tblPrEx>
        <w:trPr>
          <w:trHeight w:val="600" w:hRule="atLeast"/>
        </w:trPr>
        <w:tc>
          <w:tcPr>
            <w:tcW w:w="1352"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序号</w:t>
            </w:r>
          </w:p>
        </w:tc>
        <w:tc>
          <w:tcPr>
            <w:tcW w:w="7308" w:type="dxa"/>
            <w:gridSpan w:val="6"/>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任务内容</w:t>
            </w:r>
          </w:p>
        </w:tc>
        <w:tc>
          <w:tcPr>
            <w:tcW w:w="1701"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牵头单位</w:t>
            </w:r>
          </w:p>
        </w:tc>
        <w:tc>
          <w:tcPr>
            <w:tcW w:w="172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责任单位</w:t>
            </w:r>
          </w:p>
        </w:tc>
        <w:tc>
          <w:tcPr>
            <w:tcW w:w="1989" w:type="dxa"/>
            <w:tcBorders>
              <w:top w:val="single" w:color="auto" w:sz="4" w:space="0"/>
              <w:left w:val="nil"/>
              <w:bottom w:val="single" w:color="auto" w:sz="4" w:space="0"/>
              <w:right w:val="single" w:color="auto" w:sz="4" w:space="0"/>
            </w:tcBorders>
            <w:noWrap/>
            <w:vAlign w:val="center"/>
          </w:tcPr>
          <w:p>
            <w:pPr>
              <w:widowControl/>
              <w:jc w:val="center"/>
              <w:rPr>
                <w:rFonts w:hint="eastAsia" w:ascii="仿宋_GB2312" w:hAnsi="宋体" w:eastAsia="仿宋_GB2312" w:cs="宋体"/>
                <w:b/>
                <w:color w:val="000000"/>
                <w:kern w:val="0"/>
                <w:szCs w:val="21"/>
              </w:rPr>
            </w:pPr>
            <w:r>
              <w:rPr>
                <w:rFonts w:hint="eastAsia" w:ascii="仿宋_GB2312" w:hAnsi="宋体" w:eastAsia="仿宋_GB2312" w:cs="宋体"/>
                <w:b/>
                <w:color w:val="000000"/>
                <w:kern w:val="0"/>
                <w:szCs w:val="21"/>
              </w:rPr>
              <w:t>完成时间</w:t>
            </w:r>
          </w:p>
        </w:tc>
      </w:tr>
      <w:tr>
        <w:tblPrEx>
          <w:tblCellMar>
            <w:top w:w="0" w:type="dxa"/>
            <w:left w:w="108" w:type="dxa"/>
            <w:bottom w:w="0" w:type="dxa"/>
            <w:right w:w="108" w:type="dxa"/>
          </w:tblCellMar>
        </w:tblPrEx>
        <w:trPr>
          <w:trHeight w:val="3292" w:hRule="atLeast"/>
        </w:trPr>
        <w:tc>
          <w:tcPr>
            <w:tcW w:w="1352" w:type="dxa"/>
            <w:vMerge w:val="restart"/>
            <w:tcBorders>
              <w:top w:val="single" w:color="auto" w:sz="4" w:space="0"/>
              <w:left w:val="single" w:color="auto" w:sz="4" w:space="0"/>
              <w:right w:val="single" w:color="auto" w:sz="4" w:space="0"/>
            </w:tcBorders>
            <w:noWrap/>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1638" w:type="dxa"/>
            <w:gridSpan w:val="3"/>
            <w:vMerge w:val="restart"/>
            <w:tcBorders>
              <w:top w:val="single" w:color="auto" w:sz="4" w:space="0"/>
              <w:left w:val="nil"/>
              <w:right w:val="single" w:color="auto" w:sz="4" w:space="0"/>
            </w:tcBorders>
            <w:noWrap/>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深入整治顽瘴痼疾。通过公布举报方式、公开曝光典型案例、公告联合惩戒不诚信对象，营造顽瘴痼疾整治工作的浓厚氛围。</w:t>
            </w:r>
          </w:p>
        </w:tc>
        <w:tc>
          <w:tcPr>
            <w:tcW w:w="1949" w:type="dxa"/>
            <w:gridSpan w:val="2"/>
            <w:vMerge w:val="restart"/>
            <w:tcBorders>
              <w:top w:val="nil"/>
              <w:left w:val="nil"/>
              <w:right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通过计划执法、随机执法、交叉执法、联合执法等手段，在烟花爆竹生产、经营环节重点整治虚假整合形成的“一证多厂”、违法分包转包、“三超一改”、“下店上宅、前店后宅”、非法储存等顽瘴痼疾。</w:t>
            </w:r>
          </w:p>
          <w:p>
            <w:pPr>
              <w:rPr>
                <w:rFonts w:hint="eastAsia" w:ascii="仿宋_GB2312" w:hAnsi="宋体" w:eastAsia="仿宋_GB2312"/>
                <w:color w:val="000000"/>
                <w:szCs w:val="21"/>
              </w:rPr>
            </w:pPr>
          </w:p>
        </w:tc>
        <w:tc>
          <w:tcPr>
            <w:tcW w:w="3721" w:type="dxa"/>
            <w:tcBorders>
              <w:top w:val="nil"/>
              <w:left w:val="nil"/>
              <w:bottom w:val="single" w:color="auto" w:sz="4" w:space="0"/>
              <w:right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对烟花爆竹生产企业“一证多厂”情况进行全面摸排，坚决实施“一企一照一证（一正一副）”，发现生产企业未实现资产、生产经营、安全管理真正统一的，依法实施停产停业整顿并提请暂扣许可证照， 2020年9月30日前仍未整改的，由临澧县和桃源县人民政府决定予以关闭。</w:t>
            </w:r>
          </w:p>
        </w:tc>
        <w:tc>
          <w:tcPr>
            <w:tcW w:w="1701" w:type="dxa"/>
            <w:vMerge w:val="restart"/>
            <w:tcBorders>
              <w:top w:val="nil"/>
              <w:left w:val="nil"/>
              <w:right w:val="single" w:color="auto" w:sz="4" w:space="0"/>
            </w:tcBorders>
            <w:noWrap/>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市应急管理局</w:t>
            </w:r>
          </w:p>
        </w:tc>
        <w:tc>
          <w:tcPr>
            <w:tcW w:w="1729" w:type="dxa"/>
            <w:vMerge w:val="restart"/>
            <w:tcBorders>
              <w:top w:val="nil"/>
              <w:left w:val="nil"/>
              <w:right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市应急管理局、市公安局、市交通运输局、市邮政管理局、市市场监管局、常德海关等部门依职权负责，各区县市人民政府落实</w:t>
            </w:r>
          </w:p>
        </w:tc>
        <w:tc>
          <w:tcPr>
            <w:tcW w:w="1989"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2020年12月30日前全面完成</w:t>
            </w:r>
          </w:p>
        </w:tc>
      </w:tr>
      <w:tr>
        <w:tblPrEx>
          <w:tblCellMar>
            <w:top w:w="0" w:type="dxa"/>
            <w:left w:w="108" w:type="dxa"/>
            <w:bottom w:w="0" w:type="dxa"/>
            <w:right w:w="108" w:type="dxa"/>
          </w:tblCellMar>
        </w:tblPrEx>
        <w:trPr>
          <w:trHeight w:val="2108" w:hRule="atLeast"/>
        </w:trPr>
        <w:tc>
          <w:tcPr>
            <w:tcW w:w="1352" w:type="dxa"/>
            <w:vMerge w:val="continue"/>
            <w:tcBorders>
              <w:top w:val="nil"/>
              <w:left w:val="single" w:color="auto" w:sz="4" w:space="0"/>
              <w:right w:val="single" w:color="auto" w:sz="4" w:space="0"/>
            </w:tcBorders>
            <w:noWrap/>
            <w:vAlign w:val="center"/>
          </w:tcPr>
          <w:p>
            <w:pPr>
              <w:jc w:val="center"/>
              <w:rPr>
                <w:rFonts w:hint="eastAsia" w:ascii="仿宋_GB2312" w:hAnsi="宋体" w:eastAsia="仿宋_GB2312"/>
                <w:color w:val="000000"/>
                <w:szCs w:val="21"/>
              </w:rPr>
            </w:pPr>
          </w:p>
        </w:tc>
        <w:tc>
          <w:tcPr>
            <w:tcW w:w="1638" w:type="dxa"/>
            <w:gridSpan w:val="3"/>
            <w:vMerge w:val="continue"/>
            <w:tcBorders>
              <w:top w:val="nil"/>
              <w:left w:val="nil"/>
              <w:right w:val="single" w:color="auto" w:sz="4" w:space="0"/>
            </w:tcBorders>
            <w:noWrap/>
            <w:vAlign w:val="center"/>
          </w:tcPr>
          <w:p>
            <w:pPr>
              <w:rPr>
                <w:rFonts w:hint="eastAsia" w:ascii="仿宋_GB2312" w:hAnsi="宋体" w:eastAsia="仿宋_GB2312"/>
                <w:color w:val="000000"/>
                <w:szCs w:val="21"/>
              </w:rPr>
            </w:pPr>
          </w:p>
        </w:tc>
        <w:tc>
          <w:tcPr>
            <w:tcW w:w="1949" w:type="dxa"/>
            <w:gridSpan w:val="2"/>
            <w:vMerge w:val="continue"/>
            <w:tcBorders>
              <w:left w:val="nil"/>
              <w:right w:val="single" w:color="auto" w:sz="4" w:space="0"/>
            </w:tcBorders>
            <w:noWrap w:val="0"/>
            <w:vAlign w:val="center"/>
          </w:tcPr>
          <w:p>
            <w:pPr>
              <w:rPr>
                <w:rFonts w:hint="eastAsia" w:ascii="仿宋_GB2312" w:hAnsi="宋体" w:eastAsia="仿宋_GB2312"/>
                <w:color w:val="000000"/>
                <w:szCs w:val="21"/>
              </w:rPr>
            </w:pPr>
          </w:p>
        </w:tc>
        <w:tc>
          <w:tcPr>
            <w:tcW w:w="3721" w:type="dxa"/>
            <w:tcBorders>
              <w:top w:val="single" w:color="auto" w:sz="4" w:space="0"/>
              <w:left w:val="nil"/>
              <w:right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组织开展烟花爆竹“一证多厂”、违法分包转包、“三超一改”、“下店上宅、前店后宅”，非法违法运输、夹带走私、非法储存等顽瘴痼疾集中整治。</w:t>
            </w:r>
          </w:p>
        </w:tc>
        <w:tc>
          <w:tcPr>
            <w:tcW w:w="1701" w:type="dxa"/>
            <w:vMerge w:val="continue"/>
            <w:tcBorders>
              <w:left w:val="nil"/>
              <w:right w:val="single" w:color="auto" w:sz="4" w:space="0"/>
            </w:tcBorders>
            <w:noWrap/>
            <w:vAlign w:val="center"/>
          </w:tcPr>
          <w:p>
            <w:pPr>
              <w:rPr>
                <w:rFonts w:hint="eastAsia" w:ascii="仿宋_GB2312" w:hAnsi="宋体" w:eastAsia="仿宋_GB2312"/>
                <w:color w:val="000000"/>
                <w:szCs w:val="21"/>
              </w:rPr>
            </w:pPr>
          </w:p>
        </w:tc>
        <w:tc>
          <w:tcPr>
            <w:tcW w:w="1729" w:type="dxa"/>
            <w:vMerge w:val="continue"/>
            <w:tcBorders>
              <w:left w:val="nil"/>
              <w:right w:val="single" w:color="auto" w:sz="4" w:space="0"/>
            </w:tcBorders>
            <w:noWrap w:val="0"/>
            <w:vAlign w:val="center"/>
          </w:tcPr>
          <w:p>
            <w:pPr>
              <w:rPr>
                <w:rFonts w:hint="eastAsia" w:ascii="仿宋_GB2312" w:hAnsi="宋体" w:eastAsia="仿宋_GB2312"/>
                <w:color w:val="000000"/>
                <w:szCs w:val="21"/>
              </w:rPr>
            </w:pPr>
          </w:p>
        </w:tc>
        <w:tc>
          <w:tcPr>
            <w:tcW w:w="1989" w:type="dxa"/>
            <w:tcBorders>
              <w:top w:val="single" w:color="auto" w:sz="4" w:space="0"/>
              <w:left w:val="nil"/>
              <w:right w:val="single" w:color="auto" w:sz="4" w:space="0"/>
            </w:tcBorders>
            <w:noWrap/>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2020年6月至12月</w:t>
            </w:r>
          </w:p>
        </w:tc>
      </w:tr>
      <w:tr>
        <w:tblPrEx>
          <w:tblCellMar>
            <w:top w:w="0" w:type="dxa"/>
            <w:left w:w="108" w:type="dxa"/>
            <w:bottom w:w="0" w:type="dxa"/>
            <w:right w:w="108" w:type="dxa"/>
          </w:tblCellMar>
        </w:tblPrEx>
        <w:trPr>
          <w:trHeight w:val="561" w:hRule="atLeast"/>
        </w:trPr>
        <w:tc>
          <w:tcPr>
            <w:tcW w:w="1352" w:type="dxa"/>
            <w:vMerge w:val="continue"/>
            <w:tcBorders>
              <w:left w:val="single" w:color="auto" w:sz="4" w:space="0"/>
              <w:right w:val="single" w:color="auto" w:sz="4" w:space="0"/>
            </w:tcBorders>
            <w:noWrap/>
            <w:vAlign w:val="center"/>
          </w:tcPr>
          <w:p>
            <w:pPr>
              <w:jc w:val="center"/>
              <w:rPr>
                <w:rFonts w:hint="eastAsia" w:ascii="仿宋_GB2312" w:hAnsi="宋体" w:eastAsia="仿宋_GB2312"/>
                <w:color w:val="000000"/>
                <w:szCs w:val="21"/>
              </w:rPr>
            </w:pPr>
          </w:p>
        </w:tc>
        <w:tc>
          <w:tcPr>
            <w:tcW w:w="1638" w:type="dxa"/>
            <w:gridSpan w:val="3"/>
            <w:vMerge w:val="continue"/>
            <w:tcBorders>
              <w:left w:val="nil"/>
              <w:right w:val="single" w:color="auto" w:sz="4" w:space="0"/>
            </w:tcBorders>
            <w:noWrap/>
            <w:vAlign w:val="center"/>
          </w:tcPr>
          <w:p>
            <w:pPr>
              <w:rPr>
                <w:rFonts w:hint="eastAsia" w:ascii="仿宋_GB2312" w:hAnsi="宋体" w:eastAsia="仿宋_GB2312"/>
                <w:color w:val="000000"/>
                <w:szCs w:val="21"/>
              </w:rPr>
            </w:pPr>
          </w:p>
        </w:tc>
        <w:tc>
          <w:tcPr>
            <w:tcW w:w="5670" w:type="dxa"/>
            <w:gridSpan w:val="3"/>
            <w:tcBorders>
              <w:top w:val="single" w:color="auto" w:sz="4" w:space="0"/>
              <w:left w:val="nil"/>
              <w:bottom w:val="single" w:color="auto" w:sz="4" w:space="0"/>
              <w:right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在运输环节重点整治非法运输、伪报瞒报、夹带走私等问题</w:t>
            </w:r>
          </w:p>
        </w:tc>
        <w:tc>
          <w:tcPr>
            <w:tcW w:w="1701" w:type="dxa"/>
            <w:tcBorders>
              <w:top w:val="single" w:color="auto" w:sz="4" w:space="0"/>
              <w:left w:val="nil"/>
              <w:bottom w:val="single" w:color="auto" w:sz="4" w:space="0"/>
              <w:right w:val="single" w:color="auto" w:sz="4" w:space="0"/>
            </w:tcBorders>
            <w:noWrap/>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1729" w:type="dxa"/>
            <w:vMerge w:val="continue"/>
            <w:tcBorders>
              <w:left w:val="nil"/>
              <w:right w:val="single" w:color="auto" w:sz="4" w:space="0"/>
            </w:tcBorders>
            <w:noWrap w:val="0"/>
            <w:vAlign w:val="center"/>
          </w:tcPr>
          <w:p>
            <w:pPr>
              <w:rPr>
                <w:rFonts w:hint="eastAsia" w:ascii="仿宋_GB2312" w:hAnsi="宋体" w:eastAsia="仿宋_GB2312"/>
                <w:color w:val="000000"/>
                <w:szCs w:val="21"/>
              </w:rPr>
            </w:pPr>
          </w:p>
        </w:tc>
        <w:tc>
          <w:tcPr>
            <w:tcW w:w="1989" w:type="dxa"/>
            <w:vMerge w:val="restart"/>
            <w:tcBorders>
              <w:top w:val="single" w:color="auto" w:sz="4" w:space="0"/>
              <w:left w:val="nil"/>
              <w:right w:val="single" w:color="auto" w:sz="4" w:space="0"/>
            </w:tcBorders>
            <w:noWrap/>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2022年底前完成</w:t>
            </w:r>
          </w:p>
        </w:tc>
      </w:tr>
      <w:tr>
        <w:tblPrEx>
          <w:tblCellMar>
            <w:top w:w="0" w:type="dxa"/>
            <w:left w:w="108" w:type="dxa"/>
            <w:bottom w:w="0" w:type="dxa"/>
            <w:right w:w="108" w:type="dxa"/>
          </w:tblCellMar>
        </w:tblPrEx>
        <w:trPr>
          <w:trHeight w:val="541" w:hRule="atLeast"/>
        </w:trPr>
        <w:tc>
          <w:tcPr>
            <w:tcW w:w="1352" w:type="dxa"/>
            <w:vMerge w:val="continue"/>
            <w:tcBorders>
              <w:left w:val="single" w:color="auto" w:sz="4" w:space="0"/>
              <w:bottom w:val="single" w:color="auto" w:sz="4" w:space="0"/>
              <w:right w:val="single" w:color="auto" w:sz="4" w:space="0"/>
            </w:tcBorders>
            <w:noWrap/>
            <w:vAlign w:val="center"/>
          </w:tcPr>
          <w:p>
            <w:pPr>
              <w:jc w:val="center"/>
              <w:rPr>
                <w:rFonts w:hint="eastAsia" w:ascii="仿宋_GB2312" w:hAnsi="宋体" w:eastAsia="仿宋_GB2312"/>
                <w:color w:val="000000"/>
                <w:szCs w:val="21"/>
              </w:rPr>
            </w:pPr>
          </w:p>
        </w:tc>
        <w:tc>
          <w:tcPr>
            <w:tcW w:w="1638" w:type="dxa"/>
            <w:gridSpan w:val="3"/>
            <w:vMerge w:val="continue"/>
            <w:tcBorders>
              <w:left w:val="nil"/>
              <w:bottom w:val="single" w:color="auto" w:sz="4" w:space="0"/>
              <w:right w:val="single" w:color="auto" w:sz="4" w:space="0"/>
            </w:tcBorders>
            <w:noWrap/>
            <w:vAlign w:val="center"/>
          </w:tcPr>
          <w:p>
            <w:pPr>
              <w:rPr>
                <w:rFonts w:hint="eastAsia" w:ascii="仿宋_GB2312" w:hAnsi="宋体" w:eastAsia="仿宋_GB2312"/>
                <w:color w:val="000000"/>
                <w:szCs w:val="21"/>
              </w:rPr>
            </w:pPr>
          </w:p>
        </w:tc>
        <w:tc>
          <w:tcPr>
            <w:tcW w:w="5670" w:type="dxa"/>
            <w:gridSpan w:val="3"/>
            <w:tcBorders>
              <w:top w:val="single" w:color="auto" w:sz="4" w:space="0"/>
              <w:left w:val="nil"/>
              <w:bottom w:val="single" w:color="auto" w:sz="4" w:space="0"/>
              <w:right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依法查处邮寄烟花爆竹行为</w:t>
            </w:r>
          </w:p>
        </w:tc>
        <w:tc>
          <w:tcPr>
            <w:tcW w:w="1701" w:type="dxa"/>
            <w:tcBorders>
              <w:top w:val="single" w:color="auto" w:sz="4" w:space="0"/>
              <w:left w:val="nil"/>
              <w:bottom w:val="single" w:color="auto" w:sz="4" w:space="0"/>
              <w:right w:val="single" w:color="auto" w:sz="4" w:space="0"/>
            </w:tcBorders>
            <w:noWrap/>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市邮政管理局</w:t>
            </w:r>
          </w:p>
        </w:tc>
        <w:tc>
          <w:tcPr>
            <w:tcW w:w="1729" w:type="dxa"/>
            <w:vMerge w:val="continue"/>
            <w:tcBorders>
              <w:left w:val="nil"/>
              <w:bottom w:val="single" w:color="auto" w:sz="4" w:space="0"/>
              <w:right w:val="single" w:color="auto" w:sz="4" w:space="0"/>
            </w:tcBorders>
            <w:noWrap w:val="0"/>
            <w:vAlign w:val="center"/>
          </w:tcPr>
          <w:p>
            <w:pPr>
              <w:rPr>
                <w:rFonts w:hint="eastAsia" w:ascii="仿宋_GB2312" w:hAnsi="宋体" w:eastAsia="仿宋_GB2312"/>
                <w:color w:val="000000"/>
                <w:szCs w:val="21"/>
              </w:rPr>
            </w:pPr>
          </w:p>
        </w:tc>
        <w:tc>
          <w:tcPr>
            <w:tcW w:w="1989" w:type="dxa"/>
            <w:vMerge w:val="continue"/>
            <w:tcBorders>
              <w:left w:val="nil"/>
              <w:bottom w:val="single" w:color="auto" w:sz="4" w:space="0"/>
              <w:right w:val="single" w:color="auto" w:sz="4" w:space="0"/>
            </w:tcBorders>
            <w:noWrap/>
            <w:vAlign w:val="center"/>
          </w:tcPr>
          <w:p>
            <w:pPr>
              <w:jc w:val="center"/>
              <w:rPr>
                <w:rFonts w:hint="eastAsia" w:ascii="仿宋_GB2312" w:hAnsi="宋体" w:eastAsia="仿宋_GB2312"/>
                <w:color w:val="000000"/>
                <w:szCs w:val="21"/>
              </w:rPr>
            </w:pPr>
          </w:p>
        </w:tc>
      </w:tr>
      <w:tr>
        <w:tblPrEx>
          <w:tblCellMar>
            <w:top w:w="0" w:type="dxa"/>
            <w:left w:w="108" w:type="dxa"/>
            <w:bottom w:w="0" w:type="dxa"/>
            <w:right w:w="108" w:type="dxa"/>
          </w:tblCellMar>
        </w:tblPrEx>
        <w:trPr>
          <w:trHeight w:val="1684" w:hRule="atLeast"/>
        </w:trPr>
        <w:tc>
          <w:tcPr>
            <w:tcW w:w="1352" w:type="dxa"/>
            <w:vMerge w:val="restart"/>
            <w:tcBorders>
              <w:top w:val="single" w:color="auto" w:sz="4" w:space="0"/>
              <w:left w:val="single" w:color="auto" w:sz="4" w:space="0"/>
              <w:right w:val="single" w:color="auto" w:sz="4" w:space="0"/>
            </w:tcBorders>
            <w:noWrap/>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1496" w:type="dxa"/>
            <w:gridSpan w:val="2"/>
            <w:vMerge w:val="restart"/>
            <w:tcBorders>
              <w:top w:val="single" w:color="auto" w:sz="4" w:space="0"/>
              <w:left w:val="nil"/>
              <w:right w:val="single" w:color="auto" w:sz="4" w:space="0"/>
            </w:tcBorders>
            <w:noWrap/>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开展组织质量强安、爆炸性粉尘和静电防范治理专项行动，各牵头部门根据本方案要求，具体制定专项方案并实施。</w:t>
            </w:r>
          </w:p>
        </w:tc>
        <w:tc>
          <w:tcPr>
            <w:tcW w:w="5812" w:type="dxa"/>
            <w:gridSpan w:val="4"/>
            <w:tcBorders>
              <w:top w:val="single" w:color="auto" w:sz="4" w:space="0"/>
              <w:left w:val="nil"/>
              <w:bottom w:val="single" w:color="auto" w:sz="4" w:space="0"/>
              <w:right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持续推进烟花爆竹产品及原辅材料质量安全专项整治，依法落实统一的标准规范，完善并及时公布违禁原材料清单和伪劣原辅材料清单。</w:t>
            </w:r>
          </w:p>
          <w:p>
            <w:pPr>
              <w:rPr>
                <w:rFonts w:hint="eastAsia" w:ascii="仿宋_GB2312" w:hAnsi="宋体" w:eastAsia="仿宋_GB2312"/>
                <w:color w:val="000000"/>
                <w:szCs w:val="21"/>
              </w:rPr>
            </w:pPr>
            <w:r>
              <w:rPr>
                <w:rFonts w:hint="eastAsia" w:ascii="仿宋_GB2312" w:hAnsi="宋体" w:eastAsia="仿宋_GB2312"/>
                <w:color w:val="000000"/>
                <w:szCs w:val="21"/>
              </w:rPr>
              <w:t>督促企业落实原材料入库、使用前检测制度，落实出口产品投产前安全备案审查。</w:t>
            </w:r>
          </w:p>
          <w:p>
            <w:pPr>
              <w:rPr>
                <w:rFonts w:hint="eastAsia" w:ascii="仿宋_GB2312" w:hAnsi="宋体" w:eastAsia="仿宋_GB2312"/>
                <w:color w:val="000000"/>
                <w:szCs w:val="21"/>
              </w:rPr>
            </w:pPr>
            <w:r>
              <w:rPr>
                <w:rFonts w:hint="eastAsia" w:ascii="仿宋_GB2312" w:hAnsi="宋体" w:eastAsia="仿宋_GB2312"/>
                <w:color w:val="000000"/>
                <w:szCs w:val="21"/>
              </w:rPr>
              <w:t>加强生产环节产品质量监督抽查，依法严厉查处产品和原辅材料“标识不清”“来源不明”“超标违禁”、不符合强制标准等质量违法行为。</w:t>
            </w:r>
          </w:p>
        </w:tc>
        <w:tc>
          <w:tcPr>
            <w:tcW w:w="1701" w:type="dxa"/>
            <w:tcBorders>
              <w:top w:val="single" w:color="auto" w:sz="4" w:space="0"/>
              <w:left w:val="nil"/>
              <w:bottom w:val="single" w:color="auto" w:sz="4" w:space="0"/>
              <w:right w:val="single" w:color="auto" w:sz="4" w:space="0"/>
            </w:tcBorders>
            <w:noWrap/>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市市场监管局</w:t>
            </w:r>
          </w:p>
        </w:tc>
        <w:tc>
          <w:tcPr>
            <w:tcW w:w="1729" w:type="dxa"/>
            <w:tcBorders>
              <w:top w:val="single" w:color="auto" w:sz="4" w:space="0"/>
              <w:left w:val="nil"/>
              <w:bottom w:val="single" w:color="auto" w:sz="4" w:space="0"/>
              <w:right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市应急管理局、市生态环境局、常德海关等部门配合，临澧县和桃源县人民政府落实</w:t>
            </w:r>
          </w:p>
        </w:tc>
        <w:tc>
          <w:tcPr>
            <w:tcW w:w="1989" w:type="dxa"/>
            <w:vMerge w:val="restart"/>
            <w:tcBorders>
              <w:top w:val="single" w:color="auto" w:sz="4" w:space="0"/>
              <w:left w:val="nil"/>
              <w:right w:val="single" w:color="auto" w:sz="4" w:space="0"/>
            </w:tcBorders>
            <w:noWrap/>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2020年6月至2022年9月</w:t>
            </w:r>
          </w:p>
        </w:tc>
      </w:tr>
      <w:tr>
        <w:tblPrEx>
          <w:tblCellMar>
            <w:top w:w="0" w:type="dxa"/>
            <w:left w:w="108" w:type="dxa"/>
            <w:bottom w:w="0" w:type="dxa"/>
            <w:right w:w="108" w:type="dxa"/>
          </w:tblCellMar>
        </w:tblPrEx>
        <w:trPr>
          <w:trHeight w:val="1757" w:hRule="atLeast"/>
        </w:trPr>
        <w:tc>
          <w:tcPr>
            <w:tcW w:w="1352" w:type="dxa"/>
            <w:vMerge w:val="continue"/>
            <w:tcBorders>
              <w:left w:val="single" w:color="auto" w:sz="4" w:space="0"/>
              <w:bottom w:val="single" w:color="auto" w:sz="4" w:space="0"/>
              <w:right w:val="single" w:color="auto" w:sz="4" w:space="0"/>
            </w:tcBorders>
            <w:noWrap/>
            <w:vAlign w:val="center"/>
          </w:tcPr>
          <w:p>
            <w:pPr>
              <w:jc w:val="center"/>
              <w:rPr>
                <w:rFonts w:hint="eastAsia" w:ascii="仿宋_GB2312" w:hAnsi="宋体" w:eastAsia="仿宋_GB2312"/>
                <w:color w:val="000000"/>
                <w:szCs w:val="21"/>
              </w:rPr>
            </w:pPr>
          </w:p>
        </w:tc>
        <w:tc>
          <w:tcPr>
            <w:tcW w:w="1496" w:type="dxa"/>
            <w:gridSpan w:val="2"/>
            <w:vMerge w:val="continue"/>
            <w:tcBorders>
              <w:left w:val="nil"/>
              <w:bottom w:val="single" w:color="auto" w:sz="4" w:space="0"/>
              <w:right w:val="single" w:color="auto" w:sz="4" w:space="0"/>
            </w:tcBorders>
            <w:noWrap/>
            <w:vAlign w:val="center"/>
          </w:tcPr>
          <w:p>
            <w:pPr>
              <w:rPr>
                <w:rFonts w:hint="eastAsia" w:ascii="仿宋_GB2312" w:hAnsi="宋体" w:eastAsia="仿宋_GB2312"/>
                <w:color w:val="000000"/>
                <w:szCs w:val="21"/>
              </w:rPr>
            </w:pPr>
          </w:p>
        </w:tc>
        <w:tc>
          <w:tcPr>
            <w:tcW w:w="5812" w:type="dxa"/>
            <w:gridSpan w:val="4"/>
            <w:tcBorders>
              <w:top w:val="single" w:color="auto" w:sz="4" w:space="0"/>
              <w:left w:val="nil"/>
              <w:bottom w:val="single" w:color="auto" w:sz="4" w:space="0"/>
              <w:right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开展烟花爆竹爆炸性粉尘和静电专项治理，督促企业加强管控，深入排查安全隐患，改善药物危险作业环境，规范作业器具、包装物、运输工具管理，从作业人员、作业环境、作业工器具等方面完善防静电措施。提出科学的防控措施和检查方法，降低或抑制药物粉尘产生。</w:t>
            </w:r>
          </w:p>
        </w:tc>
        <w:tc>
          <w:tcPr>
            <w:tcW w:w="1701" w:type="dxa"/>
            <w:tcBorders>
              <w:top w:val="single" w:color="auto" w:sz="4" w:space="0"/>
              <w:left w:val="nil"/>
              <w:bottom w:val="single" w:color="auto" w:sz="4" w:space="0"/>
              <w:right w:val="single" w:color="auto" w:sz="4" w:space="0"/>
            </w:tcBorders>
            <w:noWrap/>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市应急管理局</w:t>
            </w:r>
          </w:p>
        </w:tc>
        <w:tc>
          <w:tcPr>
            <w:tcW w:w="1729" w:type="dxa"/>
            <w:tcBorders>
              <w:top w:val="single" w:color="auto" w:sz="4" w:space="0"/>
              <w:left w:val="nil"/>
              <w:bottom w:val="single" w:color="auto" w:sz="4" w:space="0"/>
              <w:right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市科技局、市市场监管局配合，临澧县和桃源县人民政府落实</w:t>
            </w:r>
          </w:p>
        </w:tc>
        <w:tc>
          <w:tcPr>
            <w:tcW w:w="1989" w:type="dxa"/>
            <w:vMerge w:val="continue"/>
            <w:tcBorders>
              <w:left w:val="nil"/>
              <w:bottom w:val="single" w:color="auto" w:sz="4" w:space="0"/>
              <w:right w:val="single" w:color="auto" w:sz="4" w:space="0"/>
            </w:tcBorders>
            <w:noWrap/>
            <w:vAlign w:val="center"/>
          </w:tcPr>
          <w:p>
            <w:pPr>
              <w:jc w:val="center"/>
              <w:rPr>
                <w:rFonts w:hint="eastAsia" w:ascii="仿宋_GB2312" w:hAnsi="宋体" w:eastAsia="仿宋_GB2312"/>
                <w:color w:val="000000"/>
                <w:szCs w:val="21"/>
              </w:rPr>
            </w:pPr>
          </w:p>
        </w:tc>
      </w:tr>
      <w:tr>
        <w:tblPrEx>
          <w:tblCellMar>
            <w:top w:w="0" w:type="dxa"/>
            <w:left w:w="108" w:type="dxa"/>
            <w:bottom w:w="0" w:type="dxa"/>
            <w:right w:w="108" w:type="dxa"/>
          </w:tblCellMar>
        </w:tblPrEx>
        <w:trPr>
          <w:trHeight w:val="1978" w:hRule="atLeast"/>
        </w:trPr>
        <w:tc>
          <w:tcPr>
            <w:tcW w:w="1352" w:type="dxa"/>
            <w:tcBorders>
              <w:top w:val="nil"/>
              <w:left w:val="single" w:color="auto" w:sz="4" w:space="0"/>
              <w:bottom w:val="single" w:color="auto" w:sz="4" w:space="0"/>
              <w:right w:val="single" w:color="auto" w:sz="4" w:space="0"/>
            </w:tcBorders>
            <w:noWrap/>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7308" w:type="dxa"/>
            <w:gridSpan w:val="6"/>
            <w:tcBorders>
              <w:top w:val="nil"/>
              <w:left w:val="nil"/>
              <w:bottom w:val="single" w:color="auto" w:sz="4" w:space="0"/>
              <w:right w:val="single" w:color="auto" w:sz="4" w:space="0"/>
            </w:tcBorders>
            <w:noWrap/>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继续推进供给侧结构性改革：</w:t>
            </w:r>
          </w:p>
          <w:p>
            <w:pPr>
              <w:rPr>
                <w:rFonts w:hint="eastAsia" w:ascii="仿宋_GB2312" w:hAnsi="宋体" w:eastAsia="仿宋_GB2312"/>
                <w:color w:val="000000"/>
                <w:szCs w:val="21"/>
              </w:rPr>
            </w:pPr>
            <w:r>
              <w:rPr>
                <w:rFonts w:hint="eastAsia" w:ascii="仿宋_GB2312" w:hAnsi="宋体" w:eastAsia="仿宋_GB2312"/>
                <w:color w:val="000000"/>
                <w:szCs w:val="21"/>
              </w:rPr>
              <w:t>采取“坚决关闭一批、巩固提升一批、淘汰退出一批”的措施，坚定不移推进烟花爆竹供给侧结构性改革，解决低端产能“过多、过散”问题。</w:t>
            </w:r>
          </w:p>
          <w:p>
            <w:pPr>
              <w:rPr>
                <w:rFonts w:hint="eastAsia" w:ascii="仿宋_GB2312" w:hAnsi="宋体" w:eastAsia="仿宋_GB2312"/>
                <w:color w:val="000000"/>
                <w:szCs w:val="21"/>
              </w:rPr>
            </w:pPr>
            <w:r>
              <w:rPr>
                <w:rFonts w:hint="eastAsia" w:ascii="仿宋_GB2312" w:hAnsi="宋体" w:eastAsia="仿宋_GB2312"/>
                <w:color w:val="000000"/>
                <w:szCs w:val="21"/>
              </w:rPr>
              <w:t>优化产业布局，鼓励临澧县和桃源县综合运用政策和法律手段，引导辖区内生产企业逐步有序退出或产业转移，根据《湖南省人民政府办公厅关于加强整顿治理促进烟花爆竹产业安全发展的意见》（湘政办发〔2016〕16号）和省政府专题会议纪要（湘府阅〔2020〕2号）精神，临澧县和桃源县人民政府有序推动淘汰落后不安全产能和转型升级，力争于2021年底前完成省里下达的退出任务。</w:t>
            </w:r>
          </w:p>
        </w:tc>
        <w:tc>
          <w:tcPr>
            <w:tcW w:w="1701" w:type="dxa"/>
            <w:tcBorders>
              <w:top w:val="nil"/>
              <w:left w:val="nil"/>
              <w:bottom w:val="single" w:color="auto" w:sz="4" w:space="0"/>
              <w:right w:val="single" w:color="auto" w:sz="4" w:space="0"/>
            </w:tcBorders>
            <w:noWrap/>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市工信局</w:t>
            </w:r>
          </w:p>
        </w:tc>
        <w:tc>
          <w:tcPr>
            <w:tcW w:w="1729" w:type="dxa"/>
            <w:tcBorders>
              <w:top w:val="nil"/>
              <w:left w:val="nil"/>
              <w:bottom w:val="single" w:color="auto" w:sz="4" w:space="0"/>
              <w:right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市应急管理局、市财政局、市市场监管局、市税务局等部门配合，临澧县和桃源县人民政府落实</w:t>
            </w:r>
          </w:p>
        </w:tc>
        <w:tc>
          <w:tcPr>
            <w:tcW w:w="1989" w:type="dxa"/>
            <w:tcBorders>
              <w:top w:val="nil"/>
              <w:left w:val="nil"/>
              <w:bottom w:val="single" w:color="auto" w:sz="4" w:space="0"/>
              <w:right w:val="single" w:color="auto" w:sz="4" w:space="0"/>
            </w:tcBorders>
            <w:noWrap/>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2021年底前完成</w:t>
            </w:r>
          </w:p>
        </w:tc>
      </w:tr>
      <w:tr>
        <w:tblPrEx>
          <w:tblCellMar>
            <w:top w:w="0" w:type="dxa"/>
            <w:left w:w="108" w:type="dxa"/>
            <w:bottom w:w="0" w:type="dxa"/>
            <w:right w:w="108" w:type="dxa"/>
          </w:tblCellMar>
        </w:tblPrEx>
        <w:trPr>
          <w:trHeight w:val="2827" w:hRule="atLeast"/>
        </w:trPr>
        <w:tc>
          <w:tcPr>
            <w:tcW w:w="1352" w:type="dxa"/>
            <w:vMerge w:val="restart"/>
            <w:tcBorders>
              <w:top w:val="single" w:color="auto" w:sz="4" w:space="0"/>
              <w:left w:val="single" w:color="auto" w:sz="4" w:space="0"/>
              <w:right w:val="single" w:color="auto" w:sz="4" w:space="0"/>
            </w:tcBorders>
            <w:noWrap/>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1260" w:type="dxa"/>
            <w:vMerge w:val="restart"/>
            <w:tcBorders>
              <w:top w:val="single" w:color="auto" w:sz="4" w:space="0"/>
              <w:left w:val="nil"/>
              <w:right w:val="single" w:color="auto" w:sz="4" w:space="0"/>
            </w:tcBorders>
            <w:noWrap/>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加强企业本质安全建设</w:t>
            </w:r>
          </w:p>
          <w:p>
            <w:pPr>
              <w:rPr>
                <w:rFonts w:hint="eastAsia" w:ascii="仿宋_GB2312" w:hAnsi="宋体" w:eastAsia="仿宋_GB2312"/>
                <w:color w:val="000000"/>
                <w:szCs w:val="21"/>
              </w:rPr>
            </w:pPr>
          </w:p>
        </w:tc>
        <w:tc>
          <w:tcPr>
            <w:tcW w:w="6048" w:type="dxa"/>
            <w:gridSpan w:val="5"/>
            <w:tcBorders>
              <w:top w:val="single" w:color="auto" w:sz="4" w:space="0"/>
              <w:left w:val="nil"/>
              <w:bottom w:val="single" w:color="auto" w:sz="4" w:space="0"/>
              <w:right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紧紧围绕人、物、制度和不断变化的时空环境四要素，督促企业依法依规完善内部安全管理体系、安全作业规程和安全管理制度等，推动企业安全生产主体责任落实。</w:t>
            </w:r>
          </w:p>
          <w:p>
            <w:pPr>
              <w:rPr>
                <w:rFonts w:hint="eastAsia" w:ascii="仿宋_GB2312" w:hAnsi="宋体" w:eastAsia="仿宋_GB2312"/>
                <w:color w:val="000000"/>
                <w:szCs w:val="21"/>
              </w:rPr>
            </w:pPr>
            <w:r>
              <w:rPr>
                <w:rFonts w:hint="eastAsia" w:ascii="仿宋_GB2312" w:hAnsi="宋体" w:eastAsia="仿宋_GB2312"/>
                <w:color w:val="000000"/>
                <w:szCs w:val="21"/>
              </w:rPr>
              <w:t>强化企业负责人、安全管理人员、特种作业人员安全培训考核，提高员工培训的实效性、针对性。</w:t>
            </w:r>
          </w:p>
          <w:p>
            <w:pPr>
              <w:rPr>
                <w:rFonts w:hint="eastAsia" w:ascii="仿宋_GB2312" w:hAnsi="宋体" w:eastAsia="仿宋_GB2312"/>
                <w:color w:val="000000"/>
                <w:szCs w:val="21"/>
              </w:rPr>
            </w:pPr>
            <w:r>
              <w:rPr>
                <w:rFonts w:hint="eastAsia" w:ascii="仿宋_GB2312" w:hAnsi="宋体" w:eastAsia="仿宋_GB2312"/>
                <w:color w:val="000000"/>
                <w:szCs w:val="21"/>
              </w:rPr>
              <w:t>加强黑火药、烟火药、引火线保管储运安全措施落实，严防丢失和被非法利用。</w:t>
            </w:r>
          </w:p>
        </w:tc>
        <w:tc>
          <w:tcPr>
            <w:tcW w:w="1701" w:type="dxa"/>
            <w:vMerge w:val="restart"/>
            <w:tcBorders>
              <w:top w:val="single" w:color="auto" w:sz="4" w:space="0"/>
              <w:left w:val="nil"/>
              <w:right w:val="single" w:color="auto" w:sz="4" w:space="0"/>
            </w:tcBorders>
            <w:noWrap/>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市应急管理局</w:t>
            </w:r>
          </w:p>
        </w:tc>
        <w:tc>
          <w:tcPr>
            <w:tcW w:w="1729" w:type="dxa"/>
            <w:vMerge w:val="restart"/>
            <w:tcBorders>
              <w:top w:val="single" w:color="auto" w:sz="4" w:space="0"/>
              <w:left w:val="nil"/>
              <w:right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市应急管理局、市公安局依职权负责，产区县人民政府落实</w:t>
            </w:r>
          </w:p>
        </w:tc>
        <w:tc>
          <w:tcPr>
            <w:tcW w:w="1989" w:type="dxa"/>
            <w:vMerge w:val="restart"/>
            <w:tcBorders>
              <w:top w:val="single" w:color="auto" w:sz="4" w:space="0"/>
              <w:left w:val="nil"/>
              <w:right w:val="single" w:color="auto" w:sz="4" w:space="0"/>
            </w:tcBorders>
            <w:noWrap/>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2022年底前完成</w:t>
            </w:r>
          </w:p>
        </w:tc>
      </w:tr>
      <w:tr>
        <w:tblPrEx>
          <w:tblCellMar>
            <w:top w:w="0" w:type="dxa"/>
            <w:left w:w="108" w:type="dxa"/>
            <w:bottom w:w="0" w:type="dxa"/>
            <w:right w:w="108" w:type="dxa"/>
          </w:tblCellMar>
        </w:tblPrEx>
        <w:trPr>
          <w:trHeight w:val="2258" w:hRule="atLeast"/>
        </w:trPr>
        <w:tc>
          <w:tcPr>
            <w:tcW w:w="1352" w:type="dxa"/>
            <w:vMerge w:val="continue"/>
            <w:tcBorders>
              <w:left w:val="single" w:color="auto" w:sz="4" w:space="0"/>
              <w:right w:val="single" w:color="auto" w:sz="4" w:space="0"/>
            </w:tcBorders>
            <w:noWrap/>
            <w:vAlign w:val="center"/>
          </w:tcPr>
          <w:p>
            <w:pPr>
              <w:jc w:val="center"/>
              <w:rPr>
                <w:rFonts w:hint="eastAsia" w:ascii="仿宋_GB2312" w:hAnsi="宋体" w:eastAsia="仿宋_GB2312"/>
                <w:color w:val="000000"/>
                <w:szCs w:val="21"/>
              </w:rPr>
            </w:pPr>
          </w:p>
        </w:tc>
        <w:tc>
          <w:tcPr>
            <w:tcW w:w="1260" w:type="dxa"/>
            <w:vMerge w:val="continue"/>
            <w:tcBorders>
              <w:left w:val="nil"/>
              <w:right w:val="single" w:color="auto" w:sz="4" w:space="0"/>
            </w:tcBorders>
            <w:noWrap/>
            <w:vAlign w:val="center"/>
          </w:tcPr>
          <w:p>
            <w:pPr>
              <w:rPr>
                <w:rFonts w:hint="eastAsia" w:ascii="仿宋_GB2312" w:hAnsi="宋体" w:eastAsia="仿宋_GB2312"/>
                <w:color w:val="000000"/>
                <w:szCs w:val="21"/>
              </w:rPr>
            </w:pPr>
          </w:p>
        </w:tc>
        <w:tc>
          <w:tcPr>
            <w:tcW w:w="1035" w:type="dxa"/>
            <w:gridSpan w:val="3"/>
            <w:vMerge w:val="restart"/>
            <w:tcBorders>
              <w:top w:val="single" w:color="auto" w:sz="4" w:space="0"/>
              <w:left w:val="nil"/>
              <w:right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强化流向信息化管理</w:t>
            </w:r>
          </w:p>
        </w:tc>
        <w:tc>
          <w:tcPr>
            <w:tcW w:w="5013"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 xml:space="preserve">督促企业完善黑火药、烟火药、引火线购买、领用、销售登记制度，全面安装并使用《烟花爆竹流向信息管理系统》，如实登记产品来源和去向信息； </w:t>
            </w:r>
          </w:p>
        </w:tc>
        <w:tc>
          <w:tcPr>
            <w:tcW w:w="1701" w:type="dxa"/>
            <w:vMerge w:val="continue"/>
            <w:tcBorders>
              <w:top w:val="single" w:color="auto" w:sz="4" w:space="0"/>
              <w:left w:val="nil"/>
              <w:bottom w:val="single" w:color="auto" w:sz="4" w:space="0"/>
              <w:right w:val="single" w:color="auto" w:sz="4" w:space="0"/>
            </w:tcBorders>
            <w:noWrap/>
            <w:vAlign w:val="center"/>
          </w:tcPr>
          <w:p>
            <w:pPr>
              <w:rPr>
                <w:rFonts w:hint="eastAsia" w:ascii="仿宋_GB2312" w:hAnsi="宋体" w:eastAsia="仿宋_GB2312"/>
                <w:color w:val="000000"/>
                <w:szCs w:val="21"/>
              </w:rPr>
            </w:pPr>
          </w:p>
        </w:tc>
        <w:tc>
          <w:tcPr>
            <w:tcW w:w="1729" w:type="dxa"/>
            <w:vMerge w:val="continue"/>
            <w:tcBorders>
              <w:left w:val="nil"/>
              <w:right w:val="single" w:color="auto" w:sz="4" w:space="0"/>
            </w:tcBorders>
            <w:noWrap w:val="0"/>
            <w:vAlign w:val="center"/>
          </w:tcPr>
          <w:p>
            <w:pPr>
              <w:rPr>
                <w:rFonts w:hint="eastAsia" w:ascii="仿宋_GB2312" w:hAnsi="宋体" w:eastAsia="仿宋_GB2312"/>
                <w:color w:val="000000"/>
                <w:szCs w:val="21"/>
              </w:rPr>
            </w:pPr>
          </w:p>
        </w:tc>
        <w:tc>
          <w:tcPr>
            <w:tcW w:w="1989" w:type="dxa"/>
            <w:vMerge w:val="continue"/>
            <w:tcBorders>
              <w:left w:val="nil"/>
              <w:right w:val="single" w:color="auto" w:sz="4" w:space="0"/>
            </w:tcBorders>
            <w:noWrap/>
            <w:vAlign w:val="center"/>
          </w:tcPr>
          <w:p>
            <w:pPr>
              <w:jc w:val="center"/>
              <w:rPr>
                <w:rFonts w:hint="eastAsia" w:ascii="仿宋_GB2312" w:hAnsi="宋体" w:eastAsia="仿宋_GB2312"/>
                <w:color w:val="000000"/>
                <w:szCs w:val="21"/>
              </w:rPr>
            </w:pPr>
          </w:p>
        </w:tc>
      </w:tr>
      <w:tr>
        <w:tblPrEx>
          <w:tblCellMar>
            <w:top w:w="0" w:type="dxa"/>
            <w:left w:w="108" w:type="dxa"/>
            <w:bottom w:w="0" w:type="dxa"/>
            <w:right w:w="108" w:type="dxa"/>
          </w:tblCellMar>
        </w:tblPrEx>
        <w:trPr>
          <w:trHeight w:val="2403" w:hRule="atLeast"/>
        </w:trPr>
        <w:tc>
          <w:tcPr>
            <w:tcW w:w="1352" w:type="dxa"/>
            <w:vMerge w:val="continue"/>
            <w:tcBorders>
              <w:left w:val="single" w:color="auto" w:sz="4" w:space="0"/>
              <w:bottom w:val="single" w:color="auto" w:sz="4" w:space="0"/>
              <w:right w:val="single" w:color="auto" w:sz="4" w:space="0"/>
            </w:tcBorders>
            <w:noWrap/>
            <w:vAlign w:val="center"/>
          </w:tcPr>
          <w:p>
            <w:pPr>
              <w:jc w:val="center"/>
              <w:rPr>
                <w:rFonts w:hint="eastAsia" w:ascii="仿宋_GB2312" w:hAnsi="宋体" w:eastAsia="仿宋_GB2312"/>
                <w:color w:val="000000"/>
                <w:szCs w:val="21"/>
              </w:rPr>
            </w:pPr>
          </w:p>
        </w:tc>
        <w:tc>
          <w:tcPr>
            <w:tcW w:w="1260" w:type="dxa"/>
            <w:vMerge w:val="continue"/>
            <w:tcBorders>
              <w:left w:val="nil"/>
              <w:bottom w:val="single" w:color="auto" w:sz="4" w:space="0"/>
              <w:right w:val="single" w:color="auto" w:sz="4" w:space="0"/>
            </w:tcBorders>
            <w:noWrap/>
            <w:vAlign w:val="center"/>
          </w:tcPr>
          <w:p>
            <w:pPr>
              <w:rPr>
                <w:rFonts w:hint="eastAsia" w:ascii="仿宋_GB2312" w:hAnsi="宋体" w:eastAsia="仿宋_GB2312"/>
                <w:color w:val="000000"/>
                <w:szCs w:val="21"/>
              </w:rPr>
            </w:pPr>
          </w:p>
        </w:tc>
        <w:tc>
          <w:tcPr>
            <w:tcW w:w="1035" w:type="dxa"/>
            <w:gridSpan w:val="3"/>
            <w:vMerge w:val="continue"/>
            <w:tcBorders>
              <w:left w:val="nil"/>
              <w:bottom w:val="single" w:color="auto" w:sz="4" w:space="0"/>
              <w:right w:val="single" w:color="auto" w:sz="4" w:space="0"/>
            </w:tcBorders>
            <w:noWrap w:val="0"/>
            <w:vAlign w:val="center"/>
          </w:tcPr>
          <w:p>
            <w:pPr>
              <w:rPr>
                <w:rFonts w:hint="eastAsia" w:ascii="仿宋_GB2312" w:hAnsi="宋体" w:eastAsia="仿宋_GB2312"/>
                <w:color w:val="000000"/>
                <w:szCs w:val="21"/>
              </w:rPr>
            </w:pPr>
          </w:p>
        </w:tc>
        <w:tc>
          <w:tcPr>
            <w:tcW w:w="5013"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及时将烟花爆竹易制爆危险品的品种、数量及流向信息通过《湖南省易制爆流向信息系统》向公安部门备案。</w:t>
            </w:r>
          </w:p>
        </w:tc>
        <w:tc>
          <w:tcPr>
            <w:tcW w:w="1701" w:type="dxa"/>
            <w:tcBorders>
              <w:top w:val="single" w:color="auto" w:sz="4" w:space="0"/>
              <w:left w:val="nil"/>
              <w:bottom w:val="single" w:color="auto" w:sz="4" w:space="0"/>
              <w:right w:val="single" w:color="auto" w:sz="4" w:space="0"/>
            </w:tcBorders>
            <w:noWrap/>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市公安局</w:t>
            </w:r>
          </w:p>
        </w:tc>
        <w:tc>
          <w:tcPr>
            <w:tcW w:w="1729" w:type="dxa"/>
            <w:vMerge w:val="continue"/>
            <w:tcBorders>
              <w:left w:val="nil"/>
              <w:bottom w:val="single" w:color="auto" w:sz="4" w:space="0"/>
              <w:right w:val="single" w:color="auto" w:sz="4" w:space="0"/>
            </w:tcBorders>
            <w:noWrap w:val="0"/>
            <w:vAlign w:val="center"/>
          </w:tcPr>
          <w:p>
            <w:pPr>
              <w:rPr>
                <w:rFonts w:hint="eastAsia" w:ascii="仿宋_GB2312" w:hAnsi="宋体" w:eastAsia="仿宋_GB2312"/>
                <w:color w:val="000000"/>
                <w:szCs w:val="21"/>
              </w:rPr>
            </w:pPr>
          </w:p>
        </w:tc>
        <w:tc>
          <w:tcPr>
            <w:tcW w:w="1989" w:type="dxa"/>
            <w:vMerge w:val="continue"/>
            <w:tcBorders>
              <w:left w:val="nil"/>
              <w:bottom w:val="single" w:color="auto" w:sz="4" w:space="0"/>
              <w:right w:val="single" w:color="auto" w:sz="4" w:space="0"/>
            </w:tcBorders>
            <w:noWrap/>
            <w:vAlign w:val="center"/>
          </w:tcPr>
          <w:p>
            <w:pPr>
              <w:jc w:val="center"/>
              <w:rPr>
                <w:rFonts w:hint="eastAsia" w:ascii="仿宋_GB2312" w:hAnsi="宋体" w:eastAsia="仿宋_GB2312"/>
                <w:color w:val="000000"/>
                <w:szCs w:val="21"/>
              </w:rPr>
            </w:pPr>
          </w:p>
        </w:tc>
      </w:tr>
    </w:tbl>
    <w:p>
      <w:pPr>
        <w:rPr>
          <w:rFonts w:hint="eastAsia" w:ascii="仿宋_GB2312" w:eastAsia="仿宋_GB2312"/>
          <w:color w:val="000000"/>
          <w:szCs w:val="21"/>
        </w:rPr>
      </w:pPr>
    </w:p>
    <w:p>
      <w:pPr>
        <w:adjustRightInd w:val="0"/>
        <w:snapToGrid w:val="0"/>
        <w:rPr>
          <w:rFonts w:hint="eastAsia" w:ascii="仿宋_GB2312" w:eastAsia="仿宋_GB2312"/>
          <w:color w:val="000000"/>
          <w:kern w:val="0"/>
          <w:szCs w:val="21"/>
        </w:rPr>
      </w:pPr>
    </w:p>
    <w:p>
      <w:pPr>
        <w:adjustRightInd w:val="0"/>
        <w:snapToGrid w:val="0"/>
        <w:jc w:val="center"/>
        <w:rPr>
          <w:rFonts w:ascii="方正小标宋简体" w:eastAsia="方正小标宋简体"/>
          <w:color w:val="000000"/>
          <w:w w:val="90"/>
          <w:kern w:val="0"/>
          <w:sz w:val="44"/>
          <w:szCs w:val="44"/>
        </w:rPr>
      </w:pPr>
      <w:r>
        <w:rPr>
          <w:rFonts w:hint="eastAsia" w:ascii="方正小标宋简体" w:eastAsia="方正小标宋简体"/>
          <w:color w:val="000000"/>
          <w:w w:val="90"/>
          <w:kern w:val="0"/>
          <w:sz w:val="44"/>
          <w:szCs w:val="44"/>
        </w:rPr>
        <w:t>常德市2020-2022年金属非金属矿山（含尾矿库闭库销号）关闭计划表（五）</w:t>
      </w:r>
    </w:p>
    <w:p>
      <w:pPr>
        <w:adjustRightInd w:val="0"/>
        <w:snapToGrid w:val="0"/>
        <w:spacing w:line="560" w:lineRule="exact"/>
        <w:ind w:firstLine="880" w:firstLineChars="200"/>
        <w:rPr>
          <w:rFonts w:eastAsia="仿宋_GB2312"/>
          <w:color w:val="000000"/>
          <w:sz w:val="44"/>
          <w:szCs w:val="44"/>
        </w:rPr>
      </w:pPr>
    </w:p>
    <w:tbl>
      <w:tblPr>
        <w:tblStyle w:val="4"/>
        <w:tblW w:w="0" w:type="auto"/>
        <w:jc w:val="center"/>
        <w:tblLayout w:type="fixed"/>
        <w:tblCellMar>
          <w:top w:w="0" w:type="dxa"/>
          <w:left w:w="108" w:type="dxa"/>
          <w:bottom w:w="0" w:type="dxa"/>
          <w:right w:w="108" w:type="dxa"/>
        </w:tblCellMar>
      </w:tblPr>
      <w:tblGrid>
        <w:gridCol w:w="2868"/>
        <w:gridCol w:w="1248"/>
        <w:gridCol w:w="3114"/>
        <w:gridCol w:w="2976"/>
        <w:gridCol w:w="3686"/>
      </w:tblGrid>
      <w:tr>
        <w:tblPrEx>
          <w:tblCellMar>
            <w:top w:w="0" w:type="dxa"/>
            <w:left w:w="108" w:type="dxa"/>
            <w:bottom w:w="0" w:type="dxa"/>
            <w:right w:w="108" w:type="dxa"/>
          </w:tblCellMar>
        </w:tblPrEx>
        <w:trPr>
          <w:trHeight w:val="720" w:hRule="atLeast"/>
          <w:jc w:val="center"/>
        </w:trPr>
        <w:tc>
          <w:tcPr>
            <w:tcW w:w="28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eastAsia="仿宋_GB2312"/>
                <w:b/>
                <w:color w:val="000000"/>
                <w:kern w:val="0"/>
                <w:sz w:val="24"/>
              </w:rPr>
            </w:pPr>
            <w:r>
              <w:rPr>
                <w:rFonts w:hint="eastAsia" w:ascii="仿宋_GB2312" w:eastAsia="仿宋_GB2312"/>
                <w:b/>
                <w:color w:val="000000"/>
                <w:kern w:val="0"/>
                <w:sz w:val="24"/>
              </w:rPr>
              <w:t>区县市</w:t>
            </w:r>
          </w:p>
        </w:tc>
        <w:tc>
          <w:tcPr>
            <w:tcW w:w="124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eastAsia="仿宋_GB2312"/>
                <w:b/>
                <w:color w:val="000000"/>
                <w:kern w:val="0"/>
                <w:sz w:val="24"/>
              </w:rPr>
            </w:pPr>
            <w:r>
              <w:rPr>
                <w:rFonts w:hint="eastAsia" w:ascii="仿宋_GB2312" w:eastAsia="仿宋_GB2312"/>
                <w:b/>
                <w:color w:val="000000"/>
                <w:kern w:val="0"/>
                <w:sz w:val="24"/>
              </w:rPr>
              <w:t>合  计</w:t>
            </w:r>
          </w:p>
        </w:tc>
        <w:tc>
          <w:tcPr>
            <w:tcW w:w="311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eastAsia="仿宋_GB2312"/>
                <w:b/>
                <w:color w:val="000000"/>
                <w:kern w:val="0"/>
                <w:sz w:val="24"/>
              </w:rPr>
            </w:pPr>
            <w:r>
              <w:rPr>
                <w:rFonts w:hint="eastAsia" w:ascii="仿宋_GB2312" w:eastAsia="仿宋_GB2312"/>
                <w:b/>
                <w:color w:val="000000"/>
                <w:kern w:val="0"/>
                <w:sz w:val="24"/>
              </w:rPr>
              <w:t>2020年关闭矿山数</w:t>
            </w:r>
          </w:p>
        </w:tc>
        <w:tc>
          <w:tcPr>
            <w:tcW w:w="297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eastAsia="仿宋_GB2312"/>
                <w:b/>
                <w:color w:val="000000"/>
                <w:kern w:val="0"/>
                <w:sz w:val="24"/>
              </w:rPr>
            </w:pPr>
            <w:r>
              <w:rPr>
                <w:rFonts w:hint="eastAsia" w:ascii="仿宋_GB2312" w:eastAsia="仿宋_GB2312"/>
                <w:b/>
                <w:color w:val="000000"/>
                <w:kern w:val="0"/>
                <w:sz w:val="24"/>
              </w:rPr>
              <w:t>2021年关闭矿山数</w:t>
            </w:r>
          </w:p>
        </w:tc>
        <w:tc>
          <w:tcPr>
            <w:tcW w:w="36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eastAsia="仿宋_GB2312"/>
                <w:b/>
                <w:color w:val="000000"/>
                <w:kern w:val="0"/>
                <w:sz w:val="24"/>
              </w:rPr>
            </w:pPr>
            <w:r>
              <w:rPr>
                <w:rFonts w:hint="eastAsia" w:ascii="仿宋_GB2312" w:eastAsia="仿宋_GB2312"/>
                <w:b/>
                <w:color w:val="000000"/>
                <w:kern w:val="0"/>
                <w:sz w:val="24"/>
              </w:rPr>
              <w:t>2022年关闭矿山数</w:t>
            </w:r>
          </w:p>
        </w:tc>
      </w:tr>
      <w:tr>
        <w:tblPrEx>
          <w:tblCellMar>
            <w:top w:w="0" w:type="dxa"/>
            <w:left w:w="108" w:type="dxa"/>
            <w:bottom w:w="0" w:type="dxa"/>
            <w:right w:w="108" w:type="dxa"/>
          </w:tblCellMar>
        </w:tblPrEx>
        <w:trPr>
          <w:trHeight w:val="720" w:hRule="atLeast"/>
          <w:jc w:val="center"/>
        </w:trPr>
        <w:tc>
          <w:tcPr>
            <w:tcW w:w="286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鼎城区</w:t>
            </w:r>
          </w:p>
        </w:tc>
        <w:tc>
          <w:tcPr>
            <w:tcW w:w="1248"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1</w:t>
            </w:r>
          </w:p>
        </w:tc>
        <w:tc>
          <w:tcPr>
            <w:tcW w:w="3114"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1</w:t>
            </w:r>
          </w:p>
        </w:tc>
        <w:tc>
          <w:tcPr>
            <w:tcW w:w="297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p>
        </w:tc>
        <w:tc>
          <w:tcPr>
            <w:tcW w:w="3686" w:type="dxa"/>
            <w:tcBorders>
              <w:top w:val="single" w:color="auto" w:sz="4" w:space="0"/>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p>
        </w:tc>
      </w:tr>
      <w:tr>
        <w:tblPrEx>
          <w:tblCellMar>
            <w:top w:w="0" w:type="dxa"/>
            <w:left w:w="108" w:type="dxa"/>
            <w:bottom w:w="0" w:type="dxa"/>
            <w:right w:w="108" w:type="dxa"/>
          </w:tblCellMar>
        </w:tblPrEx>
        <w:trPr>
          <w:trHeight w:val="720" w:hRule="atLeast"/>
          <w:jc w:val="center"/>
        </w:trPr>
        <w:tc>
          <w:tcPr>
            <w:tcW w:w="2868"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石门县</w:t>
            </w:r>
          </w:p>
        </w:tc>
        <w:tc>
          <w:tcPr>
            <w:tcW w:w="12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4</w:t>
            </w:r>
          </w:p>
        </w:tc>
        <w:tc>
          <w:tcPr>
            <w:tcW w:w="3114"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2</w:t>
            </w:r>
          </w:p>
        </w:tc>
        <w:tc>
          <w:tcPr>
            <w:tcW w:w="2976"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1</w:t>
            </w:r>
          </w:p>
        </w:tc>
        <w:tc>
          <w:tcPr>
            <w:tcW w:w="3686"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1</w:t>
            </w:r>
          </w:p>
        </w:tc>
      </w:tr>
      <w:tr>
        <w:tblPrEx>
          <w:tblCellMar>
            <w:top w:w="0" w:type="dxa"/>
            <w:left w:w="108" w:type="dxa"/>
            <w:bottom w:w="0" w:type="dxa"/>
            <w:right w:w="108" w:type="dxa"/>
          </w:tblCellMar>
        </w:tblPrEx>
        <w:trPr>
          <w:trHeight w:val="720" w:hRule="atLeast"/>
          <w:jc w:val="center"/>
        </w:trPr>
        <w:tc>
          <w:tcPr>
            <w:tcW w:w="2868"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澧县</w:t>
            </w:r>
          </w:p>
        </w:tc>
        <w:tc>
          <w:tcPr>
            <w:tcW w:w="12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5</w:t>
            </w:r>
          </w:p>
        </w:tc>
        <w:tc>
          <w:tcPr>
            <w:tcW w:w="3114"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3</w:t>
            </w:r>
          </w:p>
        </w:tc>
        <w:tc>
          <w:tcPr>
            <w:tcW w:w="2976"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1</w:t>
            </w:r>
          </w:p>
        </w:tc>
        <w:tc>
          <w:tcPr>
            <w:tcW w:w="3686"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1</w:t>
            </w:r>
          </w:p>
        </w:tc>
      </w:tr>
      <w:tr>
        <w:tblPrEx>
          <w:tblCellMar>
            <w:top w:w="0" w:type="dxa"/>
            <w:left w:w="108" w:type="dxa"/>
            <w:bottom w:w="0" w:type="dxa"/>
            <w:right w:w="108" w:type="dxa"/>
          </w:tblCellMar>
        </w:tblPrEx>
        <w:trPr>
          <w:trHeight w:val="720" w:hRule="atLeast"/>
          <w:jc w:val="center"/>
        </w:trPr>
        <w:tc>
          <w:tcPr>
            <w:tcW w:w="2868"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临澧县</w:t>
            </w:r>
          </w:p>
        </w:tc>
        <w:tc>
          <w:tcPr>
            <w:tcW w:w="12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3</w:t>
            </w:r>
          </w:p>
        </w:tc>
        <w:tc>
          <w:tcPr>
            <w:tcW w:w="3114"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1</w:t>
            </w:r>
          </w:p>
        </w:tc>
        <w:tc>
          <w:tcPr>
            <w:tcW w:w="2976"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1</w:t>
            </w:r>
          </w:p>
        </w:tc>
        <w:tc>
          <w:tcPr>
            <w:tcW w:w="3686"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1</w:t>
            </w:r>
          </w:p>
        </w:tc>
      </w:tr>
      <w:tr>
        <w:tblPrEx>
          <w:tblCellMar>
            <w:top w:w="0" w:type="dxa"/>
            <w:left w:w="108" w:type="dxa"/>
            <w:bottom w:w="0" w:type="dxa"/>
            <w:right w:w="108" w:type="dxa"/>
          </w:tblCellMar>
        </w:tblPrEx>
        <w:trPr>
          <w:trHeight w:val="720" w:hRule="atLeast"/>
          <w:jc w:val="center"/>
        </w:trPr>
        <w:tc>
          <w:tcPr>
            <w:tcW w:w="2868"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桃源县</w:t>
            </w:r>
          </w:p>
        </w:tc>
        <w:tc>
          <w:tcPr>
            <w:tcW w:w="12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2</w:t>
            </w:r>
          </w:p>
        </w:tc>
        <w:tc>
          <w:tcPr>
            <w:tcW w:w="3114"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1</w:t>
            </w:r>
          </w:p>
        </w:tc>
        <w:tc>
          <w:tcPr>
            <w:tcW w:w="2976"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1</w:t>
            </w:r>
          </w:p>
        </w:tc>
        <w:tc>
          <w:tcPr>
            <w:tcW w:w="3686"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p>
        </w:tc>
      </w:tr>
      <w:tr>
        <w:tblPrEx>
          <w:tblCellMar>
            <w:top w:w="0" w:type="dxa"/>
            <w:left w:w="108" w:type="dxa"/>
            <w:bottom w:w="0" w:type="dxa"/>
            <w:right w:w="108" w:type="dxa"/>
          </w:tblCellMar>
        </w:tblPrEx>
        <w:trPr>
          <w:trHeight w:val="720" w:hRule="atLeast"/>
          <w:jc w:val="center"/>
        </w:trPr>
        <w:tc>
          <w:tcPr>
            <w:tcW w:w="2868"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汉寿县</w:t>
            </w:r>
          </w:p>
        </w:tc>
        <w:tc>
          <w:tcPr>
            <w:tcW w:w="12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1</w:t>
            </w:r>
          </w:p>
        </w:tc>
        <w:tc>
          <w:tcPr>
            <w:tcW w:w="3114"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p>
        </w:tc>
        <w:tc>
          <w:tcPr>
            <w:tcW w:w="2976"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p>
        </w:tc>
        <w:tc>
          <w:tcPr>
            <w:tcW w:w="3686"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1</w:t>
            </w:r>
          </w:p>
        </w:tc>
      </w:tr>
      <w:tr>
        <w:tblPrEx>
          <w:tblCellMar>
            <w:top w:w="0" w:type="dxa"/>
            <w:left w:w="108" w:type="dxa"/>
            <w:bottom w:w="0" w:type="dxa"/>
            <w:right w:w="108" w:type="dxa"/>
          </w:tblCellMar>
        </w:tblPrEx>
        <w:trPr>
          <w:trHeight w:val="720" w:hRule="atLeast"/>
          <w:jc w:val="center"/>
        </w:trPr>
        <w:tc>
          <w:tcPr>
            <w:tcW w:w="2868" w:type="dxa"/>
            <w:tcBorders>
              <w:top w:val="nil"/>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总  计</w:t>
            </w:r>
          </w:p>
        </w:tc>
        <w:tc>
          <w:tcPr>
            <w:tcW w:w="1248"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16</w:t>
            </w:r>
          </w:p>
        </w:tc>
        <w:tc>
          <w:tcPr>
            <w:tcW w:w="3114"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8</w:t>
            </w:r>
          </w:p>
        </w:tc>
        <w:tc>
          <w:tcPr>
            <w:tcW w:w="2976"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4</w:t>
            </w:r>
          </w:p>
        </w:tc>
        <w:tc>
          <w:tcPr>
            <w:tcW w:w="3686" w:type="dxa"/>
            <w:tcBorders>
              <w:top w:val="nil"/>
              <w:left w:val="nil"/>
              <w:bottom w:val="single" w:color="auto" w:sz="4" w:space="0"/>
              <w:right w:val="single" w:color="auto" w:sz="4" w:space="0"/>
            </w:tcBorders>
            <w:noWrap w:val="0"/>
            <w:vAlign w:val="center"/>
          </w:tcPr>
          <w:p>
            <w:pPr>
              <w:adjustRightInd w:val="0"/>
              <w:snapToGrid w:val="0"/>
              <w:jc w:val="center"/>
              <w:rPr>
                <w:rFonts w:hint="eastAsia" w:ascii="仿宋_GB2312" w:hAnsi="宋体" w:eastAsia="仿宋_GB2312"/>
                <w:color w:val="000000"/>
                <w:kern w:val="0"/>
                <w:sz w:val="24"/>
              </w:rPr>
            </w:pPr>
            <w:r>
              <w:rPr>
                <w:rFonts w:hint="eastAsia" w:ascii="仿宋_GB2312" w:hAnsi="宋体" w:eastAsia="仿宋_GB2312"/>
                <w:color w:val="000000"/>
                <w:kern w:val="0"/>
                <w:sz w:val="24"/>
              </w:rPr>
              <w:t>4</w:t>
            </w:r>
          </w:p>
        </w:tc>
      </w:tr>
    </w:tbl>
    <w:p>
      <w:pPr>
        <w:adjustRightInd w:val="0"/>
        <w:snapToGrid w:val="0"/>
        <w:spacing w:line="560" w:lineRule="exact"/>
        <w:ind w:firstLine="480" w:firstLineChars="200"/>
        <w:rPr>
          <w:rFonts w:hint="eastAsia" w:ascii="宋体" w:hAnsi="宋体"/>
          <w:color w:val="000000"/>
          <w:sz w:val="24"/>
        </w:rPr>
      </w:pPr>
    </w:p>
    <w:p>
      <w:pPr>
        <w:adjustRightInd w:val="0"/>
        <w:snapToGrid w:val="0"/>
        <w:spacing w:line="560" w:lineRule="exact"/>
        <w:ind w:firstLine="480" w:firstLineChars="200"/>
        <w:rPr>
          <w:rFonts w:ascii="宋体" w:hAnsi="宋体"/>
          <w:color w:val="000000"/>
          <w:sz w:val="24"/>
        </w:rPr>
      </w:pPr>
    </w:p>
    <w:p>
      <w:pPr>
        <w:adjustRightInd w:val="0"/>
        <w:snapToGrid w:val="0"/>
        <w:jc w:val="center"/>
        <w:rPr>
          <w:rFonts w:eastAsia="方正小标宋简体"/>
          <w:color w:val="000000"/>
          <w:sz w:val="44"/>
          <w:szCs w:val="44"/>
        </w:rPr>
      </w:pPr>
      <w:r>
        <w:rPr>
          <w:rFonts w:hint="eastAsia" w:eastAsia="方正小标宋简体"/>
          <w:color w:val="000000"/>
          <w:sz w:val="44"/>
          <w:szCs w:val="44"/>
        </w:rPr>
        <w:t>常德市</w:t>
      </w:r>
      <w:r>
        <w:rPr>
          <w:rFonts w:eastAsia="方正小标宋简体"/>
          <w:color w:val="000000"/>
          <w:sz w:val="44"/>
          <w:szCs w:val="44"/>
        </w:rPr>
        <w:t>消防安全专项整治</w:t>
      </w:r>
      <w:r>
        <w:rPr>
          <w:rFonts w:hint="eastAsia" w:eastAsia="方正小标宋简体"/>
          <w:color w:val="000000"/>
          <w:sz w:val="44"/>
          <w:szCs w:val="44"/>
        </w:rPr>
        <w:t>三年行动</w:t>
      </w:r>
      <w:r>
        <w:rPr>
          <w:rFonts w:hint="eastAsia" w:ascii="方正小标宋简体" w:hAnsi="宋体" w:eastAsia="方正小标宋简体" w:cs="宋体"/>
          <w:color w:val="000000"/>
          <w:kern w:val="0"/>
          <w:sz w:val="44"/>
          <w:szCs w:val="44"/>
        </w:rPr>
        <w:t>实施方案</w:t>
      </w:r>
      <w:r>
        <w:rPr>
          <w:rFonts w:hint="eastAsia" w:eastAsia="方正小标宋简体"/>
          <w:color w:val="000000"/>
          <w:sz w:val="44"/>
          <w:szCs w:val="44"/>
        </w:rPr>
        <w:t>重点任务分解表（六）</w:t>
      </w:r>
    </w:p>
    <w:tbl>
      <w:tblPr>
        <w:tblStyle w:val="4"/>
        <w:tblW w:w="14747" w:type="dxa"/>
        <w:tblInd w:w="-3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1"/>
        <w:gridCol w:w="6946"/>
        <w:gridCol w:w="1823"/>
        <w:gridCol w:w="2865"/>
        <w:gridCol w:w="1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1281" w:type="dxa"/>
            <w:noWrap w:val="0"/>
            <w:vAlign w:val="center"/>
          </w:tcPr>
          <w:p>
            <w:pPr>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6946" w:type="dxa"/>
            <w:noWrap w:val="0"/>
            <w:vAlign w:val="center"/>
          </w:tcPr>
          <w:p>
            <w:pPr>
              <w:jc w:val="center"/>
              <w:rPr>
                <w:rFonts w:hint="eastAsia" w:ascii="仿宋_GB2312" w:hAnsi="宋体" w:eastAsia="仿宋_GB2312"/>
                <w:b/>
                <w:color w:val="000000"/>
                <w:szCs w:val="21"/>
              </w:rPr>
            </w:pPr>
            <w:r>
              <w:rPr>
                <w:rFonts w:hint="eastAsia" w:ascii="仿宋_GB2312" w:hAnsi="宋体" w:eastAsia="仿宋_GB2312"/>
                <w:b/>
                <w:color w:val="000000"/>
                <w:szCs w:val="21"/>
              </w:rPr>
              <w:t>任务内容</w:t>
            </w:r>
          </w:p>
        </w:tc>
        <w:tc>
          <w:tcPr>
            <w:tcW w:w="1823" w:type="dxa"/>
            <w:tcBorders>
              <w:right w:val="single" w:color="auto" w:sz="4" w:space="0"/>
            </w:tcBorders>
            <w:noWrap w:val="0"/>
            <w:vAlign w:val="center"/>
          </w:tcPr>
          <w:p>
            <w:pPr>
              <w:jc w:val="center"/>
              <w:rPr>
                <w:rFonts w:hint="eastAsia" w:ascii="仿宋_GB2312" w:hAnsi="宋体" w:eastAsia="仿宋_GB2312"/>
                <w:b/>
                <w:color w:val="000000"/>
                <w:szCs w:val="21"/>
              </w:rPr>
            </w:pPr>
            <w:r>
              <w:rPr>
                <w:rFonts w:hint="eastAsia" w:ascii="仿宋_GB2312" w:hAnsi="宋体" w:eastAsia="仿宋_GB2312"/>
                <w:b/>
                <w:color w:val="000000"/>
                <w:szCs w:val="21"/>
              </w:rPr>
              <w:t>牵头单位</w:t>
            </w:r>
          </w:p>
        </w:tc>
        <w:tc>
          <w:tcPr>
            <w:tcW w:w="2865" w:type="dxa"/>
            <w:tcBorders>
              <w:left w:val="single" w:color="auto" w:sz="4" w:space="0"/>
            </w:tcBorders>
            <w:noWrap w:val="0"/>
            <w:vAlign w:val="center"/>
          </w:tcPr>
          <w:p>
            <w:pPr>
              <w:jc w:val="center"/>
              <w:rPr>
                <w:rFonts w:hint="eastAsia" w:ascii="仿宋_GB2312" w:hAnsi="宋体" w:eastAsia="仿宋_GB2312"/>
                <w:b/>
                <w:color w:val="000000"/>
                <w:szCs w:val="21"/>
              </w:rPr>
            </w:pPr>
            <w:r>
              <w:rPr>
                <w:rFonts w:hint="eastAsia" w:ascii="仿宋_GB2312" w:hAnsi="宋体" w:eastAsia="仿宋_GB2312"/>
                <w:b/>
                <w:color w:val="000000"/>
                <w:szCs w:val="21"/>
              </w:rPr>
              <w:t>责任单位</w:t>
            </w:r>
          </w:p>
        </w:tc>
        <w:tc>
          <w:tcPr>
            <w:tcW w:w="1832" w:type="dxa"/>
            <w:noWrap w:val="0"/>
            <w:vAlign w:val="center"/>
          </w:tcPr>
          <w:p>
            <w:pPr>
              <w:jc w:val="center"/>
              <w:rPr>
                <w:rFonts w:hint="eastAsia" w:ascii="仿宋_GB2312" w:hAnsi="宋体" w:eastAsia="仿宋_GB2312"/>
                <w:b/>
                <w:color w:val="000000"/>
                <w:szCs w:val="21"/>
              </w:rPr>
            </w:pPr>
            <w:r>
              <w:rPr>
                <w:rFonts w:hint="eastAsia" w:ascii="仿宋_GB2312" w:hAnsi="宋体" w:eastAsia="仿宋_GB2312"/>
                <w:b/>
                <w:color w:val="000000"/>
                <w:szCs w:val="21"/>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trPr>
        <w:tc>
          <w:tcPr>
            <w:tcW w:w="1281" w:type="dxa"/>
            <w:tcBorders>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6946" w:type="dxa"/>
            <w:tcBorders>
              <w:bottom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单位和住宅小区按标准划线管理。</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市住建局</w:t>
            </w:r>
          </w:p>
        </w:tc>
        <w:tc>
          <w:tcPr>
            <w:tcW w:w="2865" w:type="dxa"/>
            <w:tcBorders>
              <w:left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市消防救援支队、区县市、街道乡镇政府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2020年年底</w:t>
            </w:r>
          </w:p>
          <w:p>
            <w:pPr>
              <w:spacing w:line="400" w:lineRule="exact"/>
              <w:jc w:val="center"/>
              <w:rPr>
                <w:rFonts w:hint="eastAsia" w:ascii="仿宋_GB2312" w:hAnsi="宋体"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6946" w:type="dxa"/>
            <w:tcBorders>
              <w:top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老旧小区制定“一城一策”或“一县区一策”消防车通道治理方案。</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2865" w:type="dxa"/>
            <w:tcBorders>
              <w:left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市消防救援支队、市公安局、区县市、街道乡镇政府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2020年年底</w:t>
            </w:r>
          </w:p>
          <w:p>
            <w:pPr>
              <w:spacing w:line="400" w:lineRule="exact"/>
              <w:jc w:val="center"/>
              <w:rPr>
                <w:rFonts w:hint="eastAsia" w:ascii="仿宋_GB2312" w:hAnsi="宋体"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6946" w:type="dxa"/>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加强公共停车场规划建设，列出三年工作计划。严格落实建筑物配建停车位有关标准要求。加强对车库、停车场改变使用性质违法行为查处力度。</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2865" w:type="dxa"/>
            <w:tcBorders>
              <w:left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区县市、街道乡镇政府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2020年年底</w:t>
            </w:r>
          </w:p>
          <w:p>
            <w:pPr>
              <w:spacing w:line="400" w:lineRule="exact"/>
              <w:jc w:val="center"/>
              <w:rPr>
                <w:rFonts w:hint="eastAsia" w:ascii="仿宋_GB2312" w:hAnsi="宋体"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6946" w:type="dxa"/>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研究建立弹性停车、错时开放、潮汐停车、共享停车等政策机制。老旧住宅小区路侧停车场，研究推行居民优惠停车措施。对于没有物业管理的老旧住宅小区，研究引进专业停车管理公司。</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2865" w:type="dxa"/>
            <w:tcBorders>
              <w:left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市公安交警支队，区县市、街道乡镇政府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2020年年底</w:t>
            </w:r>
          </w:p>
          <w:p>
            <w:pPr>
              <w:spacing w:line="400" w:lineRule="exact"/>
              <w:jc w:val="center"/>
              <w:rPr>
                <w:rFonts w:hint="eastAsia" w:ascii="仿宋_GB2312" w:hAnsi="宋体"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6946" w:type="dxa"/>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建立联合执法管理机制，畅通机动车所有人身份信息、联系方式等信息共享渠道。</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市消防救援支队</w:t>
            </w:r>
          </w:p>
        </w:tc>
        <w:tc>
          <w:tcPr>
            <w:tcW w:w="2865" w:type="dxa"/>
            <w:tcBorders>
              <w:left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市住建局、市城管执法局、市公安局</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2020年年底</w:t>
            </w:r>
          </w:p>
          <w:p>
            <w:pPr>
              <w:spacing w:line="400" w:lineRule="exact"/>
              <w:jc w:val="center"/>
              <w:rPr>
                <w:rFonts w:hint="eastAsia" w:ascii="仿宋_GB2312" w:hAnsi="宋体"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6</w:t>
            </w:r>
          </w:p>
        </w:tc>
        <w:tc>
          <w:tcPr>
            <w:tcW w:w="6946" w:type="dxa"/>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全面排查建立问题隐患清单和整改责任清单，制定高层建筑消防安全三年整治计划，重点督办整改一批高层建筑严重问题。</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市消防救援支队</w:t>
            </w:r>
          </w:p>
        </w:tc>
        <w:tc>
          <w:tcPr>
            <w:tcW w:w="2865" w:type="dxa"/>
            <w:tcBorders>
              <w:left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市住建局、区县市政府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7</w:t>
            </w:r>
          </w:p>
        </w:tc>
        <w:tc>
          <w:tcPr>
            <w:tcW w:w="6946" w:type="dxa"/>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高层建筑突出问题得到有效整改，建立完善消防管理机制。</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市消防救援支队</w:t>
            </w:r>
          </w:p>
        </w:tc>
        <w:tc>
          <w:tcPr>
            <w:tcW w:w="2865" w:type="dxa"/>
            <w:tcBorders>
              <w:left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市住建局、区县市政府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2021年年底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8</w:t>
            </w:r>
          </w:p>
        </w:tc>
        <w:tc>
          <w:tcPr>
            <w:tcW w:w="6946" w:type="dxa"/>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全面优化提升高层建筑消防安全能力水平。</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市消防救援支队</w:t>
            </w:r>
          </w:p>
        </w:tc>
        <w:tc>
          <w:tcPr>
            <w:tcW w:w="2865" w:type="dxa"/>
            <w:tcBorders>
              <w:left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市住建局、区县市政府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2022年年底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9</w:t>
            </w:r>
          </w:p>
        </w:tc>
        <w:tc>
          <w:tcPr>
            <w:tcW w:w="6946" w:type="dxa"/>
            <w:tcBorders>
              <w:bottom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打造常德万达商业广场示范单位，常德市友阿国际广场、津市市宝悦乐城完成消防安全达标创建。</w:t>
            </w:r>
          </w:p>
        </w:tc>
        <w:tc>
          <w:tcPr>
            <w:tcW w:w="1823" w:type="dxa"/>
            <w:tcBorders>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市消防救援支队</w:t>
            </w:r>
          </w:p>
        </w:tc>
        <w:tc>
          <w:tcPr>
            <w:tcW w:w="2865" w:type="dxa"/>
            <w:tcBorders>
              <w:left w:val="single" w:color="auto" w:sz="4" w:space="0"/>
              <w:bottom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市商务局、津市市政府</w:t>
            </w:r>
          </w:p>
        </w:tc>
        <w:tc>
          <w:tcPr>
            <w:tcW w:w="1832" w:type="dxa"/>
            <w:tcBorders>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10</w:t>
            </w:r>
          </w:p>
        </w:tc>
        <w:tc>
          <w:tcPr>
            <w:tcW w:w="6946" w:type="dxa"/>
            <w:tcBorders>
              <w:top w:val="single" w:color="auto" w:sz="4" w:space="0"/>
              <w:bottom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全市大型商业综合体达标率实现100%（含专项行动期间新增大型商业综合体）。</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市商务局、区县市政府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2021年年底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11</w:t>
            </w:r>
          </w:p>
        </w:tc>
        <w:tc>
          <w:tcPr>
            <w:tcW w:w="6946" w:type="dxa"/>
            <w:tcBorders>
              <w:top w:val="single" w:color="auto" w:sz="4" w:space="0"/>
              <w:bottom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鼓励大于2万小于5万的商业综合体开展消防安全达标创建工作。</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市商务局、区县市政府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2020年至2022年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12</w:t>
            </w:r>
          </w:p>
        </w:tc>
        <w:tc>
          <w:tcPr>
            <w:tcW w:w="6946" w:type="dxa"/>
            <w:tcBorders>
              <w:top w:val="single" w:color="auto" w:sz="4" w:space="0"/>
              <w:bottom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完成石油化工企业重点部位老旧消防设施改造，石化企业要建立安全事故工艺处置队或工艺应急处置机制。</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市应急管理局、区县市政府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13</w:t>
            </w:r>
          </w:p>
        </w:tc>
        <w:tc>
          <w:tcPr>
            <w:tcW w:w="6946" w:type="dxa"/>
            <w:tcBorders>
              <w:top w:val="single" w:color="auto" w:sz="4" w:space="0"/>
              <w:bottom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石油化工企业建立安全事故工艺处置队或工艺应急处置机制。</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市应急管理局、区县市政府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14</w:t>
            </w:r>
          </w:p>
        </w:tc>
        <w:tc>
          <w:tcPr>
            <w:tcW w:w="6946" w:type="dxa"/>
            <w:tcBorders>
              <w:top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全面完成石油化工企业老旧消防设施改造任务。</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市应急管理局、区县市政府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2021年年底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15</w:t>
            </w:r>
          </w:p>
        </w:tc>
        <w:tc>
          <w:tcPr>
            <w:tcW w:w="6946" w:type="dxa"/>
            <w:tcBorders>
              <w:bottom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启动“十四五”消防专项规划修编工作。</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市自然资源和规划局、市住建局</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16</w:t>
            </w:r>
          </w:p>
        </w:tc>
        <w:tc>
          <w:tcPr>
            <w:tcW w:w="6946" w:type="dxa"/>
            <w:tcBorders>
              <w:top w:val="single" w:color="auto" w:sz="4" w:space="0"/>
              <w:bottom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将老旧场所消防风险治理列入实事工程、民生工程，每年督办整改一批老旧场所火灾隐患问题。</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市住建局、市市场监管局、区县市、街道乡镇政府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2020年至2022年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17</w:t>
            </w:r>
          </w:p>
        </w:tc>
        <w:tc>
          <w:tcPr>
            <w:tcW w:w="6946" w:type="dxa"/>
            <w:tcBorders>
              <w:top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老旧场所基本落实火灾风险差异化防控措施。</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市住建局、市市场监管局、区县市、街道乡镇政府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2022年年底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18</w:t>
            </w:r>
          </w:p>
        </w:tc>
        <w:tc>
          <w:tcPr>
            <w:tcW w:w="6946" w:type="dxa"/>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出台居民住宅区设置电动自行车集中充电、停放场所政策意见，作出三年规划建设部署。</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市工信局、市自然资源和规划局、市住建局、市市场监管局、区县市、街道乡镇政府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19</w:t>
            </w:r>
          </w:p>
        </w:tc>
        <w:tc>
          <w:tcPr>
            <w:tcW w:w="6946" w:type="dxa"/>
            <w:tcBorders>
              <w:bottom w:val="single" w:color="auto" w:sz="4" w:space="0"/>
            </w:tcBorders>
            <w:noWrap w:val="0"/>
            <w:vAlign w:val="center"/>
          </w:tcPr>
          <w:p>
            <w:pPr>
              <w:spacing w:line="400" w:lineRule="exact"/>
              <w:jc w:val="left"/>
              <w:rPr>
                <w:rFonts w:hint="eastAsia" w:ascii="仿宋_GB2312" w:hAnsi="宋体" w:eastAsia="仿宋_GB2312"/>
                <w:color w:val="000000"/>
                <w:szCs w:val="21"/>
              </w:rPr>
            </w:pPr>
            <w:r>
              <w:rPr>
                <w:rFonts w:hint="eastAsia" w:ascii="仿宋_GB2312" w:hAnsi="宋体" w:eastAsia="仿宋_GB2312"/>
                <w:color w:val="000000"/>
                <w:szCs w:val="21"/>
              </w:rPr>
              <w:t>摸清街道、社区设置电动自行车集中充电、停放场所和电动汽车充电装置底数。</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市自然资源和规划局、市住建局、市市场监管局、区县市、街道乡镇政府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281" w:type="dxa"/>
            <w:vMerge w:val="restart"/>
            <w:tcBorders>
              <w:top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w:t>
            </w:r>
          </w:p>
        </w:tc>
        <w:tc>
          <w:tcPr>
            <w:tcW w:w="6946" w:type="dxa"/>
            <w:tcBorders>
              <w:top w:val="single" w:color="auto" w:sz="4" w:space="0"/>
              <w:bottom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50%的居民住宅区落实电动自行车集中管理要求措施。</w:t>
            </w:r>
          </w:p>
        </w:tc>
        <w:tc>
          <w:tcPr>
            <w:tcW w:w="1823" w:type="dxa"/>
            <w:tcBorders>
              <w:bottom w:val="single" w:color="auto" w:sz="4" w:space="0"/>
              <w:right w:val="single" w:color="auto" w:sz="4" w:space="0"/>
            </w:tcBorders>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市消防救援支队</w:t>
            </w:r>
          </w:p>
        </w:tc>
        <w:tc>
          <w:tcPr>
            <w:tcW w:w="2865" w:type="dxa"/>
            <w:tcBorders>
              <w:left w:val="single" w:color="auto" w:sz="4" w:space="0"/>
              <w:bottom w:val="single" w:color="auto" w:sz="4" w:space="0"/>
            </w:tcBorders>
            <w:noWrap w:val="0"/>
            <w:vAlign w:val="center"/>
          </w:tcPr>
          <w:p>
            <w:pPr>
              <w:spacing w:line="40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市自然资源和规划局、市住建</w:t>
            </w:r>
          </w:p>
        </w:tc>
        <w:tc>
          <w:tcPr>
            <w:tcW w:w="1832" w:type="dxa"/>
            <w:tcBorders>
              <w:bottom w:val="single" w:color="auto" w:sz="4" w:space="0"/>
            </w:tcBorders>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2021年年底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vMerge w:val="continue"/>
            <w:tcBorders>
              <w:bottom w:val="single" w:color="auto" w:sz="4" w:space="0"/>
            </w:tcBorders>
            <w:noWrap w:val="0"/>
            <w:vAlign w:val="center"/>
          </w:tcPr>
          <w:p>
            <w:pPr>
              <w:spacing w:line="400" w:lineRule="exact"/>
              <w:jc w:val="center"/>
              <w:rPr>
                <w:rFonts w:hint="eastAsia" w:ascii="仿宋_GB2312" w:hAnsi="宋体" w:eastAsia="仿宋_GB2312"/>
                <w:color w:val="000000"/>
                <w:szCs w:val="21"/>
              </w:rPr>
            </w:pPr>
          </w:p>
        </w:tc>
        <w:tc>
          <w:tcPr>
            <w:tcW w:w="6946" w:type="dxa"/>
            <w:tcBorders>
              <w:top w:val="single" w:color="auto" w:sz="4" w:space="0"/>
              <w:bottom w:val="single" w:color="auto" w:sz="4" w:space="0"/>
            </w:tcBorders>
            <w:noWrap w:val="0"/>
            <w:vAlign w:val="center"/>
          </w:tcPr>
          <w:p>
            <w:pPr>
              <w:spacing w:line="400" w:lineRule="exact"/>
              <w:jc w:val="left"/>
              <w:rPr>
                <w:rFonts w:hint="eastAsia" w:ascii="仿宋_GB2312" w:hAnsi="宋体" w:eastAsia="仿宋_GB2312"/>
                <w:color w:val="000000"/>
                <w:kern w:val="0"/>
                <w:szCs w:val="21"/>
              </w:rPr>
            </w:pPr>
          </w:p>
        </w:tc>
        <w:tc>
          <w:tcPr>
            <w:tcW w:w="1823" w:type="dxa"/>
            <w:tcBorders>
              <w:top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color w:val="000000"/>
                <w:kern w:val="0"/>
                <w:szCs w:val="21"/>
              </w:rPr>
            </w:pPr>
          </w:p>
        </w:tc>
        <w:tc>
          <w:tcPr>
            <w:tcW w:w="2865" w:type="dxa"/>
            <w:tcBorders>
              <w:top w:val="single" w:color="auto" w:sz="4" w:space="0"/>
              <w:left w:val="single" w:color="auto" w:sz="4" w:space="0"/>
              <w:bottom w:val="single" w:color="auto" w:sz="4" w:space="0"/>
            </w:tcBorders>
            <w:noWrap w:val="0"/>
            <w:vAlign w:val="center"/>
          </w:tcPr>
          <w:p>
            <w:pPr>
              <w:spacing w:line="40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局、市市场监管局、区县市、街道乡镇政府</w:t>
            </w:r>
          </w:p>
        </w:tc>
        <w:tc>
          <w:tcPr>
            <w:tcW w:w="1832"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21</w:t>
            </w:r>
          </w:p>
        </w:tc>
        <w:tc>
          <w:tcPr>
            <w:tcW w:w="6946" w:type="dxa"/>
            <w:tcBorders>
              <w:bottom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居民住宅区全部落实电动自行车集中管理要求措施。</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市自然资源和规划局、市住建局、市市场监管、区县市、街道乡镇政府</w:t>
            </w:r>
          </w:p>
        </w:tc>
        <w:tc>
          <w:tcPr>
            <w:tcW w:w="1832" w:type="dxa"/>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2022年年底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22</w:t>
            </w:r>
          </w:p>
        </w:tc>
        <w:tc>
          <w:tcPr>
            <w:tcW w:w="6946" w:type="dxa"/>
            <w:tcBorders>
              <w:top w:val="single" w:color="auto" w:sz="4" w:space="0"/>
              <w:bottom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对人员密集场所、施工现场违规搭建、违规采用易燃可燃材料的彩钢板房开展专项检查，依法组织整改一批、拆除一批。</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市自然资源和规划局、市住建局</w:t>
            </w:r>
          </w:p>
        </w:tc>
        <w:tc>
          <w:tcPr>
            <w:tcW w:w="1832" w:type="dxa"/>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2020年-2022年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23</w:t>
            </w:r>
          </w:p>
        </w:tc>
        <w:tc>
          <w:tcPr>
            <w:tcW w:w="6946" w:type="dxa"/>
            <w:tcBorders>
              <w:top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分析评估本地电商网点、社区日间照料中心、卫生服务站、母婴护理中心、客运接驳站、校外托管培训机构等电子商务、物流业、新型商业新业态消防安全风险，强化行业消防管理措施，引导产业安全发展，提高安全设防等级。</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区县市政府</w:t>
            </w:r>
          </w:p>
        </w:tc>
        <w:tc>
          <w:tcPr>
            <w:tcW w:w="1832" w:type="dxa"/>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2020年-2022年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24</w:t>
            </w:r>
          </w:p>
        </w:tc>
        <w:tc>
          <w:tcPr>
            <w:tcW w:w="6946" w:type="dxa"/>
            <w:tcBorders>
              <w:bottom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对乡镇工业园、特色小镇、小微企业等乡村新兴产业消防安全评估和管理，集中治理消防管理责任不落实、消防设施不足、消防培训不到位等突出问题。</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区县市、街道乡镇政府</w:t>
            </w:r>
          </w:p>
        </w:tc>
        <w:tc>
          <w:tcPr>
            <w:tcW w:w="1832" w:type="dxa"/>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2020年年底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25</w:t>
            </w:r>
          </w:p>
        </w:tc>
        <w:tc>
          <w:tcPr>
            <w:tcW w:w="6946" w:type="dxa"/>
            <w:tcBorders>
              <w:top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深入推进农村房改、水改、电改、灶改、路改等“五改”工作，加快乡村电气线路、炉灶等用火用电安全改造升级。</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市农业农村局、国网常德供电公司、区县市、街道乡镇政府</w:t>
            </w:r>
          </w:p>
        </w:tc>
        <w:tc>
          <w:tcPr>
            <w:tcW w:w="1832" w:type="dxa"/>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2020年-2022年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26</w:t>
            </w:r>
          </w:p>
        </w:tc>
        <w:tc>
          <w:tcPr>
            <w:tcW w:w="6946" w:type="dxa"/>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100%完成乡镇政府专职队、村级志愿消防队伍建设任务</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市自然资源和规划局、区县市、街道乡镇政府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27</w:t>
            </w:r>
          </w:p>
        </w:tc>
        <w:tc>
          <w:tcPr>
            <w:tcW w:w="6946" w:type="dxa"/>
            <w:tcBorders>
              <w:bottom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100%乡镇政府专职消防队、村级微型消防队全部实质性运转。</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区县市、街道乡镇政府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2021年年底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1281" w:type="dxa"/>
            <w:vMerge w:val="restart"/>
            <w:tcBorders>
              <w:top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28</w:t>
            </w:r>
          </w:p>
        </w:tc>
        <w:tc>
          <w:tcPr>
            <w:tcW w:w="6946" w:type="dxa"/>
            <w:tcBorders>
              <w:top w:val="single" w:color="auto" w:sz="4" w:space="0"/>
              <w:bottom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教育、民政、商务、文化和旅游、卫生健康、宗教、文物等重点行业部门，每年组织对学校及幼儿园、养老服务机构、儿童福利服务机构、流</w:t>
            </w:r>
          </w:p>
        </w:tc>
        <w:tc>
          <w:tcPr>
            <w:tcW w:w="1823" w:type="dxa"/>
            <w:tcBorders>
              <w:bottom w:val="single" w:color="auto" w:sz="4" w:space="0"/>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kern w:val="0"/>
                <w:szCs w:val="21"/>
              </w:rPr>
              <w:t>市消防救援支队</w:t>
            </w:r>
          </w:p>
        </w:tc>
        <w:tc>
          <w:tcPr>
            <w:tcW w:w="2865" w:type="dxa"/>
            <w:tcBorders>
              <w:left w:val="single" w:color="auto" w:sz="4" w:space="0"/>
              <w:bottom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市教育局、市民政局、市商务局、市文旅广体局、市卫健委、</w:t>
            </w:r>
          </w:p>
        </w:tc>
        <w:tc>
          <w:tcPr>
            <w:tcW w:w="1832" w:type="dxa"/>
            <w:tcBorders>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2020年-2022年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vMerge w:val="continue"/>
            <w:tcBorders>
              <w:bottom w:val="single" w:color="auto" w:sz="4" w:space="0"/>
            </w:tcBorders>
            <w:noWrap w:val="0"/>
            <w:vAlign w:val="center"/>
          </w:tcPr>
          <w:p>
            <w:pPr>
              <w:spacing w:line="400" w:lineRule="exact"/>
              <w:jc w:val="center"/>
              <w:rPr>
                <w:rFonts w:hint="eastAsia" w:ascii="仿宋_GB2312" w:hAnsi="宋体" w:eastAsia="仿宋_GB2312"/>
                <w:color w:val="000000"/>
                <w:szCs w:val="21"/>
              </w:rPr>
            </w:pPr>
          </w:p>
        </w:tc>
        <w:tc>
          <w:tcPr>
            <w:tcW w:w="6946" w:type="dxa"/>
            <w:tcBorders>
              <w:top w:val="single" w:color="auto" w:sz="4" w:space="0"/>
              <w:bottom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浪乞讨人员救助和托养机构、文化娱乐场所、星级宾馆饭店、商场市场、等级旅游景区、医疗卫生机构、宗教活动场所、文物建筑和博物馆等行业单位集中开展排查整治</w:t>
            </w:r>
          </w:p>
        </w:tc>
        <w:tc>
          <w:tcPr>
            <w:tcW w:w="1823"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olor w:val="000000"/>
                <w:kern w:val="0"/>
                <w:szCs w:val="21"/>
              </w:rPr>
            </w:pPr>
          </w:p>
        </w:tc>
        <w:tc>
          <w:tcPr>
            <w:tcW w:w="2865" w:type="dxa"/>
            <w:tcBorders>
              <w:top w:val="single" w:color="auto" w:sz="4" w:space="0"/>
              <w:left w:val="single" w:color="auto" w:sz="4" w:space="0"/>
              <w:bottom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市委统战部</w:t>
            </w:r>
          </w:p>
        </w:tc>
        <w:tc>
          <w:tcPr>
            <w:tcW w:w="1832"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29</w:t>
            </w:r>
          </w:p>
        </w:tc>
        <w:tc>
          <w:tcPr>
            <w:tcW w:w="6946" w:type="dxa"/>
            <w:tcBorders>
              <w:bottom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各区县市的教育、民政、文化和旅游、商务、卫生健康、宗教、文物等重点行业部门打造2家消防安全标准化管理单位</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市教育局、市民政局、市商务局、市文旅广体局、市卫健委、市委统战部</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30</w:t>
            </w:r>
          </w:p>
        </w:tc>
        <w:tc>
          <w:tcPr>
            <w:tcW w:w="6946" w:type="dxa"/>
            <w:tcBorders>
              <w:top w:val="single" w:color="auto" w:sz="4" w:space="0"/>
              <w:bottom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各区县市的教育、民政、文化和旅游、商务、卫生健康、宗教、文物等重点行业部门50%的所辖单位落实消防安全标准化管理</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市教育局、市民政局、市商务局、市文旅广体局、市卫健委、市委统战部</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2021年年底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31</w:t>
            </w:r>
          </w:p>
        </w:tc>
        <w:tc>
          <w:tcPr>
            <w:tcW w:w="6946" w:type="dxa"/>
            <w:tcBorders>
              <w:top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各区县市的教育、民政、文化和旅游、商务、卫生健康、宗教、文物等重点行业部门所辖单位单位全面落实行业标准化管理</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kern w:val="0"/>
                <w:szCs w:val="21"/>
              </w:rPr>
            </w:pPr>
            <w:r>
              <w:rPr>
                <w:rFonts w:hint="eastAsia" w:ascii="仿宋_GB2312" w:hAnsi="宋体" w:eastAsia="仿宋_GB2312"/>
                <w:color w:val="000000"/>
                <w:szCs w:val="21"/>
              </w:rPr>
              <w:t>市教育局、市民政局、市商务局、市文旅广体局、市卫健委、市委统战部</w:t>
            </w:r>
          </w:p>
        </w:tc>
        <w:tc>
          <w:tcPr>
            <w:tcW w:w="1832" w:type="dxa"/>
            <w:noWrap w:val="0"/>
            <w:vAlign w:val="center"/>
          </w:tcPr>
          <w:p>
            <w:pPr>
              <w:spacing w:line="400" w:lineRule="exact"/>
              <w:jc w:val="center"/>
              <w:rPr>
                <w:rFonts w:hint="eastAsia" w:ascii="仿宋_GB2312" w:hAnsi="宋体" w:eastAsia="仿宋_GB2312"/>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32</w:t>
            </w:r>
          </w:p>
        </w:tc>
        <w:tc>
          <w:tcPr>
            <w:tcW w:w="6946" w:type="dxa"/>
            <w:tcBorders>
              <w:bottom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深化推广“三自主两公开一承诺”</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市消安委各成员单位、区县市、街道乡镇政府</w:t>
            </w:r>
          </w:p>
        </w:tc>
        <w:tc>
          <w:tcPr>
            <w:tcW w:w="1832" w:type="dxa"/>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贯穿行动期间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33</w:t>
            </w:r>
          </w:p>
        </w:tc>
        <w:tc>
          <w:tcPr>
            <w:tcW w:w="6946" w:type="dxa"/>
            <w:tcBorders>
              <w:top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突出整治重大火灾隐患</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市消安委各成员单位、区县市、街道乡镇政府</w:t>
            </w:r>
          </w:p>
        </w:tc>
        <w:tc>
          <w:tcPr>
            <w:tcW w:w="1832" w:type="dxa"/>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贯穿行动期间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34</w:t>
            </w:r>
          </w:p>
        </w:tc>
        <w:tc>
          <w:tcPr>
            <w:tcW w:w="6946" w:type="dxa"/>
            <w:tcBorders>
              <w:bottom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建立信用联合惩戒机制</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市发展改革委、市财政局、市住建局、市市场监管局</w:t>
            </w:r>
          </w:p>
        </w:tc>
        <w:tc>
          <w:tcPr>
            <w:tcW w:w="1832" w:type="dxa"/>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2020年年底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trPr>
        <w:tc>
          <w:tcPr>
            <w:tcW w:w="1281" w:type="dxa"/>
            <w:tcBorders>
              <w:top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35</w:t>
            </w:r>
          </w:p>
        </w:tc>
        <w:tc>
          <w:tcPr>
            <w:tcW w:w="6946" w:type="dxa"/>
            <w:tcBorders>
              <w:top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强化事故责任追究和信用联合惩戒</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市消安委各成员单位、区县市、街道乡镇政府</w:t>
            </w:r>
          </w:p>
        </w:tc>
        <w:tc>
          <w:tcPr>
            <w:tcW w:w="1832" w:type="dxa"/>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贯穿行动期间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36</w:t>
            </w:r>
          </w:p>
        </w:tc>
        <w:tc>
          <w:tcPr>
            <w:tcW w:w="6946" w:type="dxa"/>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常德智慧消防系统接入智慧常德系统实现数据共享</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市行政审批服务局</w:t>
            </w:r>
          </w:p>
        </w:tc>
        <w:tc>
          <w:tcPr>
            <w:tcW w:w="1832" w:type="dxa"/>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2020年年底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37</w:t>
            </w:r>
          </w:p>
        </w:tc>
        <w:tc>
          <w:tcPr>
            <w:tcW w:w="6946" w:type="dxa"/>
            <w:tcBorders>
              <w:bottom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试行行业部门数据共享</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市消安委各成员单位</w:t>
            </w:r>
          </w:p>
        </w:tc>
        <w:tc>
          <w:tcPr>
            <w:tcW w:w="1832" w:type="dxa"/>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2021年年底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38</w:t>
            </w:r>
          </w:p>
        </w:tc>
        <w:tc>
          <w:tcPr>
            <w:tcW w:w="6946" w:type="dxa"/>
            <w:tcBorders>
              <w:top w:val="single" w:color="auto" w:sz="4" w:space="0"/>
              <w:bottom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实现“智慧消防”建设全覆盖</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市消安委各成员单位</w:t>
            </w:r>
          </w:p>
        </w:tc>
        <w:tc>
          <w:tcPr>
            <w:tcW w:w="1832" w:type="dxa"/>
            <w:noWrap w:val="0"/>
            <w:vAlign w:val="center"/>
          </w:tcPr>
          <w:p>
            <w:pPr>
              <w:spacing w:line="40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2022年年底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39</w:t>
            </w:r>
          </w:p>
        </w:tc>
        <w:tc>
          <w:tcPr>
            <w:tcW w:w="6946" w:type="dxa"/>
            <w:tcBorders>
              <w:top w:val="single" w:color="auto" w:sz="4" w:space="0"/>
              <w:bottom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开展消防控制室远程视频监控建设，实现重点单位远程联网监控</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kern w:val="0"/>
                <w:szCs w:val="21"/>
              </w:rPr>
              <w:t>市消安委各成员单位</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40</w:t>
            </w:r>
          </w:p>
        </w:tc>
        <w:tc>
          <w:tcPr>
            <w:tcW w:w="6946" w:type="dxa"/>
            <w:tcBorders>
              <w:top w:val="single" w:color="auto" w:sz="4" w:space="0"/>
              <w:bottom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全市智慧消防系统一张网实体化运行</w:t>
            </w:r>
          </w:p>
        </w:tc>
        <w:tc>
          <w:tcPr>
            <w:tcW w:w="1823" w:type="dxa"/>
            <w:tcBorders>
              <w:right w:val="single" w:color="auto" w:sz="4" w:space="0"/>
            </w:tcBorders>
            <w:noWrap w:val="0"/>
            <w:vAlign w:val="center"/>
          </w:tcPr>
          <w:p>
            <w:pPr>
              <w:jc w:val="center"/>
              <w:rPr>
                <w:rFonts w:hint="eastAsia" w:ascii="仿宋_GB2312" w:eastAsia="仿宋_GB2312"/>
                <w:color w:val="00000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kern w:val="0"/>
                <w:szCs w:val="21"/>
              </w:rPr>
              <w:t>市消安委各成员单位</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2021年年底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9" w:hRule="atLeast"/>
        </w:trPr>
        <w:tc>
          <w:tcPr>
            <w:tcW w:w="1281" w:type="dxa"/>
            <w:tcBorders>
              <w:top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41</w:t>
            </w:r>
          </w:p>
        </w:tc>
        <w:tc>
          <w:tcPr>
            <w:tcW w:w="6946" w:type="dxa"/>
            <w:tcBorders>
              <w:top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常德市智慧平安平台完善消防安全管理模块，将消防工作有机融入基层综合治理体系，整合基层部门管理服务资源，综合运用社会治理“人、地、事、物”等关联数据信息，构建网络化、社会化、信息化的基层消防管理体系</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kern w:val="0"/>
                <w:szCs w:val="21"/>
              </w:rPr>
              <w:t>市委政法委</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kern w:val="0"/>
                <w:szCs w:val="21"/>
              </w:rPr>
              <w:t>市消防救援支队、区县市、街道乡镇政府</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bottom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42</w:t>
            </w:r>
          </w:p>
        </w:tc>
        <w:tc>
          <w:tcPr>
            <w:tcW w:w="6946" w:type="dxa"/>
            <w:tcBorders>
              <w:bottom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将消防安全教育纳入精神文明建设、党校培训、中小学教育、公务员培训及职业培训等内容</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市委宣传部</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kern w:val="0"/>
                <w:szCs w:val="21"/>
              </w:rPr>
              <w:t>市委组织部、市委党校、市教育局、市人社局、市消防救援支队</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2020年年底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1" w:type="dxa"/>
            <w:tcBorders>
              <w:top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43</w:t>
            </w:r>
          </w:p>
        </w:tc>
        <w:tc>
          <w:tcPr>
            <w:tcW w:w="6946" w:type="dxa"/>
            <w:tcBorders>
              <w:top w:val="single" w:color="auto" w:sz="4" w:space="0"/>
            </w:tcBorders>
            <w:noWrap w:val="0"/>
            <w:vAlign w:val="center"/>
          </w:tcPr>
          <w:p>
            <w:pPr>
              <w:spacing w:line="40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加强重点人群分级分类培训，分批次、分类别组织行业部门专（兼）职人员、单位消防安全责任人和管理人、社区民警、村居委工作人员、网格员、安保人员、管理单位人员、重点单位员工、小企业主等重点人群开展消防教育培训，实现消防教育培训全覆盖</w:t>
            </w:r>
          </w:p>
        </w:tc>
        <w:tc>
          <w:tcPr>
            <w:tcW w:w="1823" w:type="dxa"/>
            <w:tcBorders>
              <w:right w:val="single" w:color="auto" w:sz="4" w:space="0"/>
            </w:tcBorders>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kern w:val="0"/>
                <w:szCs w:val="21"/>
              </w:rPr>
              <w:t>市消防救援支队</w:t>
            </w:r>
          </w:p>
        </w:tc>
        <w:tc>
          <w:tcPr>
            <w:tcW w:w="2865" w:type="dxa"/>
            <w:tcBorders>
              <w:left w:val="single" w:color="auto" w:sz="4" w:space="0"/>
            </w:tcBorders>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kern w:val="0"/>
                <w:szCs w:val="21"/>
              </w:rPr>
              <w:t>市公安局、市民政局、市人社局、市住建局、市商务局、市文旅广体局、市卫健委、市国资委</w:t>
            </w:r>
          </w:p>
        </w:tc>
        <w:tc>
          <w:tcPr>
            <w:tcW w:w="1832"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kern w:val="0"/>
                <w:szCs w:val="21"/>
              </w:rPr>
              <w:t>2020年年底完成60%；2021年年底前完成80%；2022年完成100%。</w:t>
            </w:r>
          </w:p>
        </w:tc>
      </w:tr>
    </w:tbl>
    <w:p>
      <w:pPr>
        <w:adjustRightInd w:val="0"/>
        <w:snapToGrid w:val="0"/>
        <w:spacing w:line="580" w:lineRule="exact"/>
        <w:rPr>
          <w:rFonts w:hint="eastAsia" w:ascii="仿宋_GB2312" w:hAnsi="黑体" w:eastAsia="仿宋_GB2312"/>
          <w:color w:val="000000"/>
          <w:szCs w:val="21"/>
        </w:rPr>
      </w:pPr>
    </w:p>
    <w:p>
      <w:pPr>
        <w:adjustRightInd w:val="0"/>
        <w:snapToGrid w:val="0"/>
        <w:spacing w:line="580" w:lineRule="exact"/>
        <w:rPr>
          <w:rFonts w:hint="eastAsia" w:ascii="仿宋_GB2312" w:hAnsi="黑体" w:eastAsia="仿宋_GB2312"/>
          <w:color w:val="000000"/>
          <w:szCs w:val="21"/>
        </w:rPr>
      </w:pPr>
    </w:p>
    <w:p>
      <w:pPr>
        <w:adjustRightInd w:val="0"/>
        <w:snapToGrid w:val="0"/>
        <w:spacing w:line="580" w:lineRule="exact"/>
        <w:rPr>
          <w:rFonts w:hint="eastAsia" w:ascii="仿宋_GB2312" w:hAnsi="黑体" w:eastAsia="仿宋_GB2312"/>
          <w:color w:val="000000"/>
          <w:szCs w:val="21"/>
        </w:rPr>
      </w:pPr>
    </w:p>
    <w:p>
      <w:pPr>
        <w:adjustRightInd w:val="0"/>
        <w:snapToGrid w:val="0"/>
        <w:spacing w:line="580" w:lineRule="exact"/>
        <w:jc w:val="center"/>
        <w:rPr>
          <w:rFonts w:ascii="方正小标宋简体" w:hAnsi="黑体" w:eastAsia="方正小标宋简体"/>
          <w:color w:val="000000"/>
          <w:sz w:val="44"/>
          <w:szCs w:val="44"/>
        </w:rPr>
      </w:pPr>
      <w:r>
        <w:rPr>
          <w:rFonts w:hint="eastAsia" w:ascii="方正小标宋简体" w:hAnsi="黑体" w:eastAsia="方正小标宋简体"/>
          <w:color w:val="000000"/>
          <w:sz w:val="44"/>
          <w:szCs w:val="44"/>
        </w:rPr>
        <w:t>常德市道路运输安全专项整治三年行动</w:t>
      </w:r>
      <w:r>
        <w:rPr>
          <w:rFonts w:hint="eastAsia" w:ascii="方正小标宋简体" w:hAnsi="宋体" w:eastAsia="方正小标宋简体" w:cs="宋体"/>
          <w:color w:val="000000"/>
          <w:kern w:val="0"/>
          <w:sz w:val="44"/>
          <w:szCs w:val="44"/>
        </w:rPr>
        <w:t>实施方案</w:t>
      </w:r>
      <w:r>
        <w:rPr>
          <w:rFonts w:hint="eastAsia" w:ascii="方正小标宋简体" w:hAnsi="黑体" w:eastAsia="方正小标宋简体"/>
          <w:color w:val="000000"/>
          <w:sz w:val="44"/>
          <w:szCs w:val="44"/>
        </w:rPr>
        <w:t>重点任务分解表（七）</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4111"/>
        <w:gridCol w:w="2552"/>
        <w:gridCol w:w="4252"/>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1242" w:type="dxa"/>
            <w:noWrap w:val="0"/>
            <w:vAlign w:val="center"/>
          </w:tcPr>
          <w:p>
            <w:pPr>
              <w:jc w:val="center"/>
              <w:rPr>
                <w:rFonts w:hint="eastAsia" w:ascii="仿宋_GB2312" w:hAnsi="宋体" w:eastAsia="仿宋_GB2312"/>
                <w:b/>
                <w:color w:val="000000"/>
                <w:szCs w:val="21"/>
              </w:rPr>
            </w:pPr>
            <w:r>
              <w:rPr>
                <w:rFonts w:hint="eastAsia" w:ascii="仿宋_GB2312" w:hAnsi="宋体" w:eastAsia="仿宋_GB2312"/>
                <w:b/>
                <w:color w:val="000000"/>
                <w:szCs w:val="21"/>
              </w:rPr>
              <w:t>序号</w:t>
            </w:r>
          </w:p>
        </w:tc>
        <w:tc>
          <w:tcPr>
            <w:tcW w:w="4111" w:type="dxa"/>
            <w:noWrap w:val="0"/>
            <w:vAlign w:val="center"/>
          </w:tcPr>
          <w:p>
            <w:pPr>
              <w:jc w:val="center"/>
              <w:rPr>
                <w:rFonts w:hint="eastAsia" w:ascii="仿宋_GB2312" w:hAnsi="宋体" w:eastAsia="仿宋_GB2312"/>
                <w:b/>
                <w:color w:val="000000"/>
                <w:szCs w:val="21"/>
              </w:rPr>
            </w:pPr>
            <w:r>
              <w:rPr>
                <w:rFonts w:hint="eastAsia" w:ascii="仿宋_GB2312" w:hAnsi="宋体" w:eastAsia="仿宋_GB2312"/>
                <w:b/>
                <w:color w:val="000000"/>
                <w:szCs w:val="21"/>
              </w:rPr>
              <w:t>任务内容</w:t>
            </w:r>
          </w:p>
        </w:tc>
        <w:tc>
          <w:tcPr>
            <w:tcW w:w="2552" w:type="dxa"/>
            <w:tcBorders>
              <w:right w:val="single" w:color="auto" w:sz="4" w:space="0"/>
            </w:tcBorders>
            <w:noWrap w:val="0"/>
            <w:vAlign w:val="center"/>
          </w:tcPr>
          <w:p>
            <w:pPr>
              <w:jc w:val="center"/>
              <w:rPr>
                <w:rFonts w:hint="eastAsia" w:ascii="仿宋_GB2312" w:hAnsi="宋体" w:eastAsia="仿宋_GB2312"/>
                <w:b/>
                <w:color w:val="000000"/>
                <w:szCs w:val="21"/>
              </w:rPr>
            </w:pPr>
            <w:r>
              <w:rPr>
                <w:rFonts w:hint="eastAsia" w:ascii="仿宋_GB2312" w:hAnsi="宋体" w:eastAsia="仿宋_GB2312"/>
                <w:b/>
                <w:color w:val="000000"/>
                <w:szCs w:val="21"/>
              </w:rPr>
              <w:t>牵头单位</w:t>
            </w:r>
          </w:p>
        </w:tc>
        <w:tc>
          <w:tcPr>
            <w:tcW w:w="4252" w:type="dxa"/>
            <w:tcBorders>
              <w:left w:val="single" w:color="auto" w:sz="4" w:space="0"/>
            </w:tcBorders>
            <w:noWrap w:val="0"/>
            <w:vAlign w:val="center"/>
          </w:tcPr>
          <w:p>
            <w:pPr>
              <w:jc w:val="center"/>
              <w:rPr>
                <w:rFonts w:hint="eastAsia" w:ascii="仿宋_GB2312" w:hAnsi="宋体" w:eastAsia="仿宋_GB2312"/>
                <w:b/>
                <w:color w:val="000000"/>
                <w:szCs w:val="21"/>
              </w:rPr>
            </w:pPr>
            <w:r>
              <w:rPr>
                <w:rFonts w:hint="eastAsia" w:ascii="仿宋_GB2312" w:hAnsi="宋体" w:eastAsia="仿宋_GB2312"/>
                <w:b/>
                <w:color w:val="000000"/>
                <w:szCs w:val="21"/>
              </w:rPr>
              <w:t>责任单位</w:t>
            </w:r>
          </w:p>
        </w:tc>
        <w:tc>
          <w:tcPr>
            <w:tcW w:w="1843" w:type="dxa"/>
            <w:noWrap w:val="0"/>
            <w:vAlign w:val="center"/>
          </w:tcPr>
          <w:p>
            <w:pPr>
              <w:jc w:val="center"/>
              <w:rPr>
                <w:rFonts w:hint="eastAsia" w:ascii="仿宋_GB2312" w:hAnsi="宋体" w:eastAsia="仿宋_GB2312"/>
                <w:b/>
                <w:color w:val="000000"/>
                <w:szCs w:val="21"/>
              </w:rPr>
            </w:pPr>
            <w:r>
              <w:rPr>
                <w:rFonts w:hint="eastAsia" w:ascii="仿宋_GB2312" w:hAnsi="宋体" w:eastAsia="仿宋_GB2312"/>
                <w:b/>
                <w:color w:val="000000"/>
                <w:szCs w:val="21"/>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4111" w:type="dxa"/>
            <w:tcBorders>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督促落实企业主责</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4252" w:type="dxa"/>
            <w:tcBorders>
              <w:lef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市公安交警支队</w:t>
            </w:r>
          </w:p>
        </w:tc>
        <w:tc>
          <w:tcPr>
            <w:tcW w:w="184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111" w:type="dxa"/>
            <w:tcBorders>
              <w:top w:val="single" w:color="auto" w:sz="4" w:space="0"/>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构建共建共治体系</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4252" w:type="dxa"/>
            <w:tcBorders>
              <w:lef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市应急管理局、市公安交警支队</w:t>
            </w:r>
          </w:p>
        </w:tc>
        <w:tc>
          <w:tcPr>
            <w:tcW w:w="184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111" w:type="dxa"/>
            <w:tcBorders>
              <w:top w:val="single" w:color="auto" w:sz="4" w:space="0"/>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推进信用体系建设</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市发展改革委</w:t>
            </w:r>
          </w:p>
        </w:tc>
        <w:tc>
          <w:tcPr>
            <w:tcW w:w="4252" w:type="dxa"/>
            <w:tcBorders>
              <w:lef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市交通运输局、市应急管理局、市公安交警支队</w:t>
            </w:r>
          </w:p>
        </w:tc>
        <w:tc>
          <w:tcPr>
            <w:tcW w:w="184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111" w:type="dxa"/>
            <w:tcBorders>
              <w:top w:val="single" w:color="auto" w:sz="4" w:space="0"/>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完善事故调查制度</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区县市人民政府</w:t>
            </w:r>
          </w:p>
          <w:p>
            <w:pPr>
              <w:jc w:val="center"/>
              <w:rPr>
                <w:rFonts w:hint="eastAsia" w:ascii="仿宋_GB2312" w:hAnsi="宋体" w:eastAsia="仿宋_GB2312"/>
                <w:color w:val="000000"/>
                <w:szCs w:val="21"/>
              </w:rPr>
            </w:pPr>
          </w:p>
        </w:tc>
        <w:tc>
          <w:tcPr>
            <w:tcW w:w="4252" w:type="dxa"/>
            <w:tcBorders>
              <w:lef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市交通运输局、市应急管理局、</w:t>
            </w:r>
          </w:p>
          <w:p>
            <w:pPr>
              <w:jc w:val="center"/>
              <w:rPr>
                <w:rFonts w:hint="eastAsia" w:ascii="仿宋_GB2312" w:hAnsi="宋体" w:eastAsia="仿宋_GB2312"/>
                <w:color w:val="000000"/>
                <w:szCs w:val="21"/>
              </w:rPr>
            </w:pPr>
            <w:r>
              <w:rPr>
                <w:rFonts w:hint="eastAsia" w:ascii="仿宋_GB2312" w:hAnsi="宋体" w:eastAsia="仿宋_GB2312"/>
                <w:color w:val="000000"/>
                <w:szCs w:val="21"/>
              </w:rPr>
              <w:t>市公安交警支队</w:t>
            </w:r>
          </w:p>
        </w:tc>
        <w:tc>
          <w:tcPr>
            <w:tcW w:w="184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111" w:type="dxa"/>
            <w:tcBorders>
              <w:top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构建快速救援救治机制</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市卫健委</w:t>
            </w:r>
          </w:p>
        </w:tc>
        <w:tc>
          <w:tcPr>
            <w:tcW w:w="4252" w:type="dxa"/>
            <w:tcBorders>
              <w:lef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市交通运输局、市应急管理局、市消防救援支队、市公安交警支队</w:t>
            </w:r>
          </w:p>
        </w:tc>
        <w:tc>
          <w:tcPr>
            <w:tcW w:w="184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6</w:t>
            </w:r>
          </w:p>
        </w:tc>
        <w:tc>
          <w:tcPr>
            <w:tcW w:w="4111" w:type="dxa"/>
            <w:tcBorders>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严格客货车生产销售监管</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市工信局</w:t>
            </w:r>
          </w:p>
        </w:tc>
        <w:tc>
          <w:tcPr>
            <w:tcW w:w="4252" w:type="dxa"/>
            <w:tcBorders>
              <w:lef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市交通运输局、市商务局、市市场监管局</w:t>
            </w:r>
          </w:p>
        </w:tc>
        <w:tc>
          <w:tcPr>
            <w:tcW w:w="184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7</w:t>
            </w:r>
          </w:p>
        </w:tc>
        <w:tc>
          <w:tcPr>
            <w:tcW w:w="4111" w:type="dxa"/>
            <w:tcBorders>
              <w:top w:val="single" w:color="auto" w:sz="4" w:space="0"/>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组织隐患车辆专项整治</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市工信局</w:t>
            </w:r>
          </w:p>
        </w:tc>
        <w:tc>
          <w:tcPr>
            <w:tcW w:w="4252" w:type="dxa"/>
            <w:tcBorders>
              <w:lef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市交通运输局、市商务局、市市场监管局、市公安交警支队</w:t>
            </w:r>
          </w:p>
        </w:tc>
        <w:tc>
          <w:tcPr>
            <w:tcW w:w="184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8</w:t>
            </w:r>
          </w:p>
        </w:tc>
        <w:tc>
          <w:tcPr>
            <w:tcW w:w="4111" w:type="dxa"/>
            <w:tcBorders>
              <w:top w:val="single" w:color="auto" w:sz="4" w:space="0"/>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提升客货车安全水平</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市工信局</w:t>
            </w:r>
          </w:p>
        </w:tc>
        <w:tc>
          <w:tcPr>
            <w:tcW w:w="4252" w:type="dxa"/>
            <w:tcBorders>
              <w:lef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市交通运输局、市公安交警支队</w:t>
            </w:r>
          </w:p>
        </w:tc>
        <w:tc>
          <w:tcPr>
            <w:tcW w:w="184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9</w:t>
            </w:r>
          </w:p>
        </w:tc>
        <w:tc>
          <w:tcPr>
            <w:tcW w:w="4111" w:type="dxa"/>
            <w:tcBorders>
              <w:top w:val="single" w:color="auto" w:sz="4" w:space="0"/>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强化市场准入管理</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4252" w:type="dxa"/>
            <w:tcBorders>
              <w:lef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市市场监管局、市公安交警支队</w:t>
            </w:r>
          </w:p>
        </w:tc>
        <w:tc>
          <w:tcPr>
            <w:tcW w:w="184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10</w:t>
            </w:r>
          </w:p>
        </w:tc>
        <w:tc>
          <w:tcPr>
            <w:tcW w:w="4111" w:type="dxa"/>
            <w:tcBorders>
              <w:top w:val="single" w:color="auto" w:sz="4" w:space="0"/>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加强在用客车使用性质排查整治</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4252" w:type="dxa"/>
            <w:tcBorders>
              <w:lef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市市场监管局、市公安交警支队</w:t>
            </w:r>
          </w:p>
        </w:tc>
        <w:tc>
          <w:tcPr>
            <w:tcW w:w="184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11</w:t>
            </w:r>
          </w:p>
        </w:tc>
        <w:tc>
          <w:tcPr>
            <w:tcW w:w="4111" w:type="dxa"/>
            <w:tcBorders>
              <w:top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加快淘汰隐患问题车辆</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市工信局</w:t>
            </w:r>
          </w:p>
        </w:tc>
        <w:tc>
          <w:tcPr>
            <w:tcW w:w="4252" w:type="dxa"/>
            <w:tcBorders>
              <w:lef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市商务局、市交通运输局、市市场监管局、市生态环境局、市农业农村局、市公安交警支队</w:t>
            </w:r>
          </w:p>
        </w:tc>
        <w:tc>
          <w:tcPr>
            <w:tcW w:w="184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12</w:t>
            </w:r>
          </w:p>
        </w:tc>
        <w:tc>
          <w:tcPr>
            <w:tcW w:w="4111" w:type="dxa"/>
            <w:tcBorders>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完善运输从业人员管理制度</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4252" w:type="dxa"/>
            <w:tcBorders>
              <w:lef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184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13</w:t>
            </w:r>
          </w:p>
        </w:tc>
        <w:tc>
          <w:tcPr>
            <w:tcW w:w="4111" w:type="dxa"/>
            <w:tcBorders>
              <w:top w:val="single" w:color="auto" w:sz="4" w:space="0"/>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加强客货运驾驶人培训考试监管</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4252" w:type="dxa"/>
            <w:tcBorders>
              <w:lef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市公安交警支队</w:t>
            </w:r>
          </w:p>
        </w:tc>
        <w:tc>
          <w:tcPr>
            <w:tcW w:w="184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14</w:t>
            </w:r>
          </w:p>
        </w:tc>
        <w:tc>
          <w:tcPr>
            <w:tcW w:w="4111" w:type="dxa"/>
            <w:tcBorders>
              <w:top w:val="single" w:color="auto" w:sz="4" w:space="0"/>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严把从业人员资格准入关</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4252" w:type="dxa"/>
            <w:tcBorders>
              <w:lef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市公安交警支队</w:t>
            </w:r>
          </w:p>
        </w:tc>
        <w:tc>
          <w:tcPr>
            <w:tcW w:w="184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trPr>
        <w:tc>
          <w:tcPr>
            <w:tcW w:w="1242" w:type="dxa"/>
            <w:tcBorders>
              <w:top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15</w:t>
            </w:r>
          </w:p>
        </w:tc>
        <w:tc>
          <w:tcPr>
            <w:tcW w:w="4111" w:type="dxa"/>
            <w:tcBorders>
              <w:top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加大宣传曝光力度</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4252" w:type="dxa"/>
            <w:tcBorders>
              <w:lef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市教育局、市公安交警支队</w:t>
            </w:r>
          </w:p>
        </w:tc>
        <w:tc>
          <w:tcPr>
            <w:tcW w:w="184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16</w:t>
            </w:r>
          </w:p>
        </w:tc>
        <w:tc>
          <w:tcPr>
            <w:tcW w:w="4111" w:type="dxa"/>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推动企业规范经营</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4252" w:type="dxa"/>
            <w:tcBorders>
              <w:left w:val="single" w:color="auto" w:sz="4" w:space="0"/>
            </w:tcBorders>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市市场监管局</w:t>
            </w:r>
          </w:p>
        </w:tc>
        <w:tc>
          <w:tcPr>
            <w:tcW w:w="1843" w:type="dxa"/>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17</w:t>
            </w:r>
          </w:p>
        </w:tc>
        <w:tc>
          <w:tcPr>
            <w:tcW w:w="4111" w:type="dxa"/>
            <w:tcBorders>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健全安全隐患治理机制</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各区县市人民政府</w:t>
            </w:r>
          </w:p>
        </w:tc>
        <w:tc>
          <w:tcPr>
            <w:tcW w:w="4252" w:type="dxa"/>
            <w:tcBorders>
              <w:left w:val="single" w:color="auto" w:sz="4" w:space="0"/>
            </w:tcBorders>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1843" w:type="dxa"/>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18</w:t>
            </w:r>
          </w:p>
        </w:tc>
        <w:tc>
          <w:tcPr>
            <w:tcW w:w="4111" w:type="dxa"/>
            <w:tcBorders>
              <w:top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加强汽车客运站安全监管</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4252" w:type="dxa"/>
            <w:tcBorders>
              <w:left w:val="single" w:color="auto" w:sz="4" w:space="0"/>
            </w:tcBorders>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市公安局</w:t>
            </w:r>
          </w:p>
        </w:tc>
        <w:tc>
          <w:tcPr>
            <w:tcW w:w="1843" w:type="dxa"/>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19</w:t>
            </w:r>
          </w:p>
        </w:tc>
        <w:tc>
          <w:tcPr>
            <w:tcW w:w="4111" w:type="dxa"/>
            <w:tcBorders>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强化旅游客运安全监管</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4252" w:type="dxa"/>
            <w:tcBorders>
              <w:left w:val="single" w:color="auto" w:sz="4" w:space="0"/>
            </w:tcBorders>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市文旅广体局、市公安交警支队</w:t>
            </w:r>
          </w:p>
        </w:tc>
        <w:tc>
          <w:tcPr>
            <w:tcW w:w="1843" w:type="dxa"/>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w:t>
            </w:r>
          </w:p>
        </w:tc>
        <w:tc>
          <w:tcPr>
            <w:tcW w:w="4111" w:type="dxa"/>
            <w:tcBorders>
              <w:top w:val="single" w:color="auto" w:sz="4" w:space="0"/>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严格长途客运安全管理</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4252" w:type="dxa"/>
            <w:tcBorders>
              <w:left w:val="single" w:color="auto" w:sz="4" w:space="0"/>
            </w:tcBorders>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市公安交警支队</w:t>
            </w:r>
          </w:p>
        </w:tc>
        <w:tc>
          <w:tcPr>
            <w:tcW w:w="1843" w:type="dxa"/>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21</w:t>
            </w:r>
          </w:p>
        </w:tc>
        <w:tc>
          <w:tcPr>
            <w:tcW w:w="4111" w:type="dxa"/>
            <w:tcBorders>
              <w:top w:val="single" w:color="auto" w:sz="4" w:space="0"/>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深化货车超限超载治理</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4252" w:type="dxa"/>
            <w:tcBorders>
              <w:left w:val="single" w:color="auto" w:sz="4" w:space="0"/>
            </w:tcBorders>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市公安交警支队</w:t>
            </w:r>
          </w:p>
        </w:tc>
        <w:tc>
          <w:tcPr>
            <w:tcW w:w="1843" w:type="dxa"/>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22</w:t>
            </w:r>
          </w:p>
        </w:tc>
        <w:tc>
          <w:tcPr>
            <w:tcW w:w="4111" w:type="dxa"/>
            <w:tcBorders>
              <w:top w:val="single" w:color="auto" w:sz="4" w:space="0"/>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严密危险货物道路运输安全监管</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各区县市人民政府</w:t>
            </w:r>
          </w:p>
        </w:tc>
        <w:tc>
          <w:tcPr>
            <w:tcW w:w="4252" w:type="dxa"/>
            <w:tcBorders>
              <w:left w:val="single" w:color="auto" w:sz="4" w:space="0"/>
            </w:tcBorders>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市交通运输局、市工信局、市应急管理局、市公安局、市市场监管局</w:t>
            </w:r>
          </w:p>
        </w:tc>
        <w:tc>
          <w:tcPr>
            <w:tcW w:w="1843" w:type="dxa"/>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23</w:t>
            </w:r>
          </w:p>
        </w:tc>
        <w:tc>
          <w:tcPr>
            <w:tcW w:w="4111" w:type="dxa"/>
            <w:tcBorders>
              <w:top w:val="single" w:color="auto" w:sz="4" w:space="0"/>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落实校车交通安全管理</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4252" w:type="dxa"/>
            <w:tcBorders>
              <w:left w:val="single" w:color="auto" w:sz="4" w:space="0"/>
            </w:tcBorders>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市教育局、市公安交警支队</w:t>
            </w:r>
          </w:p>
        </w:tc>
        <w:tc>
          <w:tcPr>
            <w:tcW w:w="1843" w:type="dxa"/>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24</w:t>
            </w:r>
          </w:p>
        </w:tc>
        <w:tc>
          <w:tcPr>
            <w:tcW w:w="4111" w:type="dxa"/>
            <w:tcBorders>
              <w:top w:val="single" w:color="auto" w:sz="4" w:space="0"/>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加强农村交通安全监管</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4252" w:type="dxa"/>
            <w:tcBorders>
              <w:left w:val="single" w:color="auto" w:sz="4" w:space="0"/>
            </w:tcBorders>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市农业农村局、市公安交警支队</w:t>
            </w:r>
          </w:p>
        </w:tc>
        <w:tc>
          <w:tcPr>
            <w:tcW w:w="1843" w:type="dxa"/>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25</w:t>
            </w:r>
          </w:p>
        </w:tc>
        <w:tc>
          <w:tcPr>
            <w:tcW w:w="4111" w:type="dxa"/>
            <w:tcBorders>
              <w:top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规范城市工程运输车监管</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市城管执法局</w:t>
            </w:r>
          </w:p>
        </w:tc>
        <w:tc>
          <w:tcPr>
            <w:tcW w:w="4252" w:type="dxa"/>
            <w:tcBorders>
              <w:left w:val="single" w:color="auto" w:sz="4" w:space="0"/>
            </w:tcBorders>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市住建局、市公安交警支队</w:t>
            </w:r>
          </w:p>
        </w:tc>
        <w:tc>
          <w:tcPr>
            <w:tcW w:w="1843" w:type="dxa"/>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26</w:t>
            </w:r>
          </w:p>
        </w:tc>
        <w:tc>
          <w:tcPr>
            <w:tcW w:w="4111" w:type="dxa"/>
            <w:tcBorders>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严查突出交通违法</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市公安交警支队</w:t>
            </w:r>
          </w:p>
        </w:tc>
        <w:tc>
          <w:tcPr>
            <w:tcW w:w="4252" w:type="dxa"/>
            <w:tcBorders>
              <w:left w:val="single" w:color="auto" w:sz="4" w:space="0"/>
            </w:tcBorders>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市公安交警支队</w:t>
            </w:r>
          </w:p>
        </w:tc>
        <w:tc>
          <w:tcPr>
            <w:tcW w:w="1843" w:type="dxa"/>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27</w:t>
            </w:r>
          </w:p>
        </w:tc>
        <w:tc>
          <w:tcPr>
            <w:tcW w:w="4111" w:type="dxa"/>
            <w:tcBorders>
              <w:top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严格落实动态监管责任</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4252" w:type="dxa"/>
            <w:tcBorders>
              <w:left w:val="single" w:color="auto" w:sz="4" w:space="0"/>
            </w:tcBorders>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市公安交警支队</w:t>
            </w:r>
          </w:p>
        </w:tc>
        <w:tc>
          <w:tcPr>
            <w:tcW w:w="1843" w:type="dxa"/>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28</w:t>
            </w:r>
          </w:p>
        </w:tc>
        <w:tc>
          <w:tcPr>
            <w:tcW w:w="4111" w:type="dxa"/>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严厉打击非法营运行为</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各区县市人民政府</w:t>
            </w:r>
          </w:p>
        </w:tc>
        <w:tc>
          <w:tcPr>
            <w:tcW w:w="4252" w:type="dxa"/>
            <w:tcBorders>
              <w:left w:val="single" w:color="auto" w:sz="4" w:space="0"/>
            </w:tcBorders>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w:t>
            </w:r>
          </w:p>
        </w:tc>
        <w:tc>
          <w:tcPr>
            <w:tcW w:w="1843" w:type="dxa"/>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29</w:t>
            </w:r>
          </w:p>
        </w:tc>
        <w:tc>
          <w:tcPr>
            <w:tcW w:w="4111" w:type="dxa"/>
            <w:tcBorders>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全面排查道路安全风险</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各区县市人民政府</w:t>
            </w:r>
          </w:p>
        </w:tc>
        <w:tc>
          <w:tcPr>
            <w:tcW w:w="4252" w:type="dxa"/>
            <w:tcBorders>
              <w:left w:val="single" w:color="auto" w:sz="4" w:space="0"/>
            </w:tcBorders>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市交通运输局、市住建局、市公安交警支队</w:t>
            </w:r>
          </w:p>
        </w:tc>
        <w:tc>
          <w:tcPr>
            <w:tcW w:w="1843" w:type="dxa"/>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30</w:t>
            </w:r>
          </w:p>
        </w:tc>
        <w:tc>
          <w:tcPr>
            <w:tcW w:w="4111" w:type="dxa"/>
            <w:tcBorders>
              <w:top w:val="single" w:color="auto" w:sz="4" w:space="0"/>
              <w:bottom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强化道路应急保障</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各区县市人民政府</w:t>
            </w:r>
          </w:p>
        </w:tc>
        <w:tc>
          <w:tcPr>
            <w:tcW w:w="4252" w:type="dxa"/>
            <w:tcBorders>
              <w:left w:val="single" w:color="auto" w:sz="4" w:space="0"/>
            </w:tcBorders>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市交通运输局、市住建局、市气象局、市公安交警支队</w:t>
            </w:r>
          </w:p>
        </w:tc>
        <w:tc>
          <w:tcPr>
            <w:tcW w:w="1843" w:type="dxa"/>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Borders>
              <w:top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31</w:t>
            </w:r>
          </w:p>
        </w:tc>
        <w:tc>
          <w:tcPr>
            <w:tcW w:w="4111" w:type="dxa"/>
            <w:tcBorders>
              <w:top w:val="single" w:color="auto" w:sz="4" w:space="0"/>
            </w:tcBorders>
            <w:noWrap w:val="0"/>
            <w:vAlign w:val="center"/>
          </w:tcPr>
          <w:p>
            <w:pPr>
              <w:jc w:val="left"/>
              <w:rPr>
                <w:rFonts w:hint="eastAsia" w:ascii="仿宋_GB2312" w:hAnsi="宋体" w:eastAsia="仿宋_GB2312"/>
                <w:color w:val="000000"/>
                <w:szCs w:val="21"/>
              </w:rPr>
            </w:pPr>
            <w:r>
              <w:rPr>
                <w:rFonts w:hint="eastAsia" w:ascii="仿宋_GB2312" w:hAnsi="宋体" w:eastAsia="仿宋_GB2312"/>
                <w:color w:val="000000"/>
                <w:szCs w:val="21"/>
              </w:rPr>
              <w:t>推进农村道路设施建设</w:t>
            </w:r>
          </w:p>
        </w:tc>
        <w:tc>
          <w:tcPr>
            <w:tcW w:w="2552" w:type="dxa"/>
            <w:tcBorders>
              <w:right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各区县市人民政府</w:t>
            </w:r>
          </w:p>
        </w:tc>
        <w:tc>
          <w:tcPr>
            <w:tcW w:w="4252" w:type="dxa"/>
            <w:tcBorders>
              <w:left w:val="single" w:color="auto" w:sz="4" w:space="0"/>
            </w:tcBorders>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市交通运输局、市农业农村局、市商务局、市应急管理局、市公安交警支队</w:t>
            </w:r>
          </w:p>
        </w:tc>
        <w:tc>
          <w:tcPr>
            <w:tcW w:w="1843" w:type="dxa"/>
            <w:noWrap w:val="0"/>
            <w:vAlign w:val="top"/>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2020年底前</w:t>
            </w:r>
          </w:p>
        </w:tc>
      </w:tr>
    </w:tbl>
    <w:p>
      <w:pPr>
        <w:jc w:val="center"/>
        <w:rPr>
          <w:rFonts w:hint="eastAsia" w:ascii="仿宋_GB2312" w:hAnsi="宋体" w:eastAsia="仿宋_GB2312"/>
          <w:color w:val="000000"/>
          <w:szCs w:val="21"/>
        </w:rPr>
      </w:pPr>
    </w:p>
    <w:p>
      <w:pPr>
        <w:rPr>
          <w:rFonts w:hint="eastAsia" w:ascii="仿宋_GB2312" w:eastAsia="仿宋_GB2312"/>
          <w:color w:val="000000"/>
          <w:szCs w:val="21"/>
        </w:rPr>
      </w:pPr>
    </w:p>
    <w:p>
      <w:pPr>
        <w:adjustRightInd w:val="0"/>
        <w:snapToGrid w:val="0"/>
        <w:spacing w:line="560" w:lineRule="exact"/>
        <w:rPr>
          <w:rFonts w:eastAsia="黑体"/>
          <w:color w:val="000000"/>
          <w:sz w:val="32"/>
        </w:rPr>
        <w:sectPr>
          <w:pgSz w:w="16838" w:h="11906" w:orient="landscape"/>
          <w:pgMar w:top="1690" w:right="1440" w:bottom="1690" w:left="1440" w:header="851" w:footer="992" w:gutter="0"/>
          <w:pgNumType w:fmt="numberInDash"/>
          <w:cols w:space="720" w:num="1"/>
          <w:docGrid w:type="linesAndChars" w:linePitch="312" w:charSpace="0"/>
        </w:sectPr>
      </w:pPr>
    </w:p>
    <w:p>
      <w:pPr>
        <w:spacing w:line="540" w:lineRule="exact"/>
        <w:jc w:val="center"/>
        <w:rPr>
          <w:rFonts w:hint="eastAsia"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常德市交通运输（民航、铁路、邮政、水上和渔业船舶）安全专项整治</w:t>
      </w:r>
    </w:p>
    <w:p>
      <w:pPr>
        <w:spacing w:line="540" w:lineRule="exact"/>
        <w:jc w:val="center"/>
        <w:rPr>
          <w:rFonts w:ascii="方正小标宋简体" w:hAnsi="方正小标宋_GBK" w:eastAsia="方正小标宋简体" w:cs="方正小标宋_GBK"/>
          <w:color w:val="000000"/>
          <w:sz w:val="44"/>
          <w:szCs w:val="44"/>
        </w:rPr>
      </w:pPr>
      <w:r>
        <w:rPr>
          <w:rFonts w:hint="eastAsia" w:ascii="方正小标宋简体" w:hAnsi="方正小标宋_GBK" w:eastAsia="方正小标宋简体" w:cs="方正小标宋_GBK"/>
          <w:color w:val="000000"/>
          <w:sz w:val="44"/>
          <w:szCs w:val="44"/>
        </w:rPr>
        <w:t>三年行动</w:t>
      </w:r>
      <w:r>
        <w:rPr>
          <w:rFonts w:hint="eastAsia" w:ascii="方正小标宋简体" w:hAnsi="宋体" w:eastAsia="方正小标宋简体" w:cs="宋体"/>
          <w:color w:val="000000"/>
          <w:kern w:val="0"/>
          <w:sz w:val="44"/>
          <w:szCs w:val="44"/>
        </w:rPr>
        <w:t>实施方案</w:t>
      </w:r>
      <w:r>
        <w:rPr>
          <w:rFonts w:hint="eastAsia" w:ascii="方正小标宋简体" w:hAnsi="方正小标宋_GBK" w:eastAsia="方正小标宋简体" w:cs="方正小标宋_GBK"/>
          <w:color w:val="000000"/>
          <w:sz w:val="44"/>
          <w:szCs w:val="44"/>
        </w:rPr>
        <w:t>重点任务分解表（八）</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0"/>
        <w:gridCol w:w="4301"/>
        <w:gridCol w:w="3402"/>
        <w:gridCol w:w="3595"/>
        <w:gridCol w:w="19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910" w:type="dxa"/>
            <w:noWrap w:val="0"/>
            <w:vAlign w:val="center"/>
          </w:tcPr>
          <w:p>
            <w:pPr>
              <w:jc w:val="center"/>
              <w:rPr>
                <w:rFonts w:hint="eastAsia" w:ascii="仿宋_GB2312" w:hAnsi="宋体" w:eastAsia="仿宋_GB2312" w:cs="黑体"/>
                <w:b/>
                <w:color w:val="000000"/>
                <w:szCs w:val="21"/>
              </w:rPr>
            </w:pPr>
            <w:r>
              <w:rPr>
                <w:rFonts w:hint="eastAsia" w:ascii="仿宋_GB2312" w:hAnsi="宋体" w:eastAsia="仿宋_GB2312" w:cs="黑体"/>
                <w:b/>
                <w:color w:val="000000"/>
                <w:szCs w:val="21"/>
              </w:rPr>
              <w:t>序号</w:t>
            </w:r>
          </w:p>
        </w:tc>
        <w:tc>
          <w:tcPr>
            <w:tcW w:w="4301" w:type="dxa"/>
            <w:noWrap w:val="0"/>
            <w:vAlign w:val="center"/>
          </w:tcPr>
          <w:p>
            <w:pPr>
              <w:jc w:val="center"/>
              <w:rPr>
                <w:rFonts w:hint="eastAsia" w:ascii="仿宋_GB2312" w:hAnsi="宋体" w:eastAsia="仿宋_GB2312" w:cs="黑体"/>
                <w:b/>
                <w:color w:val="000000"/>
                <w:szCs w:val="21"/>
              </w:rPr>
            </w:pPr>
            <w:r>
              <w:rPr>
                <w:rFonts w:hint="eastAsia" w:ascii="仿宋_GB2312" w:hAnsi="宋体" w:eastAsia="仿宋_GB2312" w:cs="黑体"/>
                <w:b/>
                <w:color w:val="000000"/>
                <w:szCs w:val="21"/>
              </w:rPr>
              <w:t>任务内容</w:t>
            </w:r>
          </w:p>
        </w:tc>
        <w:tc>
          <w:tcPr>
            <w:tcW w:w="3402" w:type="dxa"/>
            <w:noWrap w:val="0"/>
            <w:vAlign w:val="center"/>
          </w:tcPr>
          <w:p>
            <w:pPr>
              <w:jc w:val="center"/>
              <w:rPr>
                <w:rFonts w:hint="eastAsia" w:ascii="仿宋_GB2312" w:hAnsi="宋体" w:eastAsia="仿宋_GB2312" w:cs="黑体"/>
                <w:b/>
                <w:color w:val="000000"/>
                <w:szCs w:val="21"/>
              </w:rPr>
            </w:pPr>
            <w:r>
              <w:rPr>
                <w:rFonts w:hint="eastAsia" w:ascii="仿宋_GB2312" w:hAnsi="宋体" w:eastAsia="仿宋_GB2312" w:cs="黑体"/>
                <w:b/>
                <w:color w:val="000000"/>
                <w:szCs w:val="21"/>
              </w:rPr>
              <w:t>牵头单位</w:t>
            </w:r>
          </w:p>
        </w:tc>
        <w:tc>
          <w:tcPr>
            <w:tcW w:w="3595" w:type="dxa"/>
            <w:noWrap w:val="0"/>
            <w:vAlign w:val="center"/>
          </w:tcPr>
          <w:p>
            <w:pPr>
              <w:jc w:val="center"/>
              <w:rPr>
                <w:rFonts w:hint="eastAsia" w:ascii="仿宋_GB2312" w:hAnsi="宋体" w:eastAsia="仿宋_GB2312" w:cs="黑体"/>
                <w:b/>
                <w:color w:val="000000"/>
                <w:szCs w:val="21"/>
              </w:rPr>
            </w:pPr>
            <w:r>
              <w:rPr>
                <w:rFonts w:hint="eastAsia" w:ascii="仿宋_GB2312" w:hAnsi="宋体" w:eastAsia="仿宋_GB2312" w:cs="黑体"/>
                <w:b/>
                <w:color w:val="000000"/>
                <w:szCs w:val="21"/>
              </w:rPr>
              <w:t>责任单位</w:t>
            </w:r>
          </w:p>
        </w:tc>
        <w:tc>
          <w:tcPr>
            <w:tcW w:w="1966" w:type="dxa"/>
            <w:noWrap w:val="0"/>
            <w:vAlign w:val="center"/>
          </w:tcPr>
          <w:p>
            <w:pPr>
              <w:jc w:val="center"/>
              <w:rPr>
                <w:rFonts w:hint="eastAsia" w:ascii="仿宋_GB2312" w:hAnsi="宋体" w:eastAsia="仿宋_GB2312" w:cs="黑体"/>
                <w:b/>
                <w:color w:val="000000"/>
                <w:szCs w:val="21"/>
              </w:rPr>
            </w:pPr>
            <w:r>
              <w:rPr>
                <w:rFonts w:hint="eastAsia" w:ascii="仿宋_GB2312" w:hAnsi="宋体" w:eastAsia="仿宋_GB2312" w:cs="黑体"/>
                <w:b/>
                <w:color w:val="000000"/>
                <w:szCs w:val="21"/>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910" w:type="dxa"/>
            <w:tcBorders>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1</w:t>
            </w:r>
          </w:p>
        </w:tc>
        <w:tc>
          <w:tcPr>
            <w:tcW w:w="4301" w:type="dxa"/>
            <w:tcBorders>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1健全落实安全生产责任制</w:t>
            </w:r>
          </w:p>
        </w:tc>
        <w:tc>
          <w:tcPr>
            <w:tcW w:w="3402" w:type="dxa"/>
            <w:vMerge w:val="restart"/>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w:t>
            </w:r>
          </w:p>
        </w:tc>
        <w:tc>
          <w:tcPr>
            <w:tcW w:w="3595" w:type="dxa"/>
            <w:vMerge w:val="restart"/>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市农业</w:t>
            </w:r>
            <w:r>
              <w:rPr>
                <w:rFonts w:hint="eastAsia" w:ascii="仿宋_GB2312" w:hAnsi="宋体" w:eastAsia="仿宋_GB2312" w:cs="华文仿宋"/>
                <w:color w:val="000000"/>
                <w:szCs w:val="21"/>
                <w:lang w:eastAsia="zh-CN"/>
              </w:rPr>
              <w:t>农村</w:t>
            </w:r>
            <w:bookmarkStart w:id="0" w:name="_GoBack"/>
            <w:bookmarkEnd w:id="0"/>
            <w:r>
              <w:rPr>
                <w:rFonts w:hint="eastAsia" w:ascii="仿宋_GB2312" w:hAnsi="宋体" w:eastAsia="仿宋_GB2312" w:cs="华文仿宋"/>
                <w:color w:val="000000"/>
                <w:szCs w:val="21"/>
              </w:rPr>
              <w:t>局、市应急管理局、市邮政管理局、常德桃花源机场、市铁路安全环境整治领导小组、市工信局、市住建局、市市场监管局等按各自职责分工负责落实</w:t>
            </w:r>
          </w:p>
        </w:tc>
        <w:tc>
          <w:tcPr>
            <w:tcW w:w="1966" w:type="dxa"/>
            <w:vMerge w:val="restart"/>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2022年年底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301" w:type="dxa"/>
            <w:tcBorders>
              <w:top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强化安全生产责任体系落实</w:t>
            </w:r>
          </w:p>
        </w:tc>
        <w:tc>
          <w:tcPr>
            <w:tcW w:w="3402" w:type="dxa"/>
            <w:vMerge w:val="continue"/>
            <w:noWrap w:val="0"/>
            <w:vAlign w:val="center"/>
          </w:tcPr>
          <w:p>
            <w:pPr>
              <w:jc w:val="center"/>
              <w:rPr>
                <w:rFonts w:hint="eastAsia" w:ascii="仿宋_GB2312" w:hAnsi="宋体" w:eastAsia="仿宋_GB2312" w:cs="华文仿宋"/>
                <w:color w:val="000000"/>
                <w:szCs w:val="21"/>
              </w:rPr>
            </w:pPr>
          </w:p>
        </w:tc>
        <w:tc>
          <w:tcPr>
            <w:tcW w:w="3595" w:type="dxa"/>
            <w:vMerge w:val="continue"/>
            <w:noWrap w:val="0"/>
            <w:vAlign w:val="center"/>
          </w:tcPr>
          <w:p>
            <w:pPr>
              <w:rPr>
                <w:rFonts w:hint="eastAsia" w:ascii="仿宋_GB2312" w:hAnsi="宋体" w:eastAsia="仿宋_GB2312" w:cs="华文仿宋"/>
                <w:color w:val="000000"/>
                <w:szCs w:val="21"/>
              </w:rPr>
            </w:pPr>
          </w:p>
        </w:tc>
        <w:tc>
          <w:tcPr>
            <w:tcW w:w="1966" w:type="dxa"/>
            <w:vMerge w:val="continue"/>
            <w:noWrap w:val="0"/>
            <w:vAlign w:val="top"/>
          </w:tcPr>
          <w:p>
            <w:pPr>
              <w:rPr>
                <w:rFonts w:hint="eastAsia" w:ascii="仿宋_GB2312" w:hAnsi="宋体" w:eastAsia="仿宋_GB2312" w:cs="华文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3</w:t>
            </w:r>
          </w:p>
        </w:tc>
        <w:tc>
          <w:tcPr>
            <w:tcW w:w="4301" w:type="dxa"/>
            <w:tcBorders>
              <w:top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加快推进安全生产信用管理</w:t>
            </w:r>
          </w:p>
        </w:tc>
        <w:tc>
          <w:tcPr>
            <w:tcW w:w="3402" w:type="dxa"/>
            <w:vMerge w:val="continue"/>
            <w:noWrap w:val="0"/>
            <w:vAlign w:val="center"/>
          </w:tcPr>
          <w:p>
            <w:pPr>
              <w:jc w:val="center"/>
              <w:rPr>
                <w:rFonts w:hint="eastAsia" w:ascii="仿宋_GB2312" w:hAnsi="宋体" w:eastAsia="仿宋_GB2312" w:cs="华文仿宋"/>
                <w:color w:val="000000"/>
                <w:szCs w:val="21"/>
              </w:rPr>
            </w:pPr>
          </w:p>
        </w:tc>
        <w:tc>
          <w:tcPr>
            <w:tcW w:w="3595" w:type="dxa"/>
            <w:vMerge w:val="continue"/>
            <w:noWrap w:val="0"/>
            <w:vAlign w:val="center"/>
          </w:tcPr>
          <w:p>
            <w:pPr>
              <w:rPr>
                <w:rFonts w:hint="eastAsia" w:ascii="仿宋_GB2312" w:hAnsi="宋体" w:eastAsia="仿宋_GB2312" w:cs="华文仿宋"/>
                <w:color w:val="000000"/>
                <w:szCs w:val="21"/>
              </w:rPr>
            </w:pPr>
          </w:p>
        </w:tc>
        <w:tc>
          <w:tcPr>
            <w:tcW w:w="1966" w:type="dxa"/>
            <w:vMerge w:val="continue"/>
            <w:noWrap w:val="0"/>
            <w:vAlign w:val="top"/>
          </w:tcPr>
          <w:p>
            <w:pPr>
              <w:rPr>
                <w:rFonts w:hint="eastAsia" w:ascii="仿宋_GB2312" w:hAnsi="宋体" w:eastAsia="仿宋_GB2312" w:cs="华文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4</w:t>
            </w:r>
          </w:p>
        </w:tc>
        <w:tc>
          <w:tcPr>
            <w:tcW w:w="4301" w:type="dxa"/>
            <w:tcBorders>
              <w:top w:val="single" w:color="auto" w:sz="4" w:space="0"/>
              <w:left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深入防范化解重大风险</w:t>
            </w:r>
          </w:p>
        </w:tc>
        <w:tc>
          <w:tcPr>
            <w:tcW w:w="3402" w:type="dxa"/>
            <w:vMerge w:val="continue"/>
            <w:noWrap w:val="0"/>
            <w:vAlign w:val="center"/>
          </w:tcPr>
          <w:p>
            <w:pPr>
              <w:jc w:val="center"/>
              <w:rPr>
                <w:rFonts w:hint="eastAsia" w:ascii="仿宋_GB2312" w:hAnsi="宋体" w:eastAsia="仿宋_GB2312" w:cs="华文仿宋"/>
                <w:color w:val="000000"/>
                <w:szCs w:val="21"/>
              </w:rPr>
            </w:pPr>
          </w:p>
        </w:tc>
        <w:tc>
          <w:tcPr>
            <w:tcW w:w="3595" w:type="dxa"/>
            <w:vMerge w:val="continue"/>
            <w:noWrap w:val="0"/>
            <w:vAlign w:val="center"/>
          </w:tcPr>
          <w:p>
            <w:pPr>
              <w:rPr>
                <w:rFonts w:hint="eastAsia" w:ascii="仿宋_GB2312" w:hAnsi="宋体" w:eastAsia="仿宋_GB2312" w:cs="华文仿宋"/>
                <w:color w:val="000000"/>
                <w:szCs w:val="21"/>
              </w:rPr>
            </w:pPr>
          </w:p>
        </w:tc>
        <w:tc>
          <w:tcPr>
            <w:tcW w:w="1966" w:type="dxa"/>
            <w:vMerge w:val="continue"/>
            <w:noWrap w:val="0"/>
            <w:vAlign w:val="top"/>
          </w:tcPr>
          <w:p>
            <w:pPr>
              <w:rPr>
                <w:rFonts w:hint="eastAsia" w:ascii="仿宋_GB2312" w:hAnsi="宋体" w:eastAsia="仿宋_GB2312" w:cs="华文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5</w:t>
            </w:r>
          </w:p>
        </w:tc>
        <w:tc>
          <w:tcPr>
            <w:tcW w:w="4301" w:type="dxa"/>
            <w:tcBorders>
              <w:top w:val="single" w:color="auto" w:sz="4" w:space="0"/>
              <w:left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排查治理重大事故隐患</w:t>
            </w:r>
          </w:p>
        </w:tc>
        <w:tc>
          <w:tcPr>
            <w:tcW w:w="3402" w:type="dxa"/>
            <w:vMerge w:val="continue"/>
            <w:noWrap w:val="0"/>
            <w:vAlign w:val="center"/>
          </w:tcPr>
          <w:p>
            <w:pPr>
              <w:jc w:val="center"/>
              <w:rPr>
                <w:rFonts w:hint="eastAsia" w:ascii="仿宋_GB2312" w:hAnsi="宋体" w:eastAsia="仿宋_GB2312" w:cs="华文仿宋"/>
                <w:color w:val="000000"/>
                <w:szCs w:val="21"/>
              </w:rPr>
            </w:pPr>
          </w:p>
        </w:tc>
        <w:tc>
          <w:tcPr>
            <w:tcW w:w="3595" w:type="dxa"/>
            <w:vMerge w:val="continue"/>
            <w:noWrap w:val="0"/>
            <w:vAlign w:val="center"/>
          </w:tcPr>
          <w:p>
            <w:pPr>
              <w:rPr>
                <w:rFonts w:hint="eastAsia" w:ascii="仿宋_GB2312" w:hAnsi="宋体" w:eastAsia="仿宋_GB2312" w:cs="华文仿宋"/>
                <w:color w:val="000000"/>
                <w:szCs w:val="21"/>
              </w:rPr>
            </w:pPr>
          </w:p>
        </w:tc>
        <w:tc>
          <w:tcPr>
            <w:tcW w:w="1966" w:type="dxa"/>
            <w:vMerge w:val="continue"/>
            <w:noWrap w:val="0"/>
            <w:vAlign w:val="top"/>
          </w:tcPr>
          <w:p>
            <w:pPr>
              <w:rPr>
                <w:rFonts w:hint="eastAsia" w:ascii="仿宋_GB2312" w:hAnsi="宋体" w:eastAsia="仿宋_GB2312" w:cs="华文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6</w:t>
            </w:r>
          </w:p>
        </w:tc>
        <w:tc>
          <w:tcPr>
            <w:tcW w:w="4301" w:type="dxa"/>
            <w:tcBorders>
              <w:top w:val="single" w:color="auto" w:sz="4" w:space="0"/>
              <w:left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汲取典型事故教训</w:t>
            </w:r>
          </w:p>
        </w:tc>
        <w:tc>
          <w:tcPr>
            <w:tcW w:w="3402" w:type="dxa"/>
            <w:vMerge w:val="continue"/>
            <w:noWrap w:val="0"/>
            <w:vAlign w:val="center"/>
          </w:tcPr>
          <w:p>
            <w:pPr>
              <w:jc w:val="center"/>
              <w:rPr>
                <w:rFonts w:hint="eastAsia" w:ascii="仿宋_GB2312" w:hAnsi="宋体" w:eastAsia="仿宋_GB2312" w:cs="华文仿宋"/>
                <w:color w:val="000000"/>
                <w:szCs w:val="21"/>
              </w:rPr>
            </w:pPr>
          </w:p>
        </w:tc>
        <w:tc>
          <w:tcPr>
            <w:tcW w:w="3595" w:type="dxa"/>
            <w:vMerge w:val="continue"/>
            <w:noWrap w:val="0"/>
            <w:vAlign w:val="center"/>
          </w:tcPr>
          <w:p>
            <w:pPr>
              <w:rPr>
                <w:rFonts w:hint="eastAsia" w:ascii="仿宋_GB2312" w:hAnsi="宋体" w:eastAsia="仿宋_GB2312" w:cs="华文仿宋"/>
                <w:color w:val="000000"/>
                <w:szCs w:val="21"/>
              </w:rPr>
            </w:pPr>
          </w:p>
        </w:tc>
        <w:tc>
          <w:tcPr>
            <w:tcW w:w="1966" w:type="dxa"/>
            <w:vMerge w:val="continue"/>
            <w:noWrap w:val="0"/>
            <w:vAlign w:val="top"/>
          </w:tcPr>
          <w:p>
            <w:pPr>
              <w:rPr>
                <w:rFonts w:hint="eastAsia" w:ascii="仿宋_GB2312" w:hAnsi="宋体" w:eastAsia="仿宋_GB2312" w:cs="华文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7</w:t>
            </w:r>
          </w:p>
        </w:tc>
        <w:tc>
          <w:tcPr>
            <w:tcW w:w="4301" w:type="dxa"/>
            <w:tcBorders>
              <w:top w:val="single" w:color="auto" w:sz="4" w:space="0"/>
              <w:left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开展民航安全专项治理</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常德桃花源机场</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配合单位由牵头单位在细化方案中进一步明确</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2022年年底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3"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8</w:t>
            </w:r>
          </w:p>
        </w:tc>
        <w:tc>
          <w:tcPr>
            <w:tcW w:w="4301" w:type="dxa"/>
            <w:tcBorders>
              <w:top w:val="single" w:color="auto" w:sz="4" w:space="0"/>
              <w:bottom w:val="single" w:color="auto" w:sz="4" w:space="0"/>
            </w:tcBorders>
            <w:noWrap w:val="0"/>
            <w:vAlign w:val="center"/>
          </w:tcPr>
          <w:p>
            <w:pPr>
              <w:rPr>
                <w:rFonts w:hint="eastAsia" w:ascii="仿宋_GB2312" w:hAnsi="宋体" w:eastAsia="仿宋_GB2312" w:cs="华文仿宋"/>
                <w:color w:val="000000"/>
                <w:szCs w:val="21"/>
                <w:lang w:val="zh-TW" w:eastAsia="zh-TW"/>
              </w:rPr>
            </w:pPr>
            <w:r>
              <w:rPr>
                <w:rFonts w:hint="eastAsia" w:ascii="仿宋_GB2312" w:hAnsi="宋体" w:eastAsia="仿宋_GB2312" w:cs="华文仿宋"/>
                <w:color w:val="000000"/>
                <w:szCs w:val="21"/>
                <w:lang w:val="zh-TW" w:eastAsia="zh-TW"/>
              </w:rPr>
              <w:t>铁路沿线轻飘物及危树整治</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市铁路安全环境整治领导小组</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市委政法委负责指导，各区县市人民政府、铁路运输企业负责</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9</w:t>
            </w:r>
          </w:p>
        </w:tc>
        <w:tc>
          <w:tcPr>
            <w:tcW w:w="4301" w:type="dxa"/>
            <w:tcBorders>
              <w:top w:val="single" w:color="auto" w:sz="4" w:space="0"/>
              <w:bottom w:val="single" w:color="auto" w:sz="4" w:space="0"/>
            </w:tcBorders>
            <w:noWrap w:val="0"/>
            <w:vAlign w:val="center"/>
          </w:tcPr>
          <w:p>
            <w:pPr>
              <w:rPr>
                <w:rFonts w:hint="eastAsia" w:ascii="仿宋_GB2312" w:hAnsi="宋体" w:eastAsia="仿宋_GB2312" w:cs="华文仿宋"/>
                <w:color w:val="000000"/>
                <w:szCs w:val="21"/>
                <w:lang w:val="zh-TW" w:eastAsia="zh-TW"/>
              </w:rPr>
            </w:pPr>
            <w:r>
              <w:rPr>
                <w:rFonts w:hint="eastAsia" w:ascii="仿宋_GB2312" w:hAnsi="宋体" w:eastAsia="仿宋_GB2312" w:cs="华文仿宋"/>
                <w:color w:val="000000"/>
                <w:szCs w:val="21"/>
                <w:lang w:val="zh-TW" w:eastAsia="zh-TW"/>
              </w:rPr>
              <w:t>铁路线路安全保护区内违法行为的整治</w:t>
            </w:r>
          </w:p>
        </w:tc>
        <w:tc>
          <w:tcPr>
            <w:tcW w:w="3402" w:type="dxa"/>
            <w:noWrap w:val="0"/>
            <w:vAlign w:val="center"/>
          </w:tcPr>
          <w:p>
            <w:pPr>
              <w:jc w:val="center"/>
              <w:rPr>
                <w:rFonts w:hint="eastAsia" w:ascii="仿宋_GB2312" w:hAnsi="宋体" w:eastAsia="仿宋_GB2312" w:cs="华文仿宋"/>
                <w:color w:val="000000"/>
                <w:szCs w:val="21"/>
                <w:lang w:val="zh-TW" w:eastAsia="zh-TW"/>
              </w:rPr>
            </w:pPr>
            <w:r>
              <w:rPr>
                <w:rFonts w:hint="eastAsia" w:ascii="仿宋_GB2312" w:hAnsi="宋体" w:eastAsia="仿宋_GB2312" w:cs="华文仿宋"/>
                <w:color w:val="000000"/>
                <w:szCs w:val="21"/>
              </w:rPr>
              <w:t>市铁路安全环境整治领导小组</w:t>
            </w:r>
          </w:p>
        </w:tc>
        <w:tc>
          <w:tcPr>
            <w:tcW w:w="3595" w:type="dxa"/>
            <w:noWrap w:val="0"/>
            <w:vAlign w:val="center"/>
          </w:tcPr>
          <w:p>
            <w:pPr>
              <w:rPr>
                <w:rFonts w:hint="eastAsia" w:ascii="仿宋_GB2312" w:hAnsi="宋体" w:eastAsia="仿宋_GB2312" w:cs="华文仿宋"/>
                <w:color w:val="000000"/>
                <w:szCs w:val="21"/>
                <w:lang w:val="zh-TW" w:eastAsia="zh-TW"/>
              </w:rPr>
            </w:pPr>
            <w:r>
              <w:rPr>
                <w:rFonts w:hint="eastAsia" w:ascii="仿宋_GB2312" w:hAnsi="宋体" w:eastAsia="仿宋_GB2312" w:cs="华文仿宋"/>
                <w:color w:val="000000"/>
                <w:szCs w:val="21"/>
              </w:rPr>
              <w:t>市委政法委负责指导，各区县市人民政府、铁路运输企业负责</w:t>
            </w:r>
          </w:p>
        </w:tc>
        <w:tc>
          <w:tcPr>
            <w:tcW w:w="1966" w:type="dxa"/>
            <w:noWrap w:val="0"/>
            <w:vAlign w:val="center"/>
          </w:tcPr>
          <w:p>
            <w:pPr>
              <w:rPr>
                <w:rFonts w:hint="eastAsia" w:ascii="仿宋_GB2312" w:hAnsi="宋体" w:eastAsia="仿宋_GB2312" w:cs="华文仿宋"/>
                <w:b/>
                <w:color w:val="000000"/>
                <w:kern w:val="0"/>
                <w:szCs w:val="21"/>
                <w:lang w:val="zh-TW" w:eastAsia="zh-TW" w:bidi="zh-TW"/>
              </w:rPr>
            </w:pPr>
            <w:r>
              <w:rPr>
                <w:rFonts w:hint="eastAsia" w:ascii="仿宋_GB2312" w:hAnsi="宋体" w:eastAsia="仿宋_GB2312" w:cs="华文仿宋"/>
                <w:color w:val="000000"/>
                <w:szCs w:val="21"/>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trPr>
        <w:tc>
          <w:tcPr>
            <w:tcW w:w="910" w:type="dxa"/>
            <w:tcBorders>
              <w:top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10</w:t>
            </w:r>
          </w:p>
        </w:tc>
        <w:tc>
          <w:tcPr>
            <w:tcW w:w="4301" w:type="dxa"/>
            <w:tcBorders>
              <w:top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全面划定铁路线路安全保护区</w:t>
            </w:r>
          </w:p>
        </w:tc>
        <w:tc>
          <w:tcPr>
            <w:tcW w:w="3402" w:type="dxa"/>
            <w:tcBorders>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市铁路安全环境整治领导小组</w:t>
            </w:r>
          </w:p>
        </w:tc>
        <w:tc>
          <w:tcPr>
            <w:tcW w:w="3595" w:type="dxa"/>
            <w:tcBorders>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各区县市人民政府、铁路运输企业负责</w:t>
            </w:r>
          </w:p>
        </w:tc>
        <w:tc>
          <w:tcPr>
            <w:tcW w:w="1966" w:type="dxa"/>
            <w:tcBorders>
              <w:bottom w:val="single" w:color="auto" w:sz="4" w:space="0"/>
            </w:tcBorders>
            <w:noWrap w:val="0"/>
            <w:vAlign w:val="top"/>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既有铁路，</w:t>
            </w:r>
            <w:r>
              <w:rPr>
                <w:rFonts w:hint="eastAsia" w:ascii="仿宋_GB2312" w:hAnsi="宋体" w:eastAsia="仿宋_GB2312" w:cs="华文仿宋"/>
                <w:color w:val="000000"/>
                <w:szCs w:val="21"/>
              </w:rPr>
              <w:t>2020年12月31日前</w:t>
            </w:r>
            <w:r>
              <w:rPr>
                <w:rFonts w:hint="eastAsia" w:ascii="仿宋_GB2312" w:hAnsi="宋体" w:eastAsia="仿宋_GB2312" w:cs="华文仿宋"/>
                <w:color w:val="000000"/>
                <w:szCs w:val="21"/>
                <w:lang w:val="zh-TW" w:eastAsia="zh-TW"/>
              </w:rPr>
              <w:t>全部完成划定；新建铁路,在工程初步设计批准30日内完成划定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11</w:t>
            </w:r>
          </w:p>
        </w:tc>
        <w:tc>
          <w:tcPr>
            <w:tcW w:w="4301" w:type="dxa"/>
            <w:tcBorders>
              <w:bottom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s="华文仿宋"/>
                <w:color w:val="000000"/>
                <w:szCs w:val="21"/>
                <w:lang w:val="zh-TW" w:eastAsia="zh-TW"/>
              </w:rPr>
              <w:t>铁路沿线易燃易爆危险物品整治</w:t>
            </w:r>
          </w:p>
        </w:tc>
        <w:tc>
          <w:tcPr>
            <w:tcW w:w="340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s="华文仿宋"/>
                <w:color w:val="000000"/>
                <w:szCs w:val="21"/>
              </w:rPr>
              <w:t>市铁路安全环境整治领导小组</w:t>
            </w:r>
          </w:p>
        </w:tc>
        <w:tc>
          <w:tcPr>
            <w:tcW w:w="3595" w:type="dxa"/>
            <w:noWrap w:val="0"/>
            <w:vAlign w:val="center"/>
          </w:tcPr>
          <w:p>
            <w:pPr>
              <w:rPr>
                <w:rFonts w:hint="eastAsia" w:ascii="仿宋_GB2312" w:hAnsi="宋体" w:eastAsia="仿宋_GB2312"/>
                <w:color w:val="000000"/>
                <w:szCs w:val="21"/>
              </w:rPr>
            </w:pPr>
            <w:r>
              <w:rPr>
                <w:rFonts w:hint="eastAsia" w:ascii="仿宋_GB2312" w:hAnsi="宋体" w:eastAsia="仿宋_GB2312" w:cs="华文仿宋"/>
                <w:color w:val="000000"/>
                <w:szCs w:val="21"/>
              </w:rPr>
              <w:t>市委政法委负责指导，市应急管理局、市工信局按各自职责分工负责</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12</w:t>
            </w:r>
          </w:p>
        </w:tc>
        <w:tc>
          <w:tcPr>
            <w:tcW w:w="4301" w:type="dxa"/>
            <w:tcBorders>
              <w:top w:val="single" w:color="auto" w:sz="4" w:space="0"/>
              <w:bottom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s="华文仿宋"/>
                <w:color w:val="000000"/>
                <w:szCs w:val="21"/>
                <w:lang w:val="zh-TW" w:eastAsia="zh-TW"/>
              </w:rPr>
              <w:t>加快铁路安全通道建设</w:t>
            </w:r>
          </w:p>
        </w:tc>
        <w:tc>
          <w:tcPr>
            <w:tcW w:w="340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s="华文仿宋"/>
                <w:color w:val="000000"/>
                <w:szCs w:val="21"/>
              </w:rPr>
              <w:t>铁路运输企业</w:t>
            </w:r>
          </w:p>
        </w:tc>
        <w:tc>
          <w:tcPr>
            <w:tcW w:w="3595" w:type="dxa"/>
            <w:noWrap w:val="0"/>
            <w:vAlign w:val="center"/>
          </w:tcPr>
          <w:p>
            <w:pPr>
              <w:rPr>
                <w:rFonts w:hint="eastAsia" w:ascii="仿宋_GB2312" w:hAnsi="宋体" w:eastAsia="仿宋_GB2312"/>
                <w:color w:val="000000"/>
                <w:szCs w:val="21"/>
              </w:rPr>
            </w:pPr>
            <w:r>
              <w:rPr>
                <w:rFonts w:hint="eastAsia" w:ascii="仿宋_GB2312" w:hAnsi="宋体" w:eastAsia="仿宋_GB2312" w:cs="华文仿宋"/>
                <w:color w:val="000000"/>
                <w:szCs w:val="21"/>
              </w:rPr>
              <w:t>各区县市人民政府负责</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2021年12月31日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tcBorders>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13</w:t>
            </w:r>
          </w:p>
        </w:tc>
        <w:tc>
          <w:tcPr>
            <w:tcW w:w="4301" w:type="dxa"/>
            <w:tcBorders>
              <w:top w:val="single" w:color="auto" w:sz="4" w:space="0"/>
            </w:tcBorders>
            <w:noWrap w:val="0"/>
            <w:vAlign w:val="center"/>
          </w:tcPr>
          <w:p>
            <w:pPr>
              <w:rPr>
                <w:rFonts w:hint="eastAsia" w:ascii="仿宋_GB2312" w:hAnsi="宋体" w:eastAsia="仿宋_GB2312"/>
                <w:color w:val="000000"/>
                <w:szCs w:val="21"/>
              </w:rPr>
            </w:pPr>
            <w:r>
              <w:rPr>
                <w:rFonts w:hint="eastAsia" w:ascii="仿宋_GB2312" w:hAnsi="宋体" w:eastAsia="仿宋_GB2312" w:cs="华文仿宋"/>
                <w:color w:val="000000"/>
                <w:szCs w:val="21"/>
                <w:lang w:val="zh-TW" w:eastAsia="zh-TW"/>
              </w:rPr>
              <w:t>深化铁路护路联防工作</w:t>
            </w:r>
          </w:p>
        </w:tc>
        <w:tc>
          <w:tcPr>
            <w:tcW w:w="340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s="华文仿宋"/>
                <w:color w:val="000000"/>
                <w:szCs w:val="21"/>
              </w:rPr>
              <w:t>各区县市人民政府负责</w:t>
            </w:r>
          </w:p>
        </w:tc>
        <w:tc>
          <w:tcPr>
            <w:tcW w:w="3595" w:type="dxa"/>
            <w:noWrap w:val="0"/>
            <w:vAlign w:val="center"/>
          </w:tcPr>
          <w:p>
            <w:pPr>
              <w:rPr>
                <w:rFonts w:hint="eastAsia" w:ascii="仿宋_GB2312" w:hAnsi="宋体" w:eastAsia="仿宋_GB2312"/>
                <w:color w:val="000000"/>
                <w:szCs w:val="21"/>
              </w:rPr>
            </w:pPr>
            <w:r>
              <w:rPr>
                <w:rFonts w:hint="eastAsia" w:ascii="仿宋_GB2312" w:hAnsi="宋体" w:eastAsia="仿宋_GB2312" w:cs="华文仿宋"/>
                <w:color w:val="000000"/>
                <w:szCs w:val="21"/>
              </w:rPr>
              <w:t>市委政法委负责指导</w:t>
            </w:r>
          </w:p>
        </w:tc>
        <w:tc>
          <w:tcPr>
            <w:tcW w:w="1966" w:type="dxa"/>
            <w:noWrap w:val="0"/>
            <w:vAlign w:val="center"/>
          </w:tcPr>
          <w:p>
            <w:pPr>
              <w:rPr>
                <w:rFonts w:hint="eastAsia" w:ascii="仿宋_GB2312" w:hAnsi="宋体" w:eastAsia="仿宋_GB2312"/>
                <w:color w:val="000000"/>
                <w:szCs w:val="21"/>
              </w:rPr>
            </w:pPr>
            <w:r>
              <w:rPr>
                <w:rFonts w:hint="eastAsia" w:ascii="仿宋_GB2312" w:hAnsi="宋体" w:eastAsia="仿宋_GB2312"/>
                <w:color w:val="000000"/>
                <w:szCs w:val="21"/>
              </w:rPr>
              <w:t>2</w:t>
            </w:r>
            <w:r>
              <w:rPr>
                <w:rFonts w:hint="eastAsia" w:ascii="仿宋_GB2312" w:hAnsi="宋体" w:eastAsia="仿宋_GB2312" w:cs="华文仿宋"/>
                <w:color w:val="000000"/>
                <w:szCs w:val="21"/>
              </w:rPr>
              <w:t>020年9月30日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bottom w:val="single" w:color="auto" w:sz="4" w:space="0"/>
              <w:right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14</w:t>
            </w:r>
          </w:p>
        </w:tc>
        <w:tc>
          <w:tcPr>
            <w:tcW w:w="4301" w:type="dxa"/>
            <w:tcBorders>
              <w:left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防护设施不良整治</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w:t>
            </w:r>
          </w:p>
        </w:tc>
        <w:tc>
          <w:tcPr>
            <w:tcW w:w="3595" w:type="dxa"/>
            <w:noWrap w:val="0"/>
            <w:vAlign w:val="center"/>
          </w:tcPr>
          <w:p>
            <w:pPr>
              <w:rPr>
                <w:rFonts w:hint="eastAsia" w:ascii="仿宋_GB2312" w:hAnsi="宋体" w:eastAsia="仿宋_GB2312"/>
                <w:color w:val="000000"/>
                <w:szCs w:val="21"/>
              </w:rPr>
            </w:pPr>
            <w:r>
              <w:rPr>
                <w:rFonts w:hint="eastAsia" w:ascii="仿宋_GB2312" w:hAnsi="宋体" w:eastAsia="仿宋_GB2312" w:cs="华文仿宋"/>
                <w:color w:val="000000"/>
                <w:szCs w:val="21"/>
              </w:rPr>
              <w:t>市住建局</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15</w:t>
            </w:r>
          </w:p>
        </w:tc>
        <w:tc>
          <w:tcPr>
            <w:tcW w:w="4301" w:type="dxa"/>
            <w:tcBorders>
              <w:top w:val="single" w:color="auto" w:sz="4" w:space="0"/>
              <w:left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rPr>
              <w:t>机动车违法驾驶整治</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市公安交警支队</w:t>
            </w:r>
          </w:p>
        </w:tc>
        <w:tc>
          <w:tcPr>
            <w:tcW w:w="3595" w:type="dxa"/>
            <w:noWrap w:val="0"/>
            <w:vAlign w:val="center"/>
          </w:tcPr>
          <w:p>
            <w:pPr>
              <w:rPr>
                <w:rFonts w:hint="eastAsia" w:ascii="仿宋_GB2312" w:hAnsi="宋体" w:eastAsia="仿宋_GB2312"/>
                <w:color w:val="000000"/>
                <w:szCs w:val="21"/>
              </w:rPr>
            </w:pPr>
            <w:r>
              <w:rPr>
                <w:rFonts w:hint="eastAsia" w:ascii="仿宋_GB2312" w:hAnsi="宋体" w:eastAsia="仿宋_GB2312" w:cs="华文仿宋"/>
                <w:color w:val="000000"/>
                <w:szCs w:val="21"/>
              </w:rPr>
              <w:t>市交通运输局</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2022年年底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16</w:t>
            </w:r>
          </w:p>
        </w:tc>
        <w:tc>
          <w:tcPr>
            <w:tcW w:w="4301" w:type="dxa"/>
            <w:tcBorders>
              <w:top w:val="single" w:color="auto" w:sz="4" w:space="0"/>
              <w:left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rPr>
              <w:t>公跨铁立交桥移交不到位整治</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各区县市人民政府</w:t>
            </w:r>
          </w:p>
        </w:tc>
        <w:tc>
          <w:tcPr>
            <w:tcW w:w="3595" w:type="dxa"/>
            <w:noWrap w:val="0"/>
            <w:vAlign w:val="center"/>
          </w:tcPr>
          <w:p>
            <w:pPr>
              <w:rPr>
                <w:rFonts w:hint="eastAsia" w:ascii="仿宋_GB2312" w:hAnsi="宋体" w:eastAsia="仿宋_GB2312"/>
                <w:color w:val="000000"/>
                <w:szCs w:val="21"/>
              </w:rPr>
            </w:pPr>
            <w:r>
              <w:rPr>
                <w:rFonts w:hint="eastAsia" w:ascii="仿宋_GB2312" w:hAnsi="宋体" w:eastAsia="仿宋_GB2312" w:cs="华文仿宋"/>
                <w:color w:val="000000"/>
                <w:szCs w:val="21"/>
              </w:rPr>
              <w:t>各区县市人民政府</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right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17</w:t>
            </w:r>
          </w:p>
        </w:tc>
        <w:tc>
          <w:tcPr>
            <w:tcW w:w="4301" w:type="dxa"/>
            <w:tcBorders>
              <w:top w:val="single" w:color="auto" w:sz="4" w:space="0"/>
              <w:left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rPr>
              <w:t>船舶碰撞桥梁隐患治理</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w:t>
            </w:r>
          </w:p>
        </w:tc>
        <w:tc>
          <w:tcPr>
            <w:tcW w:w="3595" w:type="dxa"/>
            <w:noWrap w:val="0"/>
            <w:vAlign w:val="center"/>
          </w:tcPr>
          <w:p>
            <w:pPr>
              <w:rPr>
                <w:rFonts w:hint="eastAsia" w:ascii="仿宋_GB2312" w:hAnsi="宋体" w:eastAsia="仿宋_GB2312"/>
                <w:color w:val="000000"/>
                <w:szCs w:val="21"/>
              </w:rPr>
            </w:pPr>
            <w:r>
              <w:rPr>
                <w:rFonts w:hint="eastAsia" w:ascii="仿宋_GB2312" w:hAnsi="宋体" w:eastAsia="仿宋_GB2312" w:cs="华文仿宋"/>
                <w:color w:val="000000"/>
                <w:szCs w:val="21"/>
              </w:rPr>
              <w:t>市住建局、铁路运输企业根据各自职责分工负责</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right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18</w:t>
            </w:r>
          </w:p>
        </w:tc>
        <w:tc>
          <w:tcPr>
            <w:tcW w:w="4301" w:type="dxa"/>
            <w:tcBorders>
              <w:top w:val="single" w:color="auto" w:sz="4" w:space="0"/>
              <w:left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开展邮政寄递安全综合治理</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市邮政管理局</w:t>
            </w:r>
          </w:p>
        </w:tc>
        <w:tc>
          <w:tcPr>
            <w:tcW w:w="3595" w:type="dxa"/>
            <w:noWrap w:val="0"/>
            <w:vAlign w:val="center"/>
          </w:tcPr>
          <w:p>
            <w:pPr>
              <w:rPr>
                <w:rFonts w:hint="eastAsia" w:ascii="仿宋_GB2312" w:hAnsi="宋体" w:eastAsia="仿宋_GB2312"/>
                <w:color w:val="000000"/>
                <w:szCs w:val="21"/>
              </w:rPr>
            </w:pPr>
            <w:r>
              <w:rPr>
                <w:rFonts w:hint="eastAsia" w:ascii="仿宋_GB2312" w:hAnsi="宋体" w:eastAsia="仿宋_GB2312" w:cs="华文仿宋"/>
                <w:color w:val="000000"/>
                <w:szCs w:val="21"/>
              </w:rPr>
              <w:t>市邮政管理局</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19</w:t>
            </w:r>
          </w:p>
        </w:tc>
        <w:tc>
          <w:tcPr>
            <w:tcW w:w="4301" w:type="dxa"/>
            <w:tcBorders>
              <w:top w:val="single" w:color="auto" w:sz="4" w:space="0"/>
              <w:left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开展水上涉客运输安全治理</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w:t>
            </w:r>
          </w:p>
        </w:tc>
        <w:tc>
          <w:tcPr>
            <w:tcW w:w="3595" w:type="dxa"/>
            <w:noWrap w:val="0"/>
            <w:vAlign w:val="center"/>
          </w:tcPr>
          <w:p>
            <w:pPr>
              <w:rPr>
                <w:rFonts w:hint="eastAsia" w:ascii="仿宋_GB2312" w:hAnsi="宋体" w:eastAsia="仿宋_GB2312"/>
                <w:color w:val="000000"/>
                <w:szCs w:val="21"/>
              </w:rPr>
            </w:pPr>
            <w:r>
              <w:rPr>
                <w:rFonts w:hint="eastAsia" w:ascii="仿宋_GB2312" w:hAnsi="宋体" w:eastAsia="仿宋_GB2312" w:cs="华文仿宋"/>
                <w:color w:val="000000"/>
                <w:szCs w:val="21"/>
              </w:rPr>
              <w:t>市农业农村局、市文旅广体局和县（区市）乡人民政府等按职责分工负责</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2022年年底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w:t>
            </w:r>
          </w:p>
        </w:tc>
        <w:tc>
          <w:tcPr>
            <w:tcW w:w="4301" w:type="dxa"/>
            <w:tcBorders>
              <w:top w:val="single" w:color="auto" w:sz="4" w:space="0"/>
              <w:left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开展载</w:t>
            </w:r>
            <w:r>
              <w:rPr>
                <w:rFonts w:hint="eastAsia" w:ascii="仿宋_GB2312" w:hAnsi="宋体" w:eastAsia="仿宋_GB2312" w:cs="华文仿宋"/>
                <w:color w:val="000000"/>
                <w:szCs w:val="21"/>
                <w:lang w:val="zh-TW"/>
              </w:rPr>
              <w:t>运</w:t>
            </w:r>
            <w:r>
              <w:rPr>
                <w:rFonts w:hint="eastAsia" w:ascii="仿宋_GB2312" w:hAnsi="宋体" w:eastAsia="仿宋_GB2312" w:cs="华文仿宋"/>
                <w:color w:val="000000"/>
                <w:szCs w:val="21"/>
                <w:lang w:val="zh-TW" w:eastAsia="zh-TW"/>
              </w:rPr>
              <w:t>危险化学品船舶安全治</w:t>
            </w:r>
            <w:r>
              <w:rPr>
                <w:rFonts w:hint="eastAsia" w:ascii="仿宋_GB2312" w:hAnsi="宋体" w:eastAsia="仿宋_GB2312" w:cs="华文仿宋"/>
                <w:color w:val="000000"/>
                <w:szCs w:val="21"/>
                <w:lang w:val="zh-TW"/>
              </w:rPr>
              <w:t>理</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w:t>
            </w:r>
          </w:p>
        </w:tc>
        <w:tc>
          <w:tcPr>
            <w:tcW w:w="3595" w:type="dxa"/>
            <w:noWrap w:val="0"/>
            <w:vAlign w:val="center"/>
          </w:tcPr>
          <w:p>
            <w:pPr>
              <w:rPr>
                <w:rFonts w:hint="eastAsia" w:ascii="仿宋_GB2312" w:hAnsi="宋体" w:eastAsia="仿宋_GB2312"/>
                <w:color w:val="000000"/>
                <w:szCs w:val="21"/>
              </w:rPr>
            </w:pPr>
            <w:r>
              <w:rPr>
                <w:rFonts w:hint="eastAsia" w:ascii="仿宋_GB2312" w:hAnsi="宋体" w:eastAsia="仿宋_GB2312" w:cs="华文仿宋"/>
                <w:color w:val="000000"/>
                <w:szCs w:val="21"/>
              </w:rPr>
              <w:t>市交通运输局</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21</w:t>
            </w:r>
          </w:p>
        </w:tc>
        <w:tc>
          <w:tcPr>
            <w:tcW w:w="4301" w:type="dxa"/>
            <w:tcBorders>
              <w:top w:val="single" w:color="auto" w:sz="4" w:space="0"/>
              <w:left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开展航</w:t>
            </w:r>
            <w:r>
              <w:rPr>
                <w:rFonts w:hint="eastAsia" w:ascii="仿宋_GB2312" w:hAnsi="宋体" w:eastAsia="仿宋_GB2312" w:cs="华文仿宋"/>
                <w:color w:val="000000"/>
                <w:szCs w:val="21"/>
                <w:lang w:val="zh-TW"/>
              </w:rPr>
              <w:t>电</w:t>
            </w:r>
            <w:r>
              <w:rPr>
                <w:rFonts w:hint="eastAsia" w:ascii="仿宋_GB2312" w:hAnsi="宋体" w:eastAsia="仿宋_GB2312" w:cs="华文仿宋"/>
                <w:color w:val="000000"/>
                <w:szCs w:val="21"/>
                <w:lang w:val="zh-TW" w:eastAsia="zh-TW"/>
              </w:rPr>
              <w:t>枢纽大坝除险加固专项治理</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市水利局</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市交通运输局、常德航道管理局</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2021年12月31日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right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22</w:t>
            </w:r>
          </w:p>
        </w:tc>
        <w:tc>
          <w:tcPr>
            <w:tcW w:w="4301" w:type="dxa"/>
            <w:tcBorders>
              <w:top w:val="single" w:color="auto" w:sz="4" w:space="0"/>
              <w:left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开展客运枢纽安全治理</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市应急管理局、常德桃花源机场、市铁路安全环境整治领导小组</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bottom w:val="single" w:color="auto" w:sz="4" w:space="0"/>
              <w:right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23</w:t>
            </w:r>
          </w:p>
        </w:tc>
        <w:tc>
          <w:tcPr>
            <w:tcW w:w="4301" w:type="dxa"/>
            <w:tcBorders>
              <w:left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开展渔业生产专项治理</w:t>
            </w:r>
          </w:p>
        </w:tc>
        <w:tc>
          <w:tcPr>
            <w:tcW w:w="3402" w:type="dxa"/>
            <w:tcBorders>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市农业农村局</w:t>
            </w:r>
          </w:p>
        </w:tc>
        <w:tc>
          <w:tcPr>
            <w:tcW w:w="3595" w:type="dxa"/>
            <w:tcBorders>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w:t>
            </w:r>
          </w:p>
        </w:tc>
        <w:tc>
          <w:tcPr>
            <w:tcW w:w="1966" w:type="dxa"/>
            <w:tcBorders>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2020年9月30日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910" w:type="dxa"/>
            <w:tcBorders>
              <w:top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24</w:t>
            </w:r>
          </w:p>
        </w:tc>
        <w:tc>
          <w:tcPr>
            <w:tcW w:w="4301" w:type="dxa"/>
            <w:tcBorders>
              <w:top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强化铁路危险货物运输安全整治</w:t>
            </w:r>
            <w:r>
              <w:rPr>
                <w:rFonts w:hint="eastAsia" w:ascii="仿宋_GB2312" w:hAnsi="宋体" w:eastAsia="仿宋_GB2312" w:cs="华文仿宋"/>
                <w:color w:val="000000"/>
                <w:szCs w:val="21"/>
                <w:lang w:val="zh-TW"/>
              </w:rPr>
              <w:t>理</w:t>
            </w:r>
          </w:p>
        </w:tc>
        <w:tc>
          <w:tcPr>
            <w:tcW w:w="3402"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市铁路安全环境整治领导小组</w:t>
            </w:r>
          </w:p>
        </w:tc>
        <w:tc>
          <w:tcPr>
            <w:tcW w:w="3595" w:type="dxa"/>
            <w:tcBorders>
              <w:top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铁路运输企业</w:t>
            </w:r>
          </w:p>
        </w:tc>
        <w:tc>
          <w:tcPr>
            <w:tcW w:w="1966" w:type="dxa"/>
            <w:tcBorders>
              <w:top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2020年9月30日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25</w:t>
            </w:r>
          </w:p>
        </w:tc>
        <w:tc>
          <w:tcPr>
            <w:tcW w:w="4301" w:type="dxa"/>
            <w:tcBorders>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开展邮政涉恐涉暴专项治理</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市邮政管理局</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市邮政管理局</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26</w:t>
            </w:r>
          </w:p>
        </w:tc>
        <w:tc>
          <w:tcPr>
            <w:tcW w:w="4301" w:type="dxa"/>
            <w:tcBorders>
              <w:top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强化砂石运输行为治理</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市水利局、市公安局、市住建局按各自职责分工负责</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2022年年底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27</w:t>
            </w:r>
          </w:p>
        </w:tc>
        <w:tc>
          <w:tcPr>
            <w:tcW w:w="4301" w:type="dxa"/>
            <w:tcBorders>
              <w:top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开展渔业船员专项治理</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市农业农村局</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市农业农村局</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28</w:t>
            </w:r>
          </w:p>
        </w:tc>
        <w:tc>
          <w:tcPr>
            <w:tcW w:w="4301" w:type="dxa"/>
            <w:tcBorders>
              <w:top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rPr>
              <w:t>强化渔船监管</w:t>
            </w:r>
            <w:r>
              <w:rPr>
                <w:rFonts w:hint="eastAsia" w:ascii="仿宋_GB2312" w:hAnsi="宋体" w:eastAsia="仿宋_GB2312" w:cs="华文仿宋"/>
                <w:color w:val="000000"/>
                <w:szCs w:val="21"/>
                <w:lang w:val="zh-TW" w:eastAsia="zh-TW"/>
              </w:rPr>
              <w:t>执法</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市农业农村局</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29</w:t>
            </w:r>
          </w:p>
        </w:tc>
        <w:tc>
          <w:tcPr>
            <w:tcW w:w="4301" w:type="dxa"/>
            <w:tcBorders>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加强港口建设项目源头管理</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2022年年底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30</w:t>
            </w:r>
          </w:p>
        </w:tc>
        <w:tc>
          <w:tcPr>
            <w:tcW w:w="4301" w:type="dxa"/>
            <w:tcBorders>
              <w:top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强化水路运输企业准入管理</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31</w:t>
            </w:r>
          </w:p>
        </w:tc>
        <w:tc>
          <w:tcPr>
            <w:tcW w:w="4301" w:type="dxa"/>
            <w:tcBorders>
              <w:top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完善水上交通安全执法制度和程序</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6" w:hRule="atLeast"/>
        </w:trPr>
        <w:tc>
          <w:tcPr>
            <w:tcW w:w="910" w:type="dxa"/>
            <w:tcBorders>
              <w:top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32</w:t>
            </w:r>
          </w:p>
        </w:tc>
        <w:tc>
          <w:tcPr>
            <w:tcW w:w="4301" w:type="dxa"/>
            <w:tcBorders>
              <w:top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健全渔业安全管理制度</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市农业农村局</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市农业农村局</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910" w:type="dxa"/>
            <w:tcBorders>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33</w:t>
            </w:r>
          </w:p>
        </w:tc>
        <w:tc>
          <w:tcPr>
            <w:tcW w:w="4301" w:type="dxa"/>
            <w:tcBorders>
              <w:bottom w:val="single" w:color="auto" w:sz="4" w:space="0"/>
            </w:tcBorders>
            <w:noWrap w:val="0"/>
            <w:vAlign w:val="center"/>
          </w:tcPr>
          <w:p>
            <w:pPr>
              <w:rPr>
                <w:rFonts w:hint="eastAsia" w:ascii="仿宋_GB2312" w:eastAsia="仿宋_GB2312"/>
                <w:color w:val="000000"/>
                <w:szCs w:val="21"/>
              </w:rPr>
            </w:pPr>
            <w:r>
              <w:rPr>
                <w:rFonts w:hint="eastAsia" w:ascii="仿宋_GB2312" w:hAnsi="宋体" w:eastAsia="仿宋_GB2312" w:cs="华文仿宋"/>
                <w:color w:val="000000"/>
                <w:szCs w:val="21"/>
                <w:lang w:val="zh-TW" w:eastAsia="zh-TW"/>
              </w:rPr>
              <w:t>强化安全监管能力建设</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市农业农村局、市应急管理局、市邮政管理局、常德桃花源机场、市铁路安全环境整治领导小组等按各自职责分工负责</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2022年年底</w:t>
            </w:r>
          </w:p>
          <w:p>
            <w:pPr>
              <w:rPr>
                <w:rFonts w:hint="eastAsia" w:ascii="仿宋_GB2312" w:hAnsi="宋体" w:eastAsia="仿宋_GB2312" w:cs="华文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34</w:t>
            </w:r>
          </w:p>
        </w:tc>
        <w:tc>
          <w:tcPr>
            <w:tcW w:w="4301" w:type="dxa"/>
            <w:tcBorders>
              <w:top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强化基础保障能力建设</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市交通运输局</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市农业农村局、市工信局、市邮政管理局、常德桃花源机场按各自职责分工负责</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2022年年底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35</w:t>
            </w:r>
          </w:p>
        </w:tc>
        <w:tc>
          <w:tcPr>
            <w:tcW w:w="4301" w:type="dxa"/>
            <w:tcBorders>
              <w:top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提升交通运输与渔业应急能力</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rPr>
              <w:t>市交通运输局</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rPr>
              <w:t>市农业农村局</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2022年年底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trPr>
        <w:tc>
          <w:tcPr>
            <w:tcW w:w="910" w:type="dxa"/>
            <w:tcBorders>
              <w:top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36</w:t>
            </w:r>
          </w:p>
        </w:tc>
        <w:tc>
          <w:tcPr>
            <w:tcW w:w="4301" w:type="dxa"/>
            <w:tcBorders>
              <w:top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加强民航</w:t>
            </w:r>
            <w:r>
              <w:rPr>
                <w:rFonts w:hint="eastAsia" w:ascii="仿宋_GB2312" w:hAnsi="宋体" w:eastAsia="仿宋_GB2312" w:cs="华文仿宋"/>
                <w:color w:val="000000"/>
                <w:szCs w:val="21"/>
                <w:lang w:val="zh-CN"/>
              </w:rPr>
              <w:t>“三基”建</w:t>
            </w:r>
            <w:r>
              <w:rPr>
                <w:rFonts w:hint="eastAsia" w:ascii="仿宋_GB2312" w:hAnsi="宋体" w:eastAsia="仿宋_GB2312" w:cs="华文仿宋"/>
                <w:color w:val="000000"/>
                <w:szCs w:val="21"/>
                <w:lang w:val="zh-TW" w:eastAsia="zh-TW"/>
              </w:rPr>
              <w:t>设</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rPr>
              <w:t>常德桃花源机场</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rPr>
              <w:t>常德桃花源机场</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2022年年底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37</w:t>
            </w:r>
          </w:p>
        </w:tc>
        <w:tc>
          <w:tcPr>
            <w:tcW w:w="4301" w:type="dxa"/>
            <w:tcBorders>
              <w:top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大力提升港口企业本质安全水平</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rPr>
              <w:t>市交通运输局</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rPr>
              <w:t>市交通运输局</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2021年12月31日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38</w:t>
            </w:r>
          </w:p>
        </w:tc>
        <w:tc>
          <w:tcPr>
            <w:tcW w:w="4301" w:type="dxa"/>
            <w:tcBorders>
              <w:top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加强从业人员安全培训</w:t>
            </w:r>
          </w:p>
        </w:tc>
        <w:tc>
          <w:tcPr>
            <w:tcW w:w="3402" w:type="dxa"/>
            <w:vMerge w:val="restart"/>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rPr>
              <w:t>市交通运输局</w:t>
            </w:r>
          </w:p>
        </w:tc>
        <w:tc>
          <w:tcPr>
            <w:tcW w:w="3595" w:type="dxa"/>
            <w:vMerge w:val="restart"/>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rPr>
              <w:t>市农业农村局、市邮政管理局、</w:t>
            </w:r>
            <w:r>
              <w:rPr>
                <w:rFonts w:hint="eastAsia" w:ascii="仿宋_GB2312" w:hAnsi="宋体" w:eastAsia="仿宋_GB2312" w:cs="华文仿宋"/>
                <w:color w:val="000000"/>
                <w:szCs w:val="21"/>
              </w:rPr>
              <w:t>常德桃花源机场、市铁路安全环境整治领导小组</w:t>
            </w:r>
            <w:r>
              <w:rPr>
                <w:rFonts w:hint="eastAsia" w:ascii="仿宋_GB2312" w:hAnsi="宋体" w:eastAsia="仿宋_GB2312" w:cs="华文仿宋"/>
                <w:color w:val="000000"/>
                <w:szCs w:val="21"/>
                <w:lang w:val="zh-TW"/>
              </w:rPr>
              <w:t>等按各自职责分工负责</w:t>
            </w:r>
          </w:p>
        </w:tc>
        <w:tc>
          <w:tcPr>
            <w:tcW w:w="1966" w:type="dxa"/>
            <w:vMerge w:val="restart"/>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2022年年底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bottom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39</w:t>
            </w:r>
          </w:p>
        </w:tc>
        <w:tc>
          <w:tcPr>
            <w:tcW w:w="4301" w:type="dxa"/>
            <w:tcBorders>
              <w:top w:val="single" w:color="auto" w:sz="4" w:space="0"/>
              <w:bottom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强化安全生产宣传与警示教育</w:t>
            </w:r>
          </w:p>
        </w:tc>
        <w:tc>
          <w:tcPr>
            <w:tcW w:w="3402" w:type="dxa"/>
            <w:vMerge w:val="continue"/>
            <w:noWrap w:val="0"/>
            <w:vAlign w:val="center"/>
          </w:tcPr>
          <w:p>
            <w:pPr>
              <w:jc w:val="center"/>
              <w:rPr>
                <w:rFonts w:hint="eastAsia" w:ascii="仿宋_GB2312" w:hAnsi="宋体" w:eastAsia="仿宋_GB2312" w:cs="华文仿宋"/>
                <w:color w:val="000000"/>
                <w:szCs w:val="21"/>
              </w:rPr>
            </w:pPr>
          </w:p>
        </w:tc>
        <w:tc>
          <w:tcPr>
            <w:tcW w:w="3595" w:type="dxa"/>
            <w:vMerge w:val="continue"/>
            <w:noWrap w:val="0"/>
            <w:vAlign w:val="center"/>
          </w:tcPr>
          <w:p>
            <w:pPr>
              <w:rPr>
                <w:rFonts w:hint="eastAsia" w:ascii="仿宋_GB2312" w:hAnsi="宋体" w:eastAsia="仿宋_GB2312" w:cs="华文仿宋"/>
                <w:color w:val="000000"/>
                <w:szCs w:val="21"/>
              </w:rPr>
            </w:pPr>
          </w:p>
        </w:tc>
        <w:tc>
          <w:tcPr>
            <w:tcW w:w="1966" w:type="dxa"/>
            <w:vMerge w:val="continue"/>
            <w:noWrap w:val="0"/>
            <w:vAlign w:val="center"/>
          </w:tcPr>
          <w:p>
            <w:pPr>
              <w:rPr>
                <w:rFonts w:hint="eastAsia" w:ascii="仿宋_GB2312" w:hAnsi="宋体" w:eastAsia="仿宋_GB2312" w:cs="华文仿宋"/>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atLeast"/>
        </w:trPr>
        <w:tc>
          <w:tcPr>
            <w:tcW w:w="910" w:type="dxa"/>
            <w:tcBorders>
              <w:top w:val="single" w:color="auto" w:sz="4" w:space="0"/>
            </w:tcBorders>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40</w:t>
            </w:r>
          </w:p>
        </w:tc>
        <w:tc>
          <w:tcPr>
            <w:tcW w:w="4301" w:type="dxa"/>
            <w:tcBorders>
              <w:top w:val="single" w:color="auto" w:sz="4" w:space="0"/>
            </w:tcBorders>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eastAsia="zh-TW"/>
              </w:rPr>
              <w:t>完善渔业风险保障体系</w:t>
            </w:r>
          </w:p>
        </w:tc>
        <w:tc>
          <w:tcPr>
            <w:tcW w:w="3402" w:type="dxa"/>
            <w:noWrap w:val="0"/>
            <w:vAlign w:val="center"/>
          </w:tcPr>
          <w:p>
            <w:pPr>
              <w:jc w:val="cente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rPr>
              <w:t>市农业农村局</w:t>
            </w:r>
          </w:p>
        </w:tc>
        <w:tc>
          <w:tcPr>
            <w:tcW w:w="3595"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lang w:val="zh-TW"/>
              </w:rPr>
              <w:t>市农业农村局</w:t>
            </w:r>
          </w:p>
        </w:tc>
        <w:tc>
          <w:tcPr>
            <w:tcW w:w="1966" w:type="dxa"/>
            <w:noWrap w:val="0"/>
            <w:vAlign w:val="center"/>
          </w:tcPr>
          <w:p>
            <w:pPr>
              <w:rPr>
                <w:rFonts w:hint="eastAsia" w:ascii="仿宋_GB2312" w:hAnsi="宋体" w:eastAsia="仿宋_GB2312" w:cs="华文仿宋"/>
                <w:color w:val="000000"/>
                <w:szCs w:val="21"/>
              </w:rPr>
            </w:pPr>
            <w:r>
              <w:rPr>
                <w:rFonts w:hint="eastAsia" w:ascii="仿宋_GB2312" w:hAnsi="宋体" w:eastAsia="仿宋_GB2312" w:cs="华文仿宋"/>
                <w:color w:val="000000"/>
                <w:szCs w:val="21"/>
              </w:rPr>
              <w:t>2022年年底</w:t>
            </w:r>
          </w:p>
        </w:tc>
      </w:tr>
    </w:tbl>
    <w:p>
      <w:pPr>
        <w:rPr>
          <w:color w:val="000000"/>
        </w:rPr>
        <w:sectPr>
          <w:pgSz w:w="16838" w:h="11906" w:orient="landscape"/>
          <w:pgMar w:top="1690" w:right="1440" w:bottom="1690" w:left="1440" w:header="851" w:footer="992" w:gutter="0"/>
          <w:pgNumType w:fmt="numberInDash"/>
          <w:cols w:space="720" w:num="1"/>
          <w:docGrid w:type="linesAndChars" w:linePitch="312" w:charSpace="0"/>
        </w:sectPr>
      </w:pPr>
    </w:p>
    <w:p>
      <w:pPr>
        <w:jc w:val="center"/>
        <w:rPr>
          <w:rFonts w:ascii="方正小标宋简体" w:eastAsia="方正小标宋简体"/>
          <w:color w:val="000000"/>
          <w:sz w:val="44"/>
          <w:szCs w:val="44"/>
        </w:rPr>
      </w:pPr>
      <w:r>
        <w:rPr>
          <w:rFonts w:hint="eastAsia" w:ascii="方正小标宋简体" w:eastAsia="方正小标宋简体"/>
          <w:color w:val="000000"/>
          <w:sz w:val="44"/>
          <w:szCs w:val="44"/>
        </w:rPr>
        <w:t>常德市城市建设安全专项整治三年行动</w:t>
      </w:r>
      <w:r>
        <w:rPr>
          <w:rFonts w:hint="eastAsia" w:ascii="方正小标宋简体" w:hAnsi="宋体" w:eastAsia="方正小标宋简体" w:cs="宋体"/>
          <w:color w:val="000000"/>
          <w:kern w:val="0"/>
          <w:sz w:val="44"/>
          <w:szCs w:val="44"/>
        </w:rPr>
        <w:t>实施方案</w:t>
      </w:r>
      <w:r>
        <w:rPr>
          <w:rFonts w:hint="eastAsia" w:ascii="方正小标宋简体" w:eastAsia="方正小标宋简体"/>
          <w:color w:val="000000"/>
          <w:sz w:val="44"/>
          <w:szCs w:val="44"/>
        </w:rPr>
        <w:t>重点任务分解表（九）</w:t>
      </w:r>
    </w:p>
    <w:tbl>
      <w:tblPr>
        <w:tblStyle w:val="4"/>
        <w:tblW w:w="1389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
        <w:gridCol w:w="4222"/>
        <w:gridCol w:w="2660"/>
        <w:gridCol w:w="3719"/>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23" w:type="dxa"/>
            <w:noWrap w:val="0"/>
            <w:vAlign w:val="center"/>
          </w:tcPr>
          <w:p>
            <w:pPr>
              <w:jc w:val="center"/>
              <w:rPr>
                <w:rFonts w:hint="eastAsia" w:ascii="仿宋_GB2312" w:eastAsia="仿宋_GB2312"/>
                <w:b/>
                <w:color w:val="000000"/>
                <w:szCs w:val="21"/>
              </w:rPr>
            </w:pPr>
            <w:r>
              <w:rPr>
                <w:rFonts w:hint="eastAsia" w:ascii="仿宋_GB2312" w:eastAsia="仿宋_GB2312"/>
                <w:b/>
                <w:color w:val="000000"/>
                <w:szCs w:val="21"/>
              </w:rPr>
              <w:t>序号</w:t>
            </w:r>
          </w:p>
        </w:tc>
        <w:tc>
          <w:tcPr>
            <w:tcW w:w="4222" w:type="dxa"/>
            <w:noWrap w:val="0"/>
            <w:vAlign w:val="center"/>
          </w:tcPr>
          <w:p>
            <w:pPr>
              <w:jc w:val="center"/>
              <w:rPr>
                <w:rFonts w:hint="eastAsia" w:ascii="仿宋_GB2312" w:eastAsia="仿宋_GB2312"/>
                <w:b/>
                <w:color w:val="000000"/>
                <w:szCs w:val="21"/>
              </w:rPr>
            </w:pPr>
            <w:r>
              <w:rPr>
                <w:rFonts w:hint="eastAsia" w:ascii="仿宋_GB2312" w:eastAsia="仿宋_GB2312"/>
                <w:b/>
                <w:color w:val="000000"/>
                <w:szCs w:val="21"/>
              </w:rPr>
              <w:t>任务内容</w:t>
            </w:r>
          </w:p>
        </w:tc>
        <w:tc>
          <w:tcPr>
            <w:tcW w:w="2660" w:type="dxa"/>
            <w:noWrap w:val="0"/>
            <w:vAlign w:val="center"/>
          </w:tcPr>
          <w:p>
            <w:pPr>
              <w:jc w:val="center"/>
              <w:rPr>
                <w:rFonts w:hint="eastAsia" w:ascii="仿宋_GB2312" w:eastAsia="仿宋_GB2312"/>
                <w:b/>
                <w:color w:val="000000"/>
                <w:szCs w:val="21"/>
              </w:rPr>
            </w:pPr>
            <w:r>
              <w:rPr>
                <w:rFonts w:hint="eastAsia" w:ascii="仿宋_GB2312" w:eastAsia="仿宋_GB2312"/>
                <w:b/>
                <w:color w:val="000000"/>
                <w:szCs w:val="21"/>
              </w:rPr>
              <w:t>牵头单位</w:t>
            </w:r>
          </w:p>
        </w:tc>
        <w:tc>
          <w:tcPr>
            <w:tcW w:w="3719" w:type="dxa"/>
            <w:noWrap w:val="0"/>
            <w:vAlign w:val="center"/>
          </w:tcPr>
          <w:p>
            <w:pPr>
              <w:jc w:val="center"/>
              <w:rPr>
                <w:rFonts w:hint="eastAsia" w:ascii="仿宋_GB2312" w:eastAsia="仿宋_GB2312"/>
                <w:b/>
                <w:color w:val="000000"/>
                <w:szCs w:val="21"/>
              </w:rPr>
            </w:pPr>
            <w:r>
              <w:rPr>
                <w:rFonts w:hint="eastAsia" w:ascii="仿宋_GB2312" w:eastAsia="仿宋_GB2312"/>
                <w:b/>
                <w:color w:val="000000"/>
                <w:szCs w:val="21"/>
              </w:rPr>
              <w:t>责任单位</w:t>
            </w:r>
          </w:p>
        </w:tc>
        <w:tc>
          <w:tcPr>
            <w:tcW w:w="2268" w:type="dxa"/>
            <w:noWrap w:val="0"/>
            <w:vAlign w:val="center"/>
          </w:tcPr>
          <w:p>
            <w:pPr>
              <w:jc w:val="center"/>
              <w:rPr>
                <w:rFonts w:hint="eastAsia" w:ascii="仿宋_GB2312" w:eastAsia="仿宋_GB2312"/>
                <w:b/>
                <w:color w:val="000000"/>
                <w:szCs w:val="21"/>
              </w:rPr>
            </w:pPr>
            <w:r>
              <w:rPr>
                <w:rFonts w:hint="eastAsia" w:ascii="仿宋_GB2312" w:eastAsia="仿宋_GB2312"/>
                <w:b/>
                <w:color w:val="000000"/>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全面系统学习领会习近平总书记关于安全生产工作重要指示精神，不断提高政治站位，树牢安全发展理念。</w:t>
            </w:r>
          </w:p>
        </w:tc>
        <w:tc>
          <w:tcPr>
            <w:tcW w:w="2660"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市自然资源和规划局、市城管执法局</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整治行动全过程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提升城市安全韧性水平</w:t>
            </w:r>
          </w:p>
        </w:tc>
        <w:tc>
          <w:tcPr>
            <w:tcW w:w="2660"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市自然资源和规划局、市国资委、市城管执法局</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2022年底前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开展城市公共设施安全专项体检</w:t>
            </w:r>
          </w:p>
        </w:tc>
        <w:tc>
          <w:tcPr>
            <w:tcW w:w="2660"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市卫健委、市城管执法局、市市场监管局</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2021年底前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强化应急处置管理</w:t>
            </w:r>
          </w:p>
        </w:tc>
        <w:tc>
          <w:tcPr>
            <w:tcW w:w="2660"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市国资委、市城管执法局</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2021年10月底前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5</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推进行业信息系统开发利用</w:t>
            </w:r>
          </w:p>
        </w:tc>
        <w:tc>
          <w:tcPr>
            <w:tcW w:w="2660"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市城管执法局</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2022年底前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6</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推动城市安全发展</w:t>
            </w:r>
          </w:p>
        </w:tc>
        <w:tc>
          <w:tcPr>
            <w:tcW w:w="2660"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市自然资源和规划局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市住建局</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整治行动全过程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7</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全面排查原有建筑物改建改用安全隐患</w:t>
            </w:r>
          </w:p>
        </w:tc>
        <w:tc>
          <w:tcPr>
            <w:tcW w:w="2660"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市自然资源和规划局、市消防救援支队、市商务局、市教育局等</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2021年底前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8</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依法严肃查处“四无”建设项目</w:t>
            </w:r>
          </w:p>
        </w:tc>
        <w:tc>
          <w:tcPr>
            <w:tcW w:w="2660" w:type="dxa"/>
            <w:noWrap w:val="0"/>
            <w:vAlign w:val="center"/>
          </w:tcPr>
          <w:p>
            <w:pPr>
              <w:jc w:val="center"/>
              <w:rPr>
                <w:rFonts w:hint="eastAsia" w:ascii="仿宋_GB2312" w:eastAsia="仿宋_GB2312"/>
                <w:color w:val="000000"/>
                <w:szCs w:val="21"/>
              </w:rPr>
            </w:pPr>
            <w:r>
              <w:rPr>
                <w:rFonts w:hint="eastAsia" w:ascii="仿宋_GB2312" w:eastAsia="仿宋_GB2312"/>
                <w:color w:val="000000"/>
                <w:szCs w:val="21"/>
              </w:rPr>
              <w:t>各区县市人民政府</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eastAsia="仿宋_GB2312"/>
                <w:color w:val="000000"/>
                <w:szCs w:val="21"/>
              </w:rPr>
              <w:t>市自然资源和规划局、市住建局、市城管执法局按职责分工负责</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整治行动全过程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9</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严格房源管理，确保房屋安全</w:t>
            </w:r>
          </w:p>
        </w:tc>
        <w:tc>
          <w:tcPr>
            <w:tcW w:w="2660"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市自然资源和规划局以及区县市政府</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整治行动全过程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10</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落实房屋安全隐患整改责任</w:t>
            </w:r>
          </w:p>
        </w:tc>
        <w:tc>
          <w:tcPr>
            <w:tcW w:w="2660"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市自然资源和规划局、市消防救援支队、市教育局和区县市政府等</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2022年底前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11</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落实房屋所有权人主体责任</w:t>
            </w:r>
          </w:p>
        </w:tc>
        <w:tc>
          <w:tcPr>
            <w:tcW w:w="2660"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市机关事务局和区县市政府等</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整治行动全过程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12</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落实参建各方的主体责任</w:t>
            </w:r>
          </w:p>
        </w:tc>
        <w:tc>
          <w:tcPr>
            <w:tcW w:w="2660"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市住建局</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整治行动全过程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13</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落实工程建设监管部门责任</w:t>
            </w:r>
          </w:p>
        </w:tc>
        <w:tc>
          <w:tcPr>
            <w:tcW w:w="2660"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市财政局</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2021年底前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14</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加强城市地下基础设施安全管理</w:t>
            </w:r>
          </w:p>
        </w:tc>
        <w:tc>
          <w:tcPr>
            <w:tcW w:w="2660"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市发展改革委、市工信局、市文广体局等</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整治行动全过程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15</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推动各地开展城市地下基础设施信息及监测预警管理平台建设</w:t>
            </w:r>
          </w:p>
        </w:tc>
        <w:tc>
          <w:tcPr>
            <w:tcW w:w="2660"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市住建局</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2022年底前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16</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严格落实燃气工程技术标准</w:t>
            </w:r>
          </w:p>
        </w:tc>
        <w:tc>
          <w:tcPr>
            <w:tcW w:w="2660"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市市场监管局和企业等</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整治行动全过程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17</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推进市政排水管网地理信息系统建设</w:t>
            </w:r>
          </w:p>
        </w:tc>
        <w:tc>
          <w:tcPr>
            <w:tcW w:w="2660"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市住建局</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2022年底前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18</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总结推广建筑垃圾治理试点城市、示范城市做法经验</w:t>
            </w:r>
          </w:p>
        </w:tc>
        <w:tc>
          <w:tcPr>
            <w:tcW w:w="2660"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市城管执法局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市城管执法局</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2022年底前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19</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加强城市市政公用设施建设、安全和应急管理</w:t>
            </w:r>
          </w:p>
        </w:tc>
        <w:tc>
          <w:tcPr>
            <w:tcW w:w="2660"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市市场监管局、市交通运输局、市自然资源和规划局、市消防救援支队、市城管执法局等</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整治行动全过程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20</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严肃查处施工安全事故</w:t>
            </w:r>
          </w:p>
        </w:tc>
        <w:tc>
          <w:tcPr>
            <w:tcW w:w="2660"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市应急管理局</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整治行动全过程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21</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狠抓重点领域风险防控</w:t>
            </w:r>
          </w:p>
        </w:tc>
        <w:tc>
          <w:tcPr>
            <w:tcW w:w="2660"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市住建局</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整治行动全过程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22</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提升施工安全治理能力</w:t>
            </w:r>
          </w:p>
        </w:tc>
        <w:tc>
          <w:tcPr>
            <w:tcW w:w="2660"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整治行动全过程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023"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23</w:t>
            </w:r>
          </w:p>
        </w:tc>
        <w:tc>
          <w:tcPr>
            <w:tcW w:w="4222"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严厉打击建筑市场违法违规行为</w:t>
            </w:r>
          </w:p>
        </w:tc>
        <w:tc>
          <w:tcPr>
            <w:tcW w:w="2660"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3719" w:type="dxa"/>
            <w:noWrap w:val="0"/>
            <w:vAlign w:val="center"/>
          </w:tcPr>
          <w:p>
            <w:pPr>
              <w:jc w:val="center"/>
              <w:rPr>
                <w:rFonts w:hint="eastAsia" w:ascii="仿宋_GB2312" w:eastAsia="仿宋_GB2312"/>
                <w:color w:val="000000"/>
                <w:szCs w:val="21"/>
              </w:rPr>
            </w:pPr>
            <w:r>
              <w:rPr>
                <w:rFonts w:hint="eastAsia" w:ascii="仿宋_GB2312" w:hAnsi="宋体" w:eastAsia="仿宋_GB2312"/>
                <w:color w:val="000000"/>
                <w:szCs w:val="21"/>
              </w:rPr>
              <w:t>市住建局</w:t>
            </w:r>
          </w:p>
        </w:tc>
        <w:tc>
          <w:tcPr>
            <w:tcW w:w="2268" w:type="dxa"/>
            <w:noWrap w:val="0"/>
            <w:vAlign w:val="center"/>
          </w:tcPr>
          <w:p>
            <w:pPr>
              <w:jc w:val="center"/>
              <w:rPr>
                <w:rFonts w:hint="eastAsia" w:ascii="仿宋_GB2312" w:hAnsi="宋体" w:eastAsia="仿宋_GB2312"/>
                <w:color w:val="000000"/>
                <w:szCs w:val="21"/>
              </w:rPr>
            </w:pPr>
            <w:r>
              <w:rPr>
                <w:rFonts w:hint="eastAsia" w:ascii="仿宋_GB2312" w:hAnsi="宋体" w:eastAsia="仿宋_GB2312"/>
                <w:color w:val="000000"/>
                <w:szCs w:val="21"/>
              </w:rPr>
              <w:t>整治行动全过程</w:t>
            </w:r>
          </w:p>
        </w:tc>
      </w:tr>
    </w:tbl>
    <w:p>
      <w:pPr>
        <w:rPr>
          <w:color w:val="000000"/>
        </w:rPr>
      </w:pPr>
    </w:p>
    <w:p>
      <w:pPr>
        <w:rPr>
          <w:color w:val="000000"/>
        </w:rPr>
      </w:pPr>
    </w:p>
    <w:p>
      <w:pPr>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常德市工业园区安全专项整治三年行动</w:t>
      </w:r>
      <w:r>
        <w:rPr>
          <w:rFonts w:hint="eastAsia" w:ascii="方正小标宋简体" w:hAnsi="宋体" w:eastAsia="方正小标宋简体" w:cs="宋体"/>
          <w:color w:val="000000"/>
          <w:kern w:val="0"/>
          <w:sz w:val="44"/>
          <w:szCs w:val="44"/>
        </w:rPr>
        <w:t>实施方案</w:t>
      </w:r>
      <w:r>
        <w:rPr>
          <w:rFonts w:hint="eastAsia" w:ascii="方正小标宋简体" w:eastAsia="方正小标宋简体"/>
          <w:color w:val="000000"/>
          <w:kern w:val="0"/>
          <w:sz w:val="44"/>
          <w:szCs w:val="44"/>
        </w:rPr>
        <w:t>重点任务分解表（十）</w:t>
      </w:r>
    </w:p>
    <w:tbl>
      <w:tblPr>
        <w:tblStyle w:val="4"/>
        <w:tblW w:w="14062"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0"/>
        <w:gridCol w:w="6691"/>
        <w:gridCol w:w="2127"/>
        <w:gridCol w:w="2551"/>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blHeader/>
        </w:trPr>
        <w:tc>
          <w:tcPr>
            <w:tcW w:w="850" w:type="dxa"/>
            <w:tcBorders>
              <w:right w:val="single" w:color="auto" w:sz="4" w:space="0"/>
            </w:tcBorders>
            <w:noWrap w:val="0"/>
            <w:vAlign w:val="center"/>
          </w:tcPr>
          <w:p>
            <w:pPr>
              <w:jc w:val="center"/>
              <w:rPr>
                <w:rFonts w:hint="eastAsia" w:ascii="仿宋_GB2312" w:hAnsi="黑体" w:eastAsia="仿宋_GB2312"/>
                <w:b/>
                <w:bCs/>
                <w:color w:val="000000"/>
                <w:kern w:val="0"/>
                <w:szCs w:val="21"/>
              </w:rPr>
            </w:pPr>
            <w:r>
              <w:rPr>
                <w:rFonts w:hint="eastAsia" w:ascii="仿宋_GB2312" w:hAnsi="黑体" w:eastAsia="仿宋_GB2312"/>
                <w:b/>
                <w:bCs/>
                <w:color w:val="000000"/>
                <w:kern w:val="0"/>
                <w:szCs w:val="21"/>
              </w:rPr>
              <w:t>序号</w:t>
            </w:r>
          </w:p>
        </w:tc>
        <w:tc>
          <w:tcPr>
            <w:tcW w:w="6691" w:type="dxa"/>
            <w:noWrap w:val="0"/>
            <w:vAlign w:val="center"/>
          </w:tcPr>
          <w:p>
            <w:pPr>
              <w:jc w:val="center"/>
              <w:rPr>
                <w:rFonts w:hint="eastAsia" w:ascii="仿宋_GB2312" w:hAnsi="黑体" w:eastAsia="仿宋_GB2312"/>
                <w:b/>
                <w:bCs/>
                <w:color w:val="000000"/>
                <w:kern w:val="0"/>
                <w:szCs w:val="21"/>
              </w:rPr>
            </w:pPr>
            <w:r>
              <w:rPr>
                <w:rFonts w:hint="eastAsia" w:ascii="仿宋_GB2312" w:hAnsi="黑体" w:eastAsia="仿宋_GB2312"/>
                <w:b/>
                <w:bCs/>
                <w:color w:val="000000"/>
                <w:kern w:val="0"/>
                <w:szCs w:val="21"/>
              </w:rPr>
              <w:t>任务内容</w:t>
            </w:r>
          </w:p>
        </w:tc>
        <w:tc>
          <w:tcPr>
            <w:tcW w:w="2127" w:type="dxa"/>
            <w:tcBorders>
              <w:right w:val="single" w:color="auto" w:sz="4" w:space="0"/>
            </w:tcBorders>
            <w:noWrap w:val="0"/>
            <w:vAlign w:val="center"/>
          </w:tcPr>
          <w:p>
            <w:pPr>
              <w:jc w:val="center"/>
              <w:rPr>
                <w:rFonts w:hint="eastAsia" w:ascii="仿宋_GB2312" w:hAnsi="黑体" w:eastAsia="仿宋_GB2312"/>
                <w:b/>
                <w:bCs/>
                <w:color w:val="000000"/>
                <w:kern w:val="0"/>
                <w:szCs w:val="21"/>
              </w:rPr>
            </w:pPr>
            <w:r>
              <w:rPr>
                <w:rFonts w:hint="eastAsia" w:ascii="仿宋_GB2312" w:hAnsi="黑体" w:eastAsia="仿宋_GB2312"/>
                <w:b/>
                <w:bCs/>
                <w:color w:val="000000"/>
                <w:kern w:val="0"/>
                <w:szCs w:val="21"/>
              </w:rPr>
              <w:t>牵头单位</w:t>
            </w:r>
          </w:p>
        </w:tc>
        <w:tc>
          <w:tcPr>
            <w:tcW w:w="2551" w:type="dxa"/>
            <w:tcBorders>
              <w:left w:val="single" w:color="auto" w:sz="4" w:space="0"/>
            </w:tcBorders>
            <w:noWrap w:val="0"/>
            <w:vAlign w:val="center"/>
          </w:tcPr>
          <w:p>
            <w:pPr>
              <w:jc w:val="center"/>
              <w:rPr>
                <w:rFonts w:hint="eastAsia" w:ascii="仿宋_GB2312" w:hAnsi="黑体" w:eastAsia="仿宋_GB2312"/>
                <w:b/>
                <w:bCs/>
                <w:color w:val="000000"/>
                <w:kern w:val="0"/>
                <w:szCs w:val="21"/>
              </w:rPr>
            </w:pPr>
            <w:r>
              <w:rPr>
                <w:rFonts w:hint="eastAsia" w:ascii="仿宋_GB2312" w:hAnsi="黑体" w:eastAsia="仿宋_GB2312"/>
                <w:b/>
                <w:bCs/>
                <w:color w:val="000000"/>
                <w:kern w:val="0"/>
                <w:szCs w:val="21"/>
              </w:rPr>
              <w:t>责任单位</w:t>
            </w:r>
          </w:p>
        </w:tc>
        <w:tc>
          <w:tcPr>
            <w:tcW w:w="1843" w:type="dxa"/>
            <w:noWrap w:val="0"/>
            <w:vAlign w:val="center"/>
          </w:tcPr>
          <w:p>
            <w:pPr>
              <w:jc w:val="center"/>
              <w:rPr>
                <w:rFonts w:hint="eastAsia" w:ascii="仿宋_GB2312" w:hAnsi="黑体" w:eastAsia="仿宋_GB2312"/>
                <w:b/>
                <w:bCs/>
                <w:color w:val="000000"/>
                <w:kern w:val="0"/>
                <w:szCs w:val="21"/>
              </w:rPr>
            </w:pPr>
            <w:r>
              <w:rPr>
                <w:rFonts w:hint="eastAsia" w:ascii="仿宋_GB2312" w:hAnsi="黑体" w:eastAsia="仿宋_GB2312"/>
                <w:b/>
                <w:bCs/>
                <w:color w:val="000000"/>
                <w:kern w:val="0"/>
                <w:szCs w:val="21"/>
              </w:rPr>
              <w:t>完成时限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trPr>
        <w:tc>
          <w:tcPr>
            <w:tcW w:w="850" w:type="dxa"/>
            <w:tcBorders>
              <w:right w:val="single" w:color="auto" w:sz="4" w:space="0"/>
            </w:tcBorders>
            <w:noWrap w:val="0"/>
            <w:vAlign w:val="center"/>
          </w:tcPr>
          <w:p>
            <w:pPr>
              <w:spacing w:line="380" w:lineRule="exact"/>
              <w:jc w:val="center"/>
              <w:rPr>
                <w:rFonts w:hint="eastAsia" w:ascii="仿宋_GB2312" w:hAnsi="宋体" w:eastAsia="仿宋_GB2312"/>
                <w:bCs/>
                <w:color w:val="000000"/>
                <w:kern w:val="0"/>
                <w:szCs w:val="21"/>
              </w:rPr>
            </w:pPr>
            <w:r>
              <w:rPr>
                <w:rFonts w:hint="eastAsia" w:ascii="仿宋_GB2312" w:hAnsi="宋体" w:eastAsia="仿宋_GB2312"/>
                <w:bCs/>
                <w:color w:val="000000"/>
                <w:kern w:val="0"/>
                <w:szCs w:val="21"/>
              </w:rPr>
              <w:t>1</w:t>
            </w:r>
          </w:p>
        </w:tc>
        <w:tc>
          <w:tcPr>
            <w:tcW w:w="6691" w:type="dxa"/>
            <w:noWrap w:val="0"/>
            <w:vAlign w:val="top"/>
          </w:tcPr>
          <w:p>
            <w:pPr>
              <w:spacing w:line="380" w:lineRule="exact"/>
              <w:rPr>
                <w:rFonts w:hint="eastAsia" w:ascii="仿宋_GB2312" w:hAnsi="宋体" w:eastAsia="仿宋_GB2312"/>
                <w:bCs/>
                <w:color w:val="000000"/>
                <w:kern w:val="0"/>
                <w:szCs w:val="21"/>
              </w:rPr>
            </w:pPr>
            <w:r>
              <w:rPr>
                <w:rFonts w:hint="eastAsia" w:ascii="仿宋_GB2312" w:hAnsi="宋体" w:eastAsia="仿宋_GB2312"/>
                <w:bCs/>
                <w:color w:val="000000"/>
                <w:kern w:val="0"/>
                <w:szCs w:val="21"/>
              </w:rPr>
              <w:t>各区县市人民政府要进一步明确园区管理主体，压实安全责任，明确具体负责安全生产管理的机构，按照“三个必须”要求落实各有关部门安全监管责任和行业安全管理责任；根据园区内企业类型，有针对性强化高危行业专业监管力量，配齐配强园区安全监管执法力量。</w:t>
            </w:r>
          </w:p>
        </w:tc>
        <w:tc>
          <w:tcPr>
            <w:tcW w:w="2127" w:type="dxa"/>
            <w:tcBorders>
              <w:right w:val="single" w:color="auto" w:sz="4" w:space="0"/>
            </w:tcBorders>
            <w:noWrap w:val="0"/>
            <w:vAlign w:val="center"/>
          </w:tcPr>
          <w:p>
            <w:pPr>
              <w:spacing w:line="380" w:lineRule="exact"/>
              <w:jc w:val="center"/>
              <w:rPr>
                <w:rFonts w:hint="eastAsia" w:ascii="仿宋_GB2312" w:hAnsi="宋体" w:eastAsia="仿宋_GB2312"/>
                <w:bCs/>
                <w:color w:val="000000"/>
                <w:kern w:val="0"/>
                <w:szCs w:val="21"/>
              </w:rPr>
            </w:pPr>
            <w:r>
              <w:rPr>
                <w:rFonts w:hint="eastAsia" w:ascii="仿宋_GB2312" w:hAnsi="宋体" w:eastAsia="仿宋_GB2312"/>
                <w:bCs/>
                <w:color w:val="000000"/>
                <w:kern w:val="0"/>
                <w:szCs w:val="21"/>
              </w:rPr>
              <w:t>各区县市人民政府</w:t>
            </w:r>
          </w:p>
        </w:tc>
        <w:tc>
          <w:tcPr>
            <w:tcW w:w="2551" w:type="dxa"/>
            <w:tcBorders>
              <w:left w:val="single" w:color="auto" w:sz="4" w:space="0"/>
            </w:tcBorders>
            <w:noWrap w:val="0"/>
            <w:vAlign w:val="center"/>
          </w:tcPr>
          <w:p>
            <w:pPr>
              <w:spacing w:line="380" w:lineRule="exact"/>
              <w:rPr>
                <w:rFonts w:hint="eastAsia" w:ascii="仿宋_GB2312" w:hAnsi="宋体" w:eastAsia="仿宋_GB2312"/>
                <w:bCs/>
                <w:color w:val="000000"/>
                <w:kern w:val="0"/>
                <w:szCs w:val="21"/>
              </w:rPr>
            </w:pPr>
            <w:r>
              <w:rPr>
                <w:rFonts w:hint="eastAsia" w:ascii="仿宋_GB2312" w:hAnsi="宋体" w:eastAsia="仿宋_GB2312"/>
                <w:bCs/>
                <w:color w:val="000000"/>
                <w:kern w:val="0"/>
                <w:szCs w:val="21"/>
              </w:rPr>
              <w:t>各工业园区管委会、市发展改革委、市工信局、</w:t>
            </w:r>
            <w:r>
              <w:rPr>
                <w:rFonts w:hint="eastAsia" w:ascii="仿宋_GB2312" w:hAnsi="宋体" w:eastAsia="仿宋_GB2312"/>
                <w:color w:val="000000"/>
                <w:kern w:val="0"/>
                <w:szCs w:val="21"/>
              </w:rPr>
              <w:t>市生态环境局、市应急管理局</w:t>
            </w:r>
          </w:p>
        </w:tc>
        <w:tc>
          <w:tcPr>
            <w:tcW w:w="1843" w:type="dxa"/>
            <w:noWrap w:val="0"/>
            <w:vAlign w:val="center"/>
          </w:tcPr>
          <w:p>
            <w:pPr>
              <w:spacing w:line="380" w:lineRule="exact"/>
              <w:jc w:val="center"/>
              <w:rPr>
                <w:rFonts w:hint="eastAsia" w:ascii="仿宋_GB2312" w:hAnsi="宋体" w:eastAsia="仿宋_GB2312"/>
                <w:bCs/>
                <w:color w:val="000000"/>
                <w:kern w:val="0"/>
                <w:szCs w:val="21"/>
              </w:rPr>
            </w:pPr>
            <w:r>
              <w:rPr>
                <w:rFonts w:hint="eastAsia" w:ascii="仿宋_GB2312" w:hAnsi="宋体" w:eastAsia="仿宋_GB2312"/>
                <w:bCs/>
                <w:color w:val="000000"/>
                <w:kern w:val="0"/>
                <w:szCs w:val="21"/>
              </w:rPr>
              <w:t>2020年12月底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30" w:hRule="atLeast"/>
        </w:trPr>
        <w:tc>
          <w:tcPr>
            <w:tcW w:w="850" w:type="dxa"/>
            <w:tcBorders>
              <w:right w:val="single" w:color="auto" w:sz="4" w:space="0"/>
            </w:tcBorders>
            <w:noWrap w:val="0"/>
            <w:vAlign w:val="center"/>
          </w:tcPr>
          <w:p>
            <w:pPr>
              <w:spacing w:line="380" w:lineRule="exact"/>
              <w:jc w:val="center"/>
              <w:rPr>
                <w:rFonts w:hint="eastAsia" w:ascii="仿宋_GB2312" w:hAnsi="宋体" w:eastAsia="仿宋_GB2312"/>
                <w:bCs/>
                <w:color w:val="000000"/>
                <w:kern w:val="0"/>
                <w:szCs w:val="21"/>
              </w:rPr>
            </w:pPr>
            <w:r>
              <w:rPr>
                <w:rFonts w:hint="eastAsia" w:ascii="仿宋_GB2312" w:hAnsi="宋体" w:eastAsia="仿宋_GB2312"/>
                <w:bCs/>
                <w:color w:val="000000"/>
                <w:kern w:val="0"/>
                <w:szCs w:val="21"/>
              </w:rPr>
              <w:t>2</w:t>
            </w:r>
          </w:p>
        </w:tc>
        <w:tc>
          <w:tcPr>
            <w:tcW w:w="6691" w:type="dxa"/>
            <w:noWrap w:val="0"/>
            <w:vAlign w:val="top"/>
          </w:tcPr>
          <w:p>
            <w:pPr>
              <w:spacing w:line="380" w:lineRule="exact"/>
              <w:rPr>
                <w:rFonts w:hint="eastAsia" w:ascii="仿宋_GB2312" w:hAnsi="宋体" w:eastAsia="仿宋_GB2312"/>
                <w:color w:val="000000"/>
                <w:kern w:val="0"/>
                <w:szCs w:val="21"/>
              </w:rPr>
            </w:pPr>
            <w:r>
              <w:rPr>
                <w:rFonts w:hint="eastAsia" w:ascii="仿宋_GB2312" w:hAnsi="宋体" w:eastAsia="仿宋_GB2312"/>
                <w:bCs/>
                <w:color w:val="000000"/>
                <w:kern w:val="0"/>
                <w:szCs w:val="21"/>
              </w:rPr>
              <w:t>工业园区要把安全生产工作纳入全面整体谋划考虑，综合园区内公共设施、上下游产业链、应急救援等各方面各环节，实施一体化管理；建立园区安全生产工作例会制度，及时会商研判安全风险，统筹协调解决重大安全生产问题，形成齐抓共管、分工明确、协同高效的管理模式。</w:t>
            </w:r>
          </w:p>
        </w:tc>
        <w:tc>
          <w:tcPr>
            <w:tcW w:w="2127" w:type="dxa"/>
            <w:tcBorders>
              <w:right w:val="single" w:color="auto" w:sz="4" w:space="0"/>
            </w:tcBorders>
            <w:noWrap w:val="0"/>
            <w:vAlign w:val="center"/>
          </w:tcPr>
          <w:p>
            <w:pPr>
              <w:spacing w:line="380" w:lineRule="exact"/>
              <w:jc w:val="center"/>
              <w:rPr>
                <w:rFonts w:hint="eastAsia" w:ascii="仿宋_GB2312" w:hAnsi="宋体" w:eastAsia="仿宋_GB2312"/>
                <w:bCs/>
                <w:color w:val="000000"/>
                <w:kern w:val="0"/>
                <w:szCs w:val="21"/>
              </w:rPr>
            </w:pPr>
            <w:r>
              <w:rPr>
                <w:rFonts w:hint="eastAsia" w:ascii="仿宋_GB2312" w:hAnsi="宋体" w:eastAsia="仿宋_GB2312"/>
                <w:bCs/>
                <w:color w:val="000000"/>
                <w:kern w:val="0"/>
                <w:szCs w:val="21"/>
              </w:rPr>
              <w:t>市应急管理局</w:t>
            </w:r>
          </w:p>
        </w:tc>
        <w:tc>
          <w:tcPr>
            <w:tcW w:w="2551" w:type="dxa"/>
            <w:tcBorders>
              <w:left w:val="single" w:color="auto" w:sz="4" w:space="0"/>
            </w:tcBorders>
            <w:noWrap w:val="0"/>
            <w:vAlign w:val="center"/>
          </w:tcPr>
          <w:p>
            <w:pPr>
              <w:spacing w:line="380" w:lineRule="exact"/>
              <w:rPr>
                <w:rFonts w:hint="eastAsia" w:ascii="仿宋_GB2312" w:hAnsi="宋体" w:eastAsia="仿宋_GB2312"/>
                <w:bCs/>
                <w:color w:val="000000"/>
                <w:kern w:val="0"/>
                <w:szCs w:val="21"/>
              </w:rPr>
            </w:pPr>
            <w:r>
              <w:rPr>
                <w:rFonts w:hint="eastAsia" w:ascii="仿宋_GB2312" w:hAnsi="宋体" w:eastAsia="仿宋_GB2312"/>
                <w:bCs/>
                <w:color w:val="000000"/>
                <w:kern w:val="0"/>
                <w:szCs w:val="21"/>
              </w:rPr>
              <w:t>各区县市人民政府、各工业园区管委会、市发展改革委、市工信局</w:t>
            </w:r>
          </w:p>
        </w:tc>
        <w:tc>
          <w:tcPr>
            <w:tcW w:w="1843" w:type="dxa"/>
            <w:noWrap w:val="0"/>
            <w:vAlign w:val="center"/>
          </w:tcPr>
          <w:p>
            <w:pPr>
              <w:spacing w:line="380" w:lineRule="exact"/>
              <w:jc w:val="center"/>
              <w:rPr>
                <w:rFonts w:hint="eastAsia" w:ascii="仿宋_GB2312" w:hAnsi="宋体" w:eastAsia="仿宋_GB2312"/>
                <w:bCs/>
                <w:color w:val="000000"/>
                <w:kern w:val="0"/>
                <w:szCs w:val="21"/>
              </w:rPr>
            </w:pPr>
            <w:r>
              <w:rPr>
                <w:rFonts w:hint="eastAsia" w:ascii="仿宋_GB2312" w:hAnsi="宋体" w:eastAsia="仿宋_GB2312"/>
                <w:bCs/>
                <w:color w:val="000000"/>
                <w:kern w:val="0"/>
                <w:szCs w:val="21"/>
              </w:rPr>
              <w:t>2020年12月底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tcBorders>
              <w:right w:val="single" w:color="auto" w:sz="4" w:space="0"/>
            </w:tcBorders>
            <w:noWrap w:val="0"/>
            <w:vAlign w:val="center"/>
          </w:tcPr>
          <w:p>
            <w:pPr>
              <w:spacing w:line="380" w:lineRule="exact"/>
              <w:jc w:val="center"/>
              <w:rPr>
                <w:rFonts w:hint="eastAsia" w:ascii="仿宋_GB2312" w:hAnsi="宋体" w:eastAsia="仿宋_GB2312"/>
                <w:bCs/>
                <w:color w:val="000000"/>
                <w:kern w:val="0"/>
                <w:szCs w:val="21"/>
              </w:rPr>
            </w:pPr>
            <w:r>
              <w:rPr>
                <w:rFonts w:hint="eastAsia" w:ascii="仿宋_GB2312" w:hAnsi="宋体" w:eastAsia="仿宋_GB2312"/>
                <w:bCs/>
                <w:color w:val="000000"/>
                <w:kern w:val="0"/>
                <w:szCs w:val="21"/>
              </w:rPr>
              <w:t>3</w:t>
            </w:r>
          </w:p>
        </w:tc>
        <w:tc>
          <w:tcPr>
            <w:tcW w:w="6691" w:type="dxa"/>
            <w:noWrap w:val="0"/>
            <w:vAlign w:val="top"/>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强化工业园区内各企业主要负责人安全生产第一责任人的责任，建立满足企业要求的安全技术和管理团队；加强警示教育，强化法制意识、风险意识；加大安全投入，提高安全技术装备与本质安全水平；依法建立专职消防队，根据需要建立安全事故工艺处置队，两支队伍加强技能训练和综合演练；完善日常监督考核机制，定期组织企业开展安全管理情况自查互查，推动企业之间加强安全管理交流；加强日常安全执法检查，既要严肃查处违法违规行为，又要避免简单化、“一刀切”，增强执法实效。</w:t>
            </w:r>
          </w:p>
        </w:tc>
        <w:tc>
          <w:tcPr>
            <w:tcW w:w="2127" w:type="dxa"/>
            <w:tcBorders>
              <w:right w:val="single" w:color="auto" w:sz="4" w:space="0"/>
            </w:tcBorders>
            <w:noWrap w:val="0"/>
            <w:vAlign w:val="center"/>
          </w:tcPr>
          <w:p>
            <w:pPr>
              <w:spacing w:line="380" w:lineRule="exact"/>
              <w:jc w:val="center"/>
              <w:rPr>
                <w:rFonts w:hint="eastAsia" w:ascii="仿宋_GB2312" w:hAnsi="宋体" w:eastAsia="仿宋_GB2312"/>
                <w:bCs/>
                <w:color w:val="000000"/>
                <w:kern w:val="0"/>
                <w:szCs w:val="21"/>
              </w:rPr>
            </w:pPr>
            <w:r>
              <w:rPr>
                <w:rFonts w:hint="eastAsia" w:ascii="仿宋_GB2312" w:hAnsi="宋体" w:eastAsia="仿宋_GB2312"/>
                <w:bCs/>
                <w:color w:val="000000"/>
                <w:kern w:val="0"/>
                <w:szCs w:val="21"/>
              </w:rPr>
              <w:t>各区县市人民政府</w:t>
            </w:r>
          </w:p>
        </w:tc>
        <w:tc>
          <w:tcPr>
            <w:tcW w:w="2551" w:type="dxa"/>
            <w:tcBorders>
              <w:left w:val="single" w:color="auto" w:sz="4" w:space="0"/>
            </w:tcBorders>
            <w:noWrap w:val="0"/>
            <w:vAlign w:val="center"/>
          </w:tcPr>
          <w:p>
            <w:pPr>
              <w:spacing w:line="380" w:lineRule="exact"/>
              <w:rPr>
                <w:rFonts w:hint="eastAsia" w:ascii="仿宋_GB2312" w:hAnsi="宋体" w:eastAsia="仿宋_GB2312"/>
                <w:bCs/>
                <w:color w:val="000000"/>
                <w:kern w:val="0"/>
                <w:szCs w:val="21"/>
              </w:rPr>
            </w:pPr>
            <w:r>
              <w:rPr>
                <w:rFonts w:hint="eastAsia" w:ascii="仿宋_GB2312" w:hAnsi="宋体" w:eastAsia="仿宋_GB2312"/>
                <w:bCs/>
                <w:color w:val="000000"/>
                <w:kern w:val="0"/>
                <w:szCs w:val="21"/>
              </w:rPr>
              <w:t>各工业园区管委会、</w:t>
            </w:r>
            <w:r>
              <w:rPr>
                <w:rFonts w:hint="eastAsia" w:ascii="仿宋_GB2312" w:hAnsi="宋体" w:eastAsia="仿宋_GB2312"/>
                <w:color w:val="000000"/>
                <w:kern w:val="0"/>
                <w:szCs w:val="21"/>
              </w:rPr>
              <w:t>市应急管理局、</w:t>
            </w:r>
            <w:r>
              <w:rPr>
                <w:rFonts w:hint="eastAsia" w:ascii="仿宋_GB2312" w:hAnsi="宋体" w:eastAsia="仿宋_GB2312"/>
                <w:bCs/>
                <w:color w:val="000000"/>
                <w:kern w:val="0"/>
                <w:szCs w:val="21"/>
              </w:rPr>
              <w:t>市工信局、</w:t>
            </w:r>
            <w:r>
              <w:rPr>
                <w:rFonts w:hint="eastAsia" w:ascii="仿宋_GB2312" w:hAnsi="宋体" w:eastAsia="仿宋_GB2312"/>
                <w:color w:val="000000"/>
                <w:kern w:val="0"/>
                <w:szCs w:val="21"/>
              </w:rPr>
              <w:t>市消防救援支队、市交通运输局</w:t>
            </w:r>
          </w:p>
        </w:tc>
        <w:tc>
          <w:tcPr>
            <w:tcW w:w="1843" w:type="dxa"/>
            <w:noWrap w:val="0"/>
            <w:vAlign w:val="center"/>
          </w:tcPr>
          <w:p>
            <w:pPr>
              <w:spacing w:line="380" w:lineRule="exact"/>
              <w:jc w:val="center"/>
              <w:rPr>
                <w:rFonts w:hint="eastAsia" w:ascii="仿宋_GB2312" w:hAnsi="宋体" w:eastAsia="仿宋_GB2312"/>
                <w:bCs/>
                <w:color w:val="000000"/>
                <w:kern w:val="0"/>
                <w:szCs w:val="21"/>
              </w:rPr>
            </w:pPr>
            <w:r>
              <w:rPr>
                <w:rFonts w:hint="eastAsia" w:ascii="仿宋_GB2312" w:hAnsi="宋体" w:eastAsia="仿宋_GB2312"/>
                <w:bCs/>
                <w:color w:val="000000"/>
                <w:kern w:val="0"/>
                <w:szCs w:val="21"/>
              </w:rPr>
              <w:t>2020年12月底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2" w:hRule="atLeast"/>
        </w:trPr>
        <w:tc>
          <w:tcPr>
            <w:tcW w:w="850"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4</w:t>
            </w:r>
          </w:p>
        </w:tc>
        <w:tc>
          <w:tcPr>
            <w:tcW w:w="6691" w:type="dxa"/>
            <w:noWrap w:val="0"/>
            <w:vAlign w:val="top"/>
          </w:tcPr>
          <w:p>
            <w:pPr>
              <w:spacing w:line="34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各区县市人民政府要严格按照国家有关规定，依据国土空间规划，统筹园区区域布局，明确园区数量、产业定位、管理体制和发展方向，有序开展园区设立、扩区、调区等工作。要在安全评估的基础上，优化园区各功能分区布局，严格控制高风险功能区规模。对不符合安全生产条件、存在重大风险隐患、未纳入省市统一规划、不符合国土空间规划的园区，要限期整改，对未达到整改要求的，要关闭退出。</w:t>
            </w:r>
          </w:p>
        </w:tc>
        <w:tc>
          <w:tcPr>
            <w:tcW w:w="2127"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市发展改革委</w:t>
            </w:r>
          </w:p>
        </w:tc>
        <w:tc>
          <w:tcPr>
            <w:tcW w:w="2551" w:type="dxa"/>
            <w:tcBorders>
              <w:lef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bCs/>
                <w:color w:val="000000"/>
                <w:kern w:val="0"/>
                <w:szCs w:val="21"/>
              </w:rPr>
              <w:t>各区县市人民政府、各工业园区管委会、</w:t>
            </w:r>
            <w:r>
              <w:rPr>
                <w:rFonts w:hint="eastAsia" w:ascii="仿宋_GB2312" w:hAnsi="宋体" w:eastAsia="仿宋_GB2312"/>
                <w:color w:val="000000"/>
                <w:kern w:val="0"/>
                <w:szCs w:val="21"/>
              </w:rPr>
              <w:t>市自然资源和规划局、市住建局、市应急管理局</w:t>
            </w:r>
          </w:p>
        </w:tc>
        <w:tc>
          <w:tcPr>
            <w:tcW w:w="1843" w:type="dxa"/>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2021年12月底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4" w:hRule="atLeast"/>
        </w:trPr>
        <w:tc>
          <w:tcPr>
            <w:tcW w:w="850"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5</w:t>
            </w:r>
          </w:p>
        </w:tc>
        <w:tc>
          <w:tcPr>
            <w:tcW w:w="6691" w:type="dxa"/>
            <w:noWrap w:val="0"/>
            <w:vAlign w:val="top"/>
          </w:tcPr>
          <w:p>
            <w:pPr>
              <w:spacing w:line="34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各区县市要按照产业发展定位，制定完善园区产业发展规划，明确园区项目准入条件，制定“禁限控”目录，禁止自动化程度低、工艺装备落后等本质安全水平低的项目进区入园；禁止园区项目只引进生产设备及其工艺包，未配套引进与其相关的安全包与控制技术，拼凑式设置安全设施以及生产工艺安全防控系统。严格建设项目安全条件审查，严格新、改、扩建设项目安全生产“三同时”工作，严防高风险项目转移，严禁承接其他地区关闭退出的落后产能；建立并完善园区内企业退出机制，对不符合安全生产要求的企业，要及时淘汰退出园区。</w:t>
            </w:r>
          </w:p>
        </w:tc>
        <w:tc>
          <w:tcPr>
            <w:tcW w:w="2127"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市发展改革委</w:t>
            </w:r>
          </w:p>
        </w:tc>
        <w:tc>
          <w:tcPr>
            <w:tcW w:w="2551" w:type="dxa"/>
            <w:tcBorders>
              <w:lef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各区县市人民政府、</w:t>
            </w:r>
            <w:r>
              <w:rPr>
                <w:rFonts w:hint="eastAsia" w:ascii="仿宋_GB2312" w:hAnsi="宋体" w:eastAsia="仿宋_GB2312"/>
                <w:bCs/>
                <w:color w:val="000000"/>
                <w:kern w:val="0"/>
                <w:szCs w:val="21"/>
              </w:rPr>
              <w:t>各工业园区管委会、</w:t>
            </w:r>
            <w:r>
              <w:rPr>
                <w:rFonts w:hint="eastAsia" w:ascii="仿宋_GB2312" w:hAnsi="宋体" w:eastAsia="仿宋_GB2312"/>
                <w:color w:val="000000"/>
                <w:kern w:val="0"/>
                <w:szCs w:val="21"/>
              </w:rPr>
              <w:t>市住建局、市工信局、市应急管理局</w:t>
            </w:r>
          </w:p>
        </w:tc>
        <w:tc>
          <w:tcPr>
            <w:tcW w:w="1843" w:type="dxa"/>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2021年12月底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08" w:hRule="atLeast"/>
        </w:trPr>
        <w:tc>
          <w:tcPr>
            <w:tcW w:w="850"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6</w:t>
            </w:r>
          </w:p>
        </w:tc>
        <w:tc>
          <w:tcPr>
            <w:tcW w:w="6691" w:type="dxa"/>
            <w:noWrap w:val="0"/>
            <w:vAlign w:val="top"/>
          </w:tcPr>
          <w:p>
            <w:pPr>
              <w:spacing w:line="34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严格落实企业安全防护距离相关标准规范要求，综合考虑主导风向、地势高低落差、企业之间的相互影响，统筹企业类型、物资供应、公用设施保障、应急救援等因素，编制国土空间详细规划，合理布置企业分区。严格执行有关标准规范，禁止在危险化学品企业外部安全防护距离内布局劳动密集型企业、人员密集场所。对园区内外部安全防护距离不符合要求的企业，要制定整改方案，实施改造、搬迁、退出等措施。</w:t>
            </w:r>
          </w:p>
        </w:tc>
        <w:tc>
          <w:tcPr>
            <w:tcW w:w="2127"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bCs/>
                <w:color w:val="000000"/>
                <w:kern w:val="0"/>
                <w:szCs w:val="21"/>
              </w:rPr>
              <w:t>各区县市人民政府</w:t>
            </w:r>
          </w:p>
        </w:tc>
        <w:tc>
          <w:tcPr>
            <w:tcW w:w="2551" w:type="dxa"/>
            <w:tcBorders>
              <w:lef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bCs/>
                <w:color w:val="000000"/>
                <w:kern w:val="0"/>
                <w:szCs w:val="21"/>
              </w:rPr>
              <w:t>各工业园区管委会、</w:t>
            </w:r>
            <w:r>
              <w:rPr>
                <w:rFonts w:hint="eastAsia" w:ascii="仿宋_GB2312" w:hAnsi="宋体" w:eastAsia="仿宋_GB2312"/>
                <w:color w:val="000000"/>
                <w:kern w:val="0"/>
                <w:szCs w:val="21"/>
              </w:rPr>
              <w:t>市自然资源和规划局、市发展改革委、市工信局、市应急管理局</w:t>
            </w:r>
          </w:p>
        </w:tc>
        <w:tc>
          <w:tcPr>
            <w:tcW w:w="1843" w:type="dxa"/>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2021年12月底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7</w:t>
            </w:r>
          </w:p>
        </w:tc>
        <w:tc>
          <w:tcPr>
            <w:tcW w:w="6691" w:type="dxa"/>
            <w:noWrap w:val="0"/>
            <w:vAlign w:val="center"/>
          </w:tcPr>
          <w:p>
            <w:pPr>
              <w:spacing w:line="34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要结合园区产业特点，统筹考虑产业发展、安全生产、公用设施、物流输送、维修服务、应急救援等各方面的需求，以有利于安全生产为原则，完善水、电、气、风、污水处理、公用管廊、道路交通、应急救援设施、消防设施、消防车道等公用工程配套和安全保障设施。</w:t>
            </w:r>
          </w:p>
        </w:tc>
        <w:tc>
          <w:tcPr>
            <w:tcW w:w="2127"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bCs/>
                <w:color w:val="000000"/>
                <w:kern w:val="0"/>
                <w:szCs w:val="21"/>
              </w:rPr>
              <w:t>各区县市人民政府</w:t>
            </w:r>
          </w:p>
        </w:tc>
        <w:tc>
          <w:tcPr>
            <w:tcW w:w="2551" w:type="dxa"/>
            <w:tcBorders>
              <w:lef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bCs/>
                <w:color w:val="000000"/>
                <w:kern w:val="0"/>
                <w:szCs w:val="21"/>
              </w:rPr>
              <w:t>各工业园区管委会、</w:t>
            </w:r>
            <w:r>
              <w:rPr>
                <w:rFonts w:hint="eastAsia" w:ascii="仿宋_GB2312" w:hAnsi="宋体" w:eastAsia="仿宋_GB2312"/>
                <w:color w:val="000000"/>
                <w:kern w:val="0"/>
                <w:szCs w:val="21"/>
              </w:rPr>
              <w:t>市发展改革委、市工信局、市交通运输局、市自然资源和规划局、市应急管理局</w:t>
            </w:r>
          </w:p>
        </w:tc>
        <w:tc>
          <w:tcPr>
            <w:tcW w:w="1843" w:type="dxa"/>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2021年12月底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8</w:t>
            </w:r>
          </w:p>
        </w:tc>
        <w:tc>
          <w:tcPr>
            <w:tcW w:w="6691" w:type="dxa"/>
            <w:noWrap w:val="0"/>
            <w:vAlign w:val="center"/>
          </w:tcPr>
          <w:p>
            <w:pPr>
              <w:spacing w:line="340" w:lineRule="exact"/>
              <w:jc w:val="left"/>
              <w:rPr>
                <w:rFonts w:hint="eastAsia" w:ascii="仿宋_GB2312" w:hAnsi="宋体" w:eastAsia="仿宋_GB2312"/>
                <w:color w:val="000000"/>
                <w:kern w:val="0"/>
                <w:szCs w:val="21"/>
              </w:rPr>
            </w:pPr>
            <w:r>
              <w:rPr>
                <w:rFonts w:hint="eastAsia" w:ascii="仿宋_GB2312" w:hAnsi="宋体" w:eastAsia="仿宋_GB2312"/>
                <w:color w:val="000000"/>
                <w:kern w:val="0"/>
                <w:szCs w:val="21"/>
              </w:rPr>
              <w:t>树立园区整体安全风险意识，组织开展园区整体性安全风险评估，确定安全容量，实施总量控制，提出消除、降低、控制安全风险的对策措施。已建成投用的园区每5年至少组织开展一次园区整体性安全风险评估，细化行业企业评估办法，突出园区重大安全风险防控，防止产生“多米诺”效应。</w:t>
            </w:r>
          </w:p>
        </w:tc>
        <w:tc>
          <w:tcPr>
            <w:tcW w:w="2127"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各区县市人民政府</w:t>
            </w:r>
          </w:p>
        </w:tc>
        <w:tc>
          <w:tcPr>
            <w:tcW w:w="2551" w:type="dxa"/>
            <w:tcBorders>
              <w:lef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bCs/>
                <w:color w:val="000000"/>
                <w:kern w:val="0"/>
                <w:szCs w:val="21"/>
              </w:rPr>
              <w:t>各工业园区管委会、</w:t>
            </w:r>
            <w:r>
              <w:rPr>
                <w:rFonts w:hint="eastAsia" w:ascii="仿宋_GB2312" w:hAnsi="宋体" w:eastAsia="仿宋_GB2312"/>
                <w:color w:val="000000"/>
                <w:kern w:val="0"/>
                <w:szCs w:val="21"/>
              </w:rPr>
              <w:t>市发展改革委、市工信局、市应急管理局、市交通运输局、市消防救援支队、市生态环境局、市自然资源和规划局</w:t>
            </w:r>
          </w:p>
        </w:tc>
        <w:tc>
          <w:tcPr>
            <w:tcW w:w="1843" w:type="dxa"/>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2021年12月底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9</w:t>
            </w:r>
          </w:p>
        </w:tc>
        <w:tc>
          <w:tcPr>
            <w:tcW w:w="6691" w:type="dxa"/>
            <w:noWrap w:val="0"/>
            <w:vAlign w:val="top"/>
          </w:tcPr>
          <w:p>
            <w:pPr>
              <w:spacing w:line="34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督促企业建立健全全员参与的安全风险分级管控和隐患排查治理工作机制，认真开展安全风险摸排、辨识和隐患排查治理，精准排查治理生产装置、生产工艺、设备管线等方面的泄漏爆炸风险隐患，确保各类安全隐患能够及时发现、及时整改。建立各部门、各单位共同参与的公共设施安全隐患排查治理机制，定期组织安全隐患排查治理，保障园区各类公共设施安全运转。</w:t>
            </w:r>
          </w:p>
        </w:tc>
        <w:tc>
          <w:tcPr>
            <w:tcW w:w="2127"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各区县市人民政府</w:t>
            </w:r>
          </w:p>
        </w:tc>
        <w:tc>
          <w:tcPr>
            <w:tcW w:w="2551" w:type="dxa"/>
            <w:tcBorders>
              <w:left w:val="single" w:color="auto" w:sz="4" w:space="0"/>
            </w:tcBorders>
            <w:noWrap w:val="0"/>
            <w:vAlign w:val="center"/>
          </w:tcPr>
          <w:p>
            <w:pPr>
              <w:spacing w:line="340" w:lineRule="exact"/>
              <w:rPr>
                <w:rFonts w:hint="eastAsia" w:ascii="仿宋_GB2312" w:hAnsi="宋体" w:eastAsia="仿宋_GB2312"/>
                <w:color w:val="000000"/>
                <w:kern w:val="0"/>
                <w:szCs w:val="21"/>
              </w:rPr>
            </w:pPr>
            <w:r>
              <w:rPr>
                <w:rFonts w:hint="eastAsia" w:ascii="仿宋_GB2312" w:hAnsi="宋体" w:eastAsia="仿宋_GB2312"/>
                <w:bCs/>
                <w:color w:val="000000"/>
                <w:kern w:val="0"/>
                <w:szCs w:val="21"/>
              </w:rPr>
              <w:t>各工业园区管委会、</w:t>
            </w:r>
            <w:r>
              <w:rPr>
                <w:rFonts w:hint="eastAsia" w:ascii="仿宋_GB2312" w:hAnsi="宋体" w:eastAsia="仿宋_GB2312"/>
                <w:color w:val="000000"/>
                <w:kern w:val="0"/>
                <w:szCs w:val="21"/>
              </w:rPr>
              <w:t>市工信局、市应急管理局、市消防救援支队、市交通运输局</w:t>
            </w:r>
          </w:p>
        </w:tc>
        <w:tc>
          <w:tcPr>
            <w:tcW w:w="1843" w:type="dxa"/>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0" w:hRule="atLeast"/>
        </w:trPr>
        <w:tc>
          <w:tcPr>
            <w:tcW w:w="850"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10</w:t>
            </w:r>
          </w:p>
        </w:tc>
        <w:tc>
          <w:tcPr>
            <w:tcW w:w="6691" w:type="dxa"/>
            <w:noWrap w:val="0"/>
            <w:vAlign w:val="top"/>
          </w:tcPr>
          <w:p>
            <w:pPr>
              <w:spacing w:line="34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结合工业园区内企业类型，深刻吸取近年来重特大事故教训，针对性的开展涉爆粉尘、液氨制冷、危险化学品停车场、建设施工、受（有）限空间作业等专项治理，实行挂牌督办、督促整改等措施，坚决消除重大安全隐患。对不具备《安全生产法》和其他有关法律、行政法规和国家标准或者行业标准规定的安全生产条件，经停产停业整顿仍不具备安全生产条件的，予以关闭；有关部门应当依法吊销其有关证照。</w:t>
            </w:r>
          </w:p>
        </w:tc>
        <w:tc>
          <w:tcPr>
            <w:tcW w:w="2127" w:type="dxa"/>
            <w:tcBorders>
              <w:righ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各区县市人民政府</w:t>
            </w:r>
          </w:p>
        </w:tc>
        <w:tc>
          <w:tcPr>
            <w:tcW w:w="2551" w:type="dxa"/>
            <w:tcBorders>
              <w:lef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bCs/>
                <w:color w:val="000000"/>
                <w:kern w:val="0"/>
                <w:szCs w:val="21"/>
              </w:rPr>
              <w:t>各工业园区管委会、</w:t>
            </w:r>
            <w:r>
              <w:rPr>
                <w:rFonts w:hint="eastAsia" w:ascii="仿宋_GB2312" w:hAnsi="宋体" w:eastAsia="仿宋_GB2312"/>
                <w:color w:val="000000"/>
                <w:kern w:val="0"/>
                <w:szCs w:val="21"/>
              </w:rPr>
              <w:t>市工信局、市交通运输局、市住建局、市应急管理局、市市场监管局</w:t>
            </w:r>
          </w:p>
        </w:tc>
        <w:tc>
          <w:tcPr>
            <w:tcW w:w="1843" w:type="dxa"/>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2021年12月底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11</w:t>
            </w:r>
          </w:p>
        </w:tc>
        <w:tc>
          <w:tcPr>
            <w:tcW w:w="6691" w:type="dxa"/>
            <w:noWrap w:val="0"/>
            <w:vAlign w:val="top"/>
          </w:tcPr>
          <w:p>
            <w:pPr>
              <w:spacing w:line="32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工业园区要建立完善承包商入园作业管理制度，对进入园区施工、检维修及提供专业技术服务等作业的承包商进行记录，实施诚信管理；强化日常监督检查，督促企业加强对承包商作业的现场安全管理，落实安全防护措施。</w:t>
            </w:r>
          </w:p>
        </w:tc>
        <w:tc>
          <w:tcPr>
            <w:tcW w:w="2127" w:type="dxa"/>
            <w:tcBorders>
              <w:righ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各区县市人民政府</w:t>
            </w:r>
          </w:p>
        </w:tc>
        <w:tc>
          <w:tcPr>
            <w:tcW w:w="2551" w:type="dxa"/>
            <w:tcBorders>
              <w:lef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bCs/>
                <w:color w:val="000000"/>
                <w:kern w:val="0"/>
                <w:szCs w:val="21"/>
              </w:rPr>
              <w:t>各工业园区管委会、</w:t>
            </w:r>
            <w:r>
              <w:rPr>
                <w:rFonts w:hint="eastAsia" w:ascii="仿宋_GB2312" w:hAnsi="宋体" w:eastAsia="仿宋_GB2312"/>
                <w:color w:val="000000"/>
                <w:kern w:val="0"/>
                <w:szCs w:val="21"/>
              </w:rPr>
              <w:t>市住建局</w:t>
            </w:r>
          </w:p>
        </w:tc>
        <w:tc>
          <w:tcPr>
            <w:tcW w:w="1843" w:type="dxa"/>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2021年12月底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4" w:hRule="atLeast"/>
        </w:trPr>
        <w:tc>
          <w:tcPr>
            <w:tcW w:w="850"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12</w:t>
            </w:r>
          </w:p>
        </w:tc>
        <w:tc>
          <w:tcPr>
            <w:tcW w:w="6691" w:type="dxa"/>
            <w:noWrap w:val="0"/>
            <w:vAlign w:val="top"/>
          </w:tcPr>
          <w:p>
            <w:pPr>
              <w:spacing w:line="32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按照“分类控制、分级管理、分步实施”的要求，结合园区产业结构、产业链特点、安全风险类型等实际情况，通过采取园区门禁系统、视频监控系统等手段，逐步推进园区封闭化管理，严格控制人员、车辆进出。对当前无法实施整体封闭化管理的园区，要创造条件优先对园区内高风险功能区实施封闭化管理。</w:t>
            </w:r>
          </w:p>
        </w:tc>
        <w:tc>
          <w:tcPr>
            <w:tcW w:w="2127" w:type="dxa"/>
            <w:tcBorders>
              <w:righ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各区县市人民政府</w:t>
            </w:r>
          </w:p>
        </w:tc>
        <w:tc>
          <w:tcPr>
            <w:tcW w:w="2551" w:type="dxa"/>
            <w:tcBorders>
              <w:lef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bCs/>
                <w:color w:val="000000"/>
                <w:kern w:val="0"/>
                <w:szCs w:val="21"/>
              </w:rPr>
              <w:t>各工业园区管委会、市发展改革委、</w:t>
            </w:r>
            <w:r>
              <w:rPr>
                <w:rFonts w:hint="eastAsia" w:ascii="仿宋_GB2312" w:hAnsi="宋体" w:eastAsia="仿宋_GB2312"/>
                <w:color w:val="000000"/>
                <w:kern w:val="0"/>
                <w:szCs w:val="21"/>
              </w:rPr>
              <w:t>市工信局、市应急管理局</w:t>
            </w:r>
          </w:p>
        </w:tc>
        <w:tc>
          <w:tcPr>
            <w:tcW w:w="1843" w:type="dxa"/>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13</w:t>
            </w:r>
          </w:p>
        </w:tc>
        <w:tc>
          <w:tcPr>
            <w:tcW w:w="6691" w:type="dxa"/>
            <w:noWrap w:val="0"/>
            <w:vAlign w:val="top"/>
          </w:tcPr>
          <w:p>
            <w:pPr>
              <w:spacing w:line="32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要按照《化工园区安全风险排查治理导则（试行）》（应急〔2019〕78号）要求，全面完成化工园区安全风险评估分级，评估为A级（高安全风险）的，原则上不得批准新、改、扩建危险化学品建设项目（安全、环保水平技改提升类项目除外），限期整改提升，2021年底前仍为A级的要关闭退出；评估为B级（较高安全风险）的，原则上要限制新、改、扩建危险化学品建设项目，2022年底前仍未达到C级（一般安全风险）或D级（较低安全风险）的要予以取消化工园区定位。</w:t>
            </w:r>
          </w:p>
        </w:tc>
        <w:tc>
          <w:tcPr>
            <w:tcW w:w="2127" w:type="dxa"/>
            <w:tcBorders>
              <w:righ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市应急管理局</w:t>
            </w:r>
          </w:p>
        </w:tc>
        <w:tc>
          <w:tcPr>
            <w:tcW w:w="2551" w:type="dxa"/>
            <w:tcBorders>
              <w:lef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各区县市人民政府、</w:t>
            </w:r>
            <w:r>
              <w:rPr>
                <w:rFonts w:hint="eastAsia" w:ascii="仿宋_GB2312" w:hAnsi="宋体" w:eastAsia="仿宋_GB2312"/>
                <w:bCs/>
                <w:color w:val="000000"/>
                <w:kern w:val="0"/>
                <w:szCs w:val="21"/>
              </w:rPr>
              <w:t>各工业园区管委会、</w:t>
            </w:r>
            <w:r>
              <w:rPr>
                <w:rFonts w:hint="eastAsia" w:ascii="仿宋_GB2312" w:hAnsi="宋体" w:eastAsia="仿宋_GB2312"/>
                <w:color w:val="000000"/>
                <w:kern w:val="0"/>
                <w:szCs w:val="21"/>
              </w:rPr>
              <w:t>市发展改革委、市工信局、市生态环境局</w:t>
            </w:r>
          </w:p>
        </w:tc>
        <w:tc>
          <w:tcPr>
            <w:tcW w:w="1843" w:type="dxa"/>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14</w:t>
            </w:r>
          </w:p>
        </w:tc>
        <w:tc>
          <w:tcPr>
            <w:tcW w:w="6691" w:type="dxa"/>
            <w:noWrap w:val="0"/>
            <w:vAlign w:val="top"/>
          </w:tcPr>
          <w:p>
            <w:pPr>
              <w:spacing w:line="32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重点强化高温熔融金属、冶金煤气、深井铸造等重点领域执法检查，严格金属冶炼建设项目安全设施设计审查备案，推动企业健全安全风险管控和隐患排查治理机制，聚焦重大安全风险和安全隐患，有效消除违法行为；推动企业采取设备升级改造、自动化控制、联锁、机械防护和能量隔离等手段，提高本质安全水平；推动企业加强应急管理，规范设置紧急排放和应急储存设施，完善应急预案，提升应急处置能力。</w:t>
            </w:r>
          </w:p>
        </w:tc>
        <w:tc>
          <w:tcPr>
            <w:tcW w:w="2127" w:type="dxa"/>
            <w:tcBorders>
              <w:righ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各区县市人民政府</w:t>
            </w:r>
          </w:p>
        </w:tc>
        <w:tc>
          <w:tcPr>
            <w:tcW w:w="2551" w:type="dxa"/>
            <w:tcBorders>
              <w:lef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bCs/>
                <w:color w:val="000000"/>
                <w:kern w:val="0"/>
                <w:szCs w:val="21"/>
              </w:rPr>
              <w:t>各工业园区管委会、</w:t>
            </w:r>
            <w:r>
              <w:rPr>
                <w:rFonts w:hint="eastAsia" w:ascii="仿宋_GB2312" w:hAnsi="宋体" w:eastAsia="仿宋_GB2312"/>
                <w:color w:val="000000"/>
                <w:kern w:val="0"/>
                <w:szCs w:val="21"/>
              </w:rPr>
              <w:t>市发展改革委、市工信局、市生态环境局、市应急管理局</w:t>
            </w:r>
          </w:p>
        </w:tc>
        <w:tc>
          <w:tcPr>
            <w:tcW w:w="1843" w:type="dxa"/>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2021年12月底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15</w:t>
            </w:r>
          </w:p>
        </w:tc>
        <w:tc>
          <w:tcPr>
            <w:tcW w:w="6691" w:type="dxa"/>
            <w:noWrap w:val="0"/>
            <w:vAlign w:val="top"/>
          </w:tcPr>
          <w:p>
            <w:pPr>
              <w:spacing w:line="32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要深刻吸取近年来仓储物流园区发生的事故教训，对危险化学品、烟花爆竹、涉氨制冷剂等易燃易爆、有毒有害物品储存仓库，要及时全面排查安全隐患，对检查发现存在重大安全隐患或安全隐患整改不力的，依法依规严肃处理。进一步加强仓储物流区域危险货物运输车辆及装卸管理，采用建立危险化学品专用停车场、专用车道、限时限速等措施，严格装卸作业操作流程，加强对专用停车场、专用车道安全管控，确保运输安全。</w:t>
            </w:r>
          </w:p>
        </w:tc>
        <w:tc>
          <w:tcPr>
            <w:tcW w:w="2127" w:type="dxa"/>
            <w:tcBorders>
              <w:righ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各区县市人民政府</w:t>
            </w:r>
          </w:p>
        </w:tc>
        <w:tc>
          <w:tcPr>
            <w:tcW w:w="2551" w:type="dxa"/>
            <w:tcBorders>
              <w:lef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bCs/>
                <w:color w:val="000000"/>
                <w:kern w:val="0"/>
                <w:szCs w:val="21"/>
              </w:rPr>
              <w:t>各工业园区管委会、</w:t>
            </w:r>
            <w:r>
              <w:rPr>
                <w:rFonts w:hint="eastAsia" w:ascii="仿宋_GB2312" w:hAnsi="宋体" w:eastAsia="仿宋_GB2312"/>
                <w:color w:val="000000"/>
                <w:kern w:val="0"/>
                <w:szCs w:val="21"/>
              </w:rPr>
              <w:t>市交通运输局、市工信局、市应急管理局</w:t>
            </w:r>
          </w:p>
        </w:tc>
        <w:tc>
          <w:tcPr>
            <w:tcW w:w="1843" w:type="dxa"/>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2021年12月底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0"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16</w:t>
            </w:r>
          </w:p>
        </w:tc>
        <w:tc>
          <w:tcPr>
            <w:tcW w:w="6691" w:type="dxa"/>
            <w:noWrap w:val="0"/>
            <w:vAlign w:val="top"/>
          </w:tcPr>
          <w:p>
            <w:pPr>
              <w:spacing w:line="30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要深刻吸取天津港“8</w:t>
            </w:r>
            <w:r>
              <w:rPr>
                <w:rFonts w:hint="eastAsia" w:ascii="仿宋_GB2312" w:hAnsi="宋体" w:cs="宋体"/>
                <w:color w:val="000000"/>
                <w:kern w:val="0"/>
                <w:szCs w:val="21"/>
              </w:rPr>
              <w:t>•</w:t>
            </w:r>
            <w:r>
              <w:rPr>
                <w:rFonts w:hint="eastAsia" w:ascii="仿宋_GB2312" w:hAnsi="宋体" w:eastAsia="仿宋_GB2312"/>
                <w:color w:val="000000"/>
                <w:kern w:val="0"/>
                <w:szCs w:val="21"/>
              </w:rPr>
              <w:t>12”瑞海公司危险品仓库特别重大火灾爆炸事故教训，理顺港口安全管理体制，明确有关部门安全监管职责，加强信息共享和部门联动配合，严防失控漏管；根据危险货物的性质分类储存，严格限定危险货物周转总量。突出加强对水运港口口岸区域安全监督，强化口岸港政、海关、海事等部门的监管协作和信息通报制度，综合保障进出口危险货物安全高效运行。</w:t>
            </w:r>
          </w:p>
        </w:tc>
        <w:tc>
          <w:tcPr>
            <w:tcW w:w="2127" w:type="dxa"/>
            <w:tcBorders>
              <w:righ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各区县市人民政府</w:t>
            </w:r>
          </w:p>
        </w:tc>
        <w:tc>
          <w:tcPr>
            <w:tcW w:w="2551" w:type="dxa"/>
            <w:tcBorders>
              <w:lef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各工业园区管委会、市交通运输局、市工信局、市应急管理局</w:t>
            </w:r>
          </w:p>
        </w:tc>
        <w:tc>
          <w:tcPr>
            <w:tcW w:w="1843" w:type="dxa"/>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2021年12月底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1" w:hRule="atLeast"/>
        </w:trPr>
        <w:tc>
          <w:tcPr>
            <w:tcW w:w="850"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17</w:t>
            </w:r>
          </w:p>
        </w:tc>
        <w:tc>
          <w:tcPr>
            <w:tcW w:w="6691" w:type="dxa"/>
            <w:noWrap w:val="0"/>
            <w:vAlign w:val="top"/>
          </w:tcPr>
          <w:p>
            <w:pPr>
              <w:spacing w:line="32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园区要结合产业特点，以对园区安全作出准确、高效的智能响应为目标，采用“互联网十产业”模式，综合利用电子标签、大数据、人工智能等技术，推进智慧园区建设，建立园区集约化可视化安全监管信息共享平台，定期进行安全风险分析，实现对园区内企业、重点场所、重大危险源、基础设施安全风险监控预警。</w:t>
            </w:r>
          </w:p>
        </w:tc>
        <w:tc>
          <w:tcPr>
            <w:tcW w:w="2127" w:type="dxa"/>
            <w:tcBorders>
              <w:righ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各区县市人民政府</w:t>
            </w:r>
          </w:p>
        </w:tc>
        <w:tc>
          <w:tcPr>
            <w:tcW w:w="2551" w:type="dxa"/>
            <w:tcBorders>
              <w:lef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各工业园区管委会、市工信局、市发展改革委、市应急管理局</w:t>
            </w:r>
          </w:p>
        </w:tc>
        <w:tc>
          <w:tcPr>
            <w:tcW w:w="1843" w:type="dxa"/>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2022年12月底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7" w:hRule="atLeast"/>
        </w:trPr>
        <w:tc>
          <w:tcPr>
            <w:tcW w:w="850" w:type="dxa"/>
            <w:tcBorders>
              <w:right w:val="single" w:color="auto" w:sz="4" w:space="0"/>
            </w:tcBorders>
            <w:noWrap w:val="0"/>
            <w:vAlign w:val="center"/>
          </w:tcPr>
          <w:p>
            <w:pPr>
              <w:spacing w:line="380" w:lineRule="exact"/>
              <w:jc w:val="center"/>
              <w:rPr>
                <w:rFonts w:hint="eastAsia" w:ascii="仿宋_GB2312" w:hAnsi="宋体" w:eastAsia="仿宋_GB2312"/>
                <w:color w:val="000000"/>
                <w:kern w:val="0"/>
                <w:szCs w:val="21"/>
              </w:rPr>
            </w:pPr>
            <w:r>
              <w:rPr>
                <w:rFonts w:hint="eastAsia" w:ascii="仿宋_GB2312" w:hAnsi="宋体" w:eastAsia="仿宋_GB2312"/>
                <w:color w:val="000000"/>
                <w:kern w:val="0"/>
                <w:szCs w:val="21"/>
              </w:rPr>
              <w:t>18</w:t>
            </w:r>
          </w:p>
        </w:tc>
        <w:tc>
          <w:tcPr>
            <w:tcW w:w="6691" w:type="dxa"/>
            <w:noWrap w:val="0"/>
            <w:vAlign w:val="top"/>
          </w:tcPr>
          <w:p>
            <w:pPr>
              <w:spacing w:line="32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工业园区要全面掌握本园区及本园区内企业应急相关信息，健全完善园区应急预案体系，定期检查企业应急准备工作开展情况，统筹园区应急救援力量并强化演练，与园区周边重点应急救援力量建立应急联动机制，建立健全公共应急物资储备保障制度，明确应急管理的分级响应制度和程序，做到应急救援统一指挥、反应灵敏、安全高效。</w:t>
            </w:r>
          </w:p>
        </w:tc>
        <w:tc>
          <w:tcPr>
            <w:tcW w:w="2127" w:type="dxa"/>
            <w:tcBorders>
              <w:righ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各区县市人民政府</w:t>
            </w:r>
          </w:p>
        </w:tc>
        <w:tc>
          <w:tcPr>
            <w:tcW w:w="2551" w:type="dxa"/>
            <w:tcBorders>
              <w:left w:val="single" w:color="auto" w:sz="4" w:space="0"/>
            </w:tcBorders>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各工业园区管委会、市应急管理局、市工信局、市消防救援支队</w:t>
            </w:r>
          </w:p>
        </w:tc>
        <w:tc>
          <w:tcPr>
            <w:tcW w:w="1843" w:type="dxa"/>
            <w:noWrap w:val="0"/>
            <w:vAlign w:val="center"/>
          </w:tcPr>
          <w:p>
            <w:pPr>
              <w:spacing w:line="38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2022年12月底</w:t>
            </w:r>
          </w:p>
        </w:tc>
      </w:tr>
    </w:tbl>
    <w:p>
      <w:pPr>
        <w:rPr>
          <w:rFonts w:ascii="宋体" w:hAnsi="宋体"/>
          <w:color w:val="000000"/>
        </w:rPr>
        <w:sectPr>
          <w:pgSz w:w="16838" w:h="11906" w:orient="landscape"/>
          <w:pgMar w:top="1520" w:right="2064" w:bottom="1406" w:left="1383" w:header="851" w:footer="992" w:gutter="0"/>
          <w:pgNumType w:fmt="numberInDash"/>
          <w:cols w:space="720" w:num="1"/>
          <w:docGrid w:type="linesAndChars" w:linePitch="312" w:charSpace="0"/>
        </w:sectPr>
      </w:pPr>
    </w:p>
    <w:tbl>
      <w:tblPr>
        <w:tblStyle w:val="4"/>
        <w:tblW w:w="13864" w:type="dxa"/>
        <w:tblInd w:w="-431" w:type="dxa"/>
        <w:tblLayout w:type="fixed"/>
        <w:tblCellMar>
          <w:top w:w="0" w:type="dxa"/>
          <w:left w:w="108" w:type="dxa"/>
          <w:bottom w:w="0" w:type="dxa"/>
          <w:right w:w="108" w:type="dxa"/>
        </w:tblCellMar>
      </w:tblPr>
      <w:tblGrid>
        <w:gridCol w:w="1532"/>
        <w:gridCol w:w="94"/>
        <w:gridCol w:w="7103"/>
        <w:gridCol w:w="1166"/>
        <w:gridCol w:w="2390"/>
        <w:gridCol w:w="1579"/>
      </w:tblGrid>
      <w:tr>
        <w:tblPrEx>
          <w:tblCellMar>
            <w:top w:w="0" w:type="dxa"/>
            <w:left w:w="108" w:type="dxa"/>
            <w:bottom w:w="0" w:type="dxa"/>
            <w:right w:w="108" w:type="dxa"/>
          </w:tblCellMar>
        </w:tblPrEx>
        <w:trPr>
          <w:trHeight w:val="1776" w:hRule="atLeast"/>
        </w:trPr>
        <w:tc>
          <w:tcPr>
            <w:tcW w:w="13864" w:type="dxa"/>
            <w:gridSpan w:val="6"/>
            <w:tcBorders>
              <w:top w:val="nil"/>
              <w:bottom w:val="single" w:color="auto" w:sz="4" w:space="0"/>
            </w:tcBorders>
            <w:noWrap w:val="0"/>
            <w:vAlign w:val="center"/>
          </w:tcPr>
          <w:p>
            <w:pPr>
              <w:pStyle w:val="3"/>
              <w:widowControl w:val="0"/>
              <w:shd w:val="clear" w:color="auto" w:fill="FFFFFF"/>
              <w:adjustRightInd w:val="0"/>
              <w:snapToGrid w:val="0"/>
              <w:spacing w:before="0" w:beforeAutospacing="0" w:after="0" w:afterAutospacing="0" w:line="560" w:lineRule="exact"/>
              <w:jc w:val="center"/>
              <w:rPr>
                <w:rFonts w:ascii="方正小标宋简体" w:hAnsi="方正小标宋简体" w:eastAsia="方正小标宋简体" w:cs="Times New Roman"/>
                <w:color w:val="000000"/>
                <w:spacing w:val="-20"/>
                <w:sz w:val="44"/>
                <w:szCs w:val="44"/>
              </w:rPr>
            </w:pPr>
            <w:r>
              <w:rPr>
                <w:rStyle w:val="6"/>
                <w:rFonts w:hint="eastAsia" w:ascii="方正小标宋简体" w:hAnsi="方正小标宋简体" w:eastAsia="方正小标宋简体"/>
                <w:b w:val="0"/>
                <w:bCs w:val="0"/>
                <w:color w:val="000000"/>
                <w:spacing w:val="-20"/>
                <w:sz w:val="44"/>
                <w:szCs w:val="44"/>
              </w:rPr>
              <w:t>常德市危险废物等安全专项整治</w:t>
            </w:r>
            <w:r>
              <w:rPr>
                <w:rFonts w:hint="eastAsia" w:ascii="方正小标宋简体" w:eastAsia="方正小标宋简体"/>
                <w:color w:val="000000"/>
                <w:spacing w:val="-20"/>
                <w:sz w:val="44"/>
                <w:szCs w:val="44"/>
              </w:rPr>
              <w:t>三年行动实施方案重点任务分解表（十一）</w:t>
            </w:r>
          </w:p>
        </w:tc>
      </w:tr>
      <w:tr>
        <w:tblPrEx>
          <w:tblCellMar>
            <w:top w:w="0" w:type="dxa"/>
            <w:left w:w="108" w:type="dxa"/>
            <w:bottom w:w="0" w:type="dxa"/>
            <w:right w:w="108" w:type="dxa"/>
          </w:tblCellMar>
        </w:tblPrEx>
        <w:trPr>
          <w:trHeight w:val="630" w:hRule="atLeast"/>
        </w:trPr>
        <w:tc>
          <w:tcPr>
            <w:tcW w:w="1532" w:type="dxa"/>
            <w:tcBorders>
              <w:top w:val="nil"/>
              <w:left w:val="single" w:color="auto" w:sz="4" w:space="0"/>
              <w:bottom w:val="single" w:color="auto" w:sz="4" w:space="0"/>
              <w:right w:val="single" w:color="auto" w:sz="4" w:space="0"/>
            </w:tcBorders>
            <w:noWrap w:val="0"/>
            <w:vAlign w:val="center"/>
          </w:tcPr>
          <w:p>
            <w:pPr>
              <w:jc w:val="center"/>
              <w:rPr>
                <w:rFonts w:ascii="仿宋_GB2312" w:hAnsi="Courier New" w:eastAsia="仿宋_GB2312" w:cs="Courier New"/>
                <w:b/>
                <w:color w:val="000000"/>
                <w:szCs w:val="21"/>
              </w:rPr>
            </w:pPr>
            <w:r>
              <w:rPr>
                <w:rFonts w:hint="eastAsia" w:ascii="仿宋_GB2312" w:hAnsi="Courier New" w:eastAsia="仿宋_GB2312" w:cs="Courier New"/>
                <w:b/>
                <w:color w:val="000000"/>
                <w:szCs w:val="21"/>
              </w:rPr>
              <w:t>序号</w:t>
            </w:r>
          </w:p>
          <w:p>
            <w:pPr>
              <w:jc w:val="center"/>
              <w:rPr>
                <w:rFonts w:hint="eastAsia" w:ascii="仿宋_GB2312" w:hAnsi="Courier New" w:eastAsia="仿宋_GB2312" w:cs="Courier New"/>
                <w:b/>
                <w:color w:val="000000"/>
                <w:szCs w:val="21"/>
              </w:rPr>
            </w:pPr>
          </w:p>
        </w:tc>
        <w:tc>
          <w:tcPr>
            <w:tcW w:w="7197" w:type="dxa"/>
            <w:gridSpan w:val="2"/>
            <w:tcBorders>
              <w:top w:val="nil"/>
              <w:left w:val="nil"/>
              <w:bottom w:val="single" w:color="auto" w:sz="4" w:space="0"/>
              <w:right w:val="single" w:color="auto" w:sz="4" w:space="0"/>
            </w:tcBorders>
            <w:noWrap w:val="0"/>
            <w:vAlign w:val="center"/>
          </w:tcPr>
          <w:p>
            <w:pPr>
              <w:jc w:val="center"/>
              <w:rPr>
                <w:rFonts w:hint="eastAsia" w:ascii="仿宋_GB2312" w:hAnsi="Courier New" w:eastAsia="仿宋_GB2312" w:cs="Courier New"/>
                <w:b/>
                <w:color w:val="000000"/>
                <w:szCs w:val="21"/>
              </w:rPr>
            </w:pPr>
            <w:r>
              <w:rPr>
                <w:rFonts w:hint="eastAsia" w:ascii="仿宋_GB2312" w:hAnsi="Courier New" w:eastAsia="仿宋_GB2312" w:cs="Courier New"/>
                <w:b/>
                <w:color w:val="000000"/>
                <w:szCs w:val="21"/>
              </w:rPr>
              <w:t>任务内容</w:t>
            </w:r>
          </w:p>
        </w:tc>
        <w:tc>
          <w:tcPr>
            <w:tcW w:w="1166" w:type="dxa"/>
            <w:tcBorders>
              <w:top w:val="nil"/>
              <w:left w:val="nil"/>
              <w:bottom w:val="single" w:color="auto" w:sz="4" w:space="0"/>
              <w:right w:val="single" w:color="auto" w:sz="4" w:space="0"/>
            </w:tcBorders>
            <w:noWrap w:val="0"/>
            <w:vAlign w:val="center"/>
          </w:tcPr>
          <w:p>
            <w:pPr>
              <w:jc w:val="center"/>
              <w:rPr>
                <w:rFonts w:hint="eastAsia" w:ascii="仿宋_GB2312" w:hAnsi="Courier New" w:eastAsia="仿宋_GB2312" w:cs="Courier New"/>
                <w:b/>
                <w:color w:val="000000"/>
                <w:szCs w:val="21"/>
              </w:rPr>
            </w:pPr>
            <w:r>
              <w:rPr>
                <w:rFonts w:hint="eastAsia" w:ascii="仿宋_GB2312" w:hAnsi="Courier New" w:eastAsia="仿宋_GB2312" w:cs="Courier New"/>
                <w:b/>
                <w:color w:val="000000"/>
                <w:szCs w:val="21"/>
              </w:rPr>
              <w:t>牵头单位</w:t>
            </w:r>
          </w:p>
        </w:tc>
        <w:tc>
          <w:tcPr>
            <w:tcW w:w="2390" w:type="dxa"/>
            <w:tcBorders>
              <w:top w:val="nil"/>
              <w:left w:val="nil"/>
              <w:bottom w:val="single" w:color="auto" w:sz="4" w:space="0"/>
              <w:right w:val="single" w:color="auto" w:sz="4" w:space="0"/>
            </w:tcBorders>
            <w:noWrap w:val="0"/>
            <w:vAlign w:val="center"/>
          </w:tcPr>
          <w:p>
            <w:pPr>
              <w:jc w:val="center"/>
              <w:rPr>
                <w:rFonts w:hint="eastAsia" w:ascii="仿宋_GB2312" w:hAnsi="Courier New" w:eastAsia="仿宋_GB2312" w:cs="Courier New"/>
                <w:b/>
                <w:color w:val="000000"/>
                <w:szCs w:val="21"/>
              </w:rPr>
            </w:pPr>
            <w:r>
              <w:rPr>
                <w:rFonts w:hint="eastAsia" w:ascii="仿宋_GB2312" w:hAnsi="Courier New" w:eastAsia="仿宋_GB2312" w:cs="Courier New"/>
                <w:b/>
                <w:color w:val="000000"/>
                <w:szCs w:val="21"/>
              </w:rPr>
              <w:t>配合单位</w:t>
            </w:r>
          </w:p>
        </w:tc>
        <w:tc>
          <w:tcPr>
            <w:tcW w:w="1579" w:type="dxa"/>
            <w:tcBorders>
              <w:top w:val="nil"/>
              <w:left w:val="nil"/>
              <w:bottom w:val="single" w:color="auto" w:sz="4" w:space="0"/>
              <w:right w:val="single" w:color="auto" w:sz="4" w:space="0"/>
            </w:tcBorders>
            <w:noWrap w:val="0"/>
            <w:vAlign w:val="center"/>
          </w:tcPr>
          <w:p>
            <w:pPr>
              <w:jc w:val="center"/>
              <w:rPr>
                <w:rFonts w:hint="eastAsia" w:ascii="仿宋_GB2312" w:hAnsi="Courier New" w:eastAsia="仿宋_GB2312" w:cs="Courier New"/>
                <w:b/>
                <w:color w:val="000000"/>
                <w:szCs w:val="21"/>
              </w:rPr>
            </w:pPr>
            <w:r>
              <w:rPr>
                <w:rFonts w:hint="eastAsia" w:ascii="仿宋_GB2312" w:hAnsi="Courier New" w:eastAsia="仿宋_GB2312" w:cs="Courier New"/>
                <w:b/>
                <w:color w:val="000000"/>
                <w:szCs w:val="21"/>
              </w:rPr>
              <w:t>完成时间</w:t>
            </w:r>
          </w:p>
        </w:tc>
      </w:tr>
      <w:tr>
        <w:tblPrEx>
          <w:tblCellMar>
            <w:top w:w="0" w:type="dxa"/>
            <w:left w:w="108" w:type="dxa"/>
            <w:bottom w:w="0" w:type="dxa"/>
            <w:right w:w="108" w:type="dxa"/>
          </w:tblCellMar>
        </w:tblPrEx>
        <w:trPr>
          <w:trHeight w:val="1987"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_GB2312" w:hAnsi="宋体" w:eastAsia="仿宋_GB2312" w:cs="Courier New"/>
                <w:color w:val="000000"/>
                <w:szCs w:val="21"/>
              </w:rPr>
            </w:pPr>
            <w:r>
              <w:rPr>
                <w:rFonts w:hint="eastAsia" w:ascii="仿宋_GB2312" w:hAnsi="宋体" w:eastAsia="仿宋_GB2312" w:cs="Courier New"/>
                <w:color w:val="000000"/>
                <w:szCs w:val="21"/>
              </w:rPr>
              <w:t>1</w:t>
            </w:r>
          </w:p>
          <w:p>
            <w:pPr>
              <w:spacing w:line="280" w:lineRule="exact"/>
              <w:jc w:val="center"/>
              <w:rPr>
                <w:rFonts w:hint="eastAsia" w:ascii="仿宋_GB2312" w:hAnsi="宋体" w:eastAsia="仿宋_GB2312" w:cs="Courier New"/>
                <w:color w:val="000000"/>
                <w:szCs w:val="21"/>
              </w:rPr>
            </w:pPr>
          </w:p>
        </w:tc>
        <w:tc>
          <w:tcPr>
            <w:tcW w:w="7197"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全面开展危险废物排查，督促相关单位建立规范化的危险废物清单台账，严格按照危险废物特性分类分区贮存，在收集、贮存、运输、处置危险废物的设施、场所设置危险废物识别标志；对属性不明的固体废物，按照《固体废物鉴别标准通则》（GB343302017）系列标准进行鉴别，并根据鉴别结果，严格落实贮存安全防范措施。</w:t>
            </w:r>
          </w:p>
        </w:tc>
        <w:tc>
          <w:tcPr>
            <w:tcW w:w="116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市生态环境局</w:t>
            </w:r>
          </w:p>
        </w:tc>
        <w:tc>
          <w:tcPr>
            <w:tcW w:w="239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市卫健委、市工信局、市应急管理局、市交通运输局、市公安局、市自然资源和规划局、市住建局、市市场监管局、市商务局</w:t>
            </w:r>
          </w:p>
        </w:tc>
        <w:tc>
          <w:tcPr>
            <w:tcW w:w="157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2020年12月31日</w:t>
            </w:r>
          </w:p>
        </w:tc>
      </w:tr>
      <w:tr>
        <w:tblPrEx>
          <w:tblCellMar>
            <w:top w:w="0" w:type="dxa"/>
            <w:left w:w="108" w:type="dxa"/>
            <w:bottom w:w="0" w:type="dxa"/>
            <w:right w:w="108" w:type="dxa"/>
          </w:tblCellMar>
        </w:tblPrEx>
        <w:trPr>
          <w:trHeight w:val="2959"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w:t>
            </w:r>
          </w:p>
        </w:tc>
        <w:tc>
          <w:tcPr>
            <w:tcW w:w="7197" w:type="dxa"/>
            <w:gridSpan w:val="2"/>
            <w:tcBorders>
              <w:top w:val="single" w:color="auto" w:sz="4" w:space="0"/>
              <w:left w:val="nil"/>
              <w:bottom w:val="single" w:color="auto" w:sz="4" w:space="0"/>
              <w:right w:val="single" w:color="auto" w:sz="4" w:space="0"/>
            </w:tcBorders>
            <w:noWrap w:val="0"/>
            <w:vAlign w:val="top"/>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分级分类建立危险废物规范化管理“四个清单”。产生危险废物的单位，严格按照国家法律法规的规定，制定危险废物管理计划，并向所在地县级以上环境保护主管部门申报危险废物的种类、产生量、流向、危险等级、贮存设施、自行利用处置设施或委托外单位利用处置方式等有关资料和信息；危险废物贮存不得超过一年，严禁将危险废物混入非危险废物中贮存。建立辖区危险废物产生单位清单、拥有危险废物自行利用处置设施单位清单和危险废物经营单位清单，并根据《危险废物重点单位、重点行业识别要求》和本辖区实际，建立危险废物重点监管单位清单。</w:t>
            </w:r>
          </w:p>
        </w:tc>
        <w:tc>
          <w:tcPr>
            <w:tcW w:w="116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市生态环境局</w:t>
            </w:r>
          </w:p>
        </w:tc>
        <w:tc>
          <w:tcPr>
            <w:tcW w:w="239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市卫健委、市工信局、市应急管理局、市交通运输局、市公安局、市自然资源和规划局、市住建局、市市场监管局、市商务局</w:t>
            </w:r>
          </w:p>
        </w:tc>
        <w:tc>
          <w:tcPr>
            <w:tcW w:w="157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2020年12月31日</w:t>
            </w:r>
          </w:p>
        </w:tc>
      </w:tr>
      <w:tr>
        <w:tblPrEx>
          <w:tblCellMar>
            <w:top w:w="0" w:type="dxa"/>
            <w:left w:w="108" w:type="dxa"/>
            <w:bottom w:w="0" w:type="dxa"/>
            <w:right w:w="108" w:type="dxa"/>
          </w:tblCellMar>
        </w:tblPrEx>
        <w:trPr>
          <w:trHeight w:val="1972"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3</w:t>
            </w:r>
          </w:p>
        </w:tc>
        <w:tc>
          <w:tcPr>
            <w:tcW w:w="7197"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持续开展工业和非工业危险废物专项整治行动。重点整治辖区内工业园区、化工园区、化工和危险化学品单位、非工业产生危险废物单位及危险废物经营单位，检查危险废物产生、贮存、转移、利用、处置情况，严厉打击违规堆存、随意倾倒、私自填埋危险废物等问题，确保危险废物贮存、运输、处置安全。</w:t>
            </w:r>
          </w:p>
        </w:tc>
        <w:tc>
          <w:tcPr>
            <w:tcW w:w="116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市生态环境局</w:t>
            </w:r>
          </w:p>
        </w:tc>
        <w:tc>
          <w:tcPr>
            <w:tcW w:w="239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市卫健委、市工信局、市应急管理局、市交通运输局、市公安局、市自然资源和规划局、市住建局、市市场监管局、市商务局</w:t>
            </w:r>
          </w:p>
        </w:tc>
        <w:tc>
          <w:tcPr>
            <w:tcW w:w="157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2022年12月31日</w:t>
            </w:r>
          </w:p>
        </w:tc>
      </w:tr>
      <w:tr>
        <w:tblPrEx>
          <w:tblCellMar>
            <w:top w:w="0" w:type="dxa"/>
            <w:left w:w="108" w:type="dxa"/>
            <w:bottom w:w="0" w:type="dxa"/>
            <w:right w:w="108" w:type="dxa"/>
          </w:tblCellMar>
        </w:tblPrEx>
        <w:trPr>
          <w:trHeight w:val="1972" w:hRule="atLeast"/>
        </w:trPr>
        <w:tc>
          <w:tcPr>
            <w:tcW w:w="1532" w:type="dxa"/>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4</w:t>
            </w:r>
          </w:p>
        </w:tc>
        <w:tc>
          <w:tcPr>
            <w:tcW w:w="7197"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督促相关单位严格落实危险废物申报登记制度，严厉打击不如实申报危险废物行为或将危险废物隐瞒为原料、中间产品的行为；在依法严肃查处的同时，纳入信用管理，实施联合惩戒，切实落实企业主体责任。</w:t>
            </w:r>
          </w:p>
        </w:tc>
        <w:tc>
          <w:tcPr>
            <w:tcW w:w="116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市生态环境局</w:t>
            </w:r>
          </w:p>
        </w:tc>
        <w:tc>
          <w:tcPr>
            <w:tcW w:w="239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市卫健委、市工信局、市应急管理局、市交通运输局、市公安局、市自然资源和规划局、市住建局、市市场监管局</w:t>
            </w:r>
          </w:p>
        </w:tc>
        <w:tc>
          <w:tcPr>
            <w:tcW w:w="157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2022年12月31日</w:t>
            </w:r>
          </w:p>
        </w:tc>
      </w:tr>
      <w:tr>
        <w:tblPrEx>
          <w:tblCellMar>
            <w:top w:w="0" w:type="dxa"/>
            <w:left w:w="108" w:type="dxa"/>
            <w:bottom w:w="0" w:type="dxa"/>
            <w:right w:w="108" w:type="dxa"/>
          </w:tblCellMar>
        </w:tblPrEx>
        <w:trPr>
          <w:trHeight w:val="1844"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5</w:t>
            </w:r>
          </w:p>
        </w:tc>
        <w:tc>
          <w:tcPr>
            <w:tcW w:w="7197"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建立完善危险废物由产生到处置各环节转移联单制度，督促危险废物产生、运输、接收单位严格落实安全管理规定；利用信息化手段，控制危险废物流向，加强对危险废物的动态监管。</w:t>
            </w:r>
          </w:p>
        </w:tc>
        <w:tc>
          <w:tcPr>
            <w:tcW w:w="1166"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市生态环境局</w:t>
            </w:r>
          </w:p>
        </w:tc>
        <w:tc>
          <w:tcPr>
            <w:tcW w:w="2390"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市卫健委、市工信局、市应急管理局、市交通运输局、市公安局、市自然资源和规划局、市住建局、市市场监管局</w:t>
            </w:r>
          </w:p>
        </w:tc>
        <w:tc>
          <w:tcPr>
            <w:tcW w:w="1579"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2022年12月31日</w:t>
            </w:r>
          </w:p>
        </w:tc>
      </w:tr>
      <w:tr>
        <w:tblPrEx>
          <w:tblCellMar>
            <w:top w:w="0" w:type="dxa"/>
            <w:left w:w="108" w:type="dxa"/>
            <w:bottom w:w="0" w:type="dxa"/>
            <w:right w:w="108" w:type="dxa"/>
          </w:tblCellMar>
        </w:tblPrEx>
        <w:trPr>
          <w:trHeight w:val="1700" w:hRule="atLeast"/>
        </w:trPr>
        <w:tc>
          <w:tcPr>
            <w:tcW w:w="153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6</w:t>
            </w:r>
          </w:p>
        </w:tc>
        <w:tc>
          <w:tcPr>
            <w:tcW w:w="7197" w:type="dxa"/>
            <w:gridSpan w:val="2"/>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建立部门联动、区域协作、重大案件会商督办制度，形成覆盖危险废物产生、收集、贮存、转移、运输、利用、处置等全过程的监管体系。</w:t>
            </w:r>
          </w:p>
        </w:tc>
        <w:tc>
          <w:tcPr>
            <w:tcW w:w="1166"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市生态环境局</w:t>
            </w:r>
          </w:p>
        </w:tc>
        <w:tc>
          <w:tcPr>
            <w:tcW w:w="2390"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市卫健委、市工信局、市应急管理局、市交通运输局、市公安局、市自然资源和规划局、市住建局、市市场监管局</w:t>
            </w:r>
          </w:p>
        </w:tc>
        <w:tc>
          <w:tcPr>
            <w:tcW w:w="1579"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2022年12月31日</w:t>
            </w:r>
          </w:p>
        </w:tc>
      </w:tr>
      <w:tr>
        <w:tblPrEx>
          <w:tblCellMar>
            <w:top w:w="0" w:type="dxa"/>
            <w:left w:w="108" w:type="dxa"/>
            <w:bottom w:w="0" w:type="dxa"/>
            <w:right w:w="108" w:type="dxa"/>
          </w:tblCellMar>
        </w:tblPrEx>
        <w:trPr>
          <w:trHeight w:val="1682" w:hRule="atLeast"/>
        </w:trPr>
        <w:tc>
          <w:tcPr>
            <w:tcW w:w="1626"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7</w:t>
            </w:r>
          </w:p>
        </w:tc>
        <w:tc>
          <w:tcPr>
            <w:tcW w:w="7103"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各地根据危险废物产生、利用处置能力和设施运行情况评估，科学制定并实施危险废物集中处置设施建设规划，推动地方政府将危险废物集中处置设施纳入当地公共基础设施统筹建设，推动建立地域内能力总体匹配的危险废物处置体系。</w:t>
            </w:r>
          </w:p>
        </w:tc>
        <w:tc>
          <w:tcPr>
            <w:tcW w:w="116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市生态环境局</w:t>
            </w:r>
          </w:p>
        </w:tc>
        <w:tc>
          <w:tcPr>
            <w:tcW w:w="239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市卫健委、市工信局、市应急管理局、市交通运输局、市自然资源和规划局、市住建局、市科技局、市水利局</w:t>
            </w:r>
          </w:p>
        </w:tc>
        <w:tc>
          <w:tcPr>
            <w:tcW w:w="157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2022年12月31日</w:t>
            </w:r>
          </w:p>
        </w:tc>
      </w:tr>
      <w:tr>
        <w:tblPrEx>
          <w:tblCellMar>
            <w:top w:w="0" w:type="dxa"/>
            <w:left w:w="108" w:type="dxa"/>
            <w:bottom w:w="0" w:type="dxa"/>
            <w:right w:w="108" w:type="dxa"/>
          </w:tblCellMar>
        </w:tblPrEx>
        <w:trPr>
          <w:trHeight w:val="1972" w:hRule="atLeast"/>
        </w:trPr>
        <w:tc>
          <w:tcPr>
            <w:tcW w:w="162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8</w:t>
            </w:r>
          </w:p>
        </w:tc>
        <w:tc>
          <w:tcPr>
            <w:tcW w:w="7103"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宋体" w:eastAsia="仿宋_GB2312" w:cs="Courier New"/>
                <w:color w:val="000000"/>
                <w:szCs w:val="21"/>
              </w:rPr>
            </w:pPr>
            <w:r>
              <w:rPr>
                <w:rFonts w:hint="eastAsia" w:ascii="仿宋_GB2312" w:hAnsi="宋体" w:eastAsia="仿宋_GB2312" w:cs="Courier New"/>
                <w:color w:val="000000"/>
                <w:szCs w:val="21"/>
              </w:rPr>
              <w:t>推进危险废物利用处置能力结构优化。推行危险废物专业化、规模化利用，建设技术先进的大型危险废物焚烧处置设施，控制可焚烧减量的危险废物直接填埋。促进危险废物源头减量与资源化利用，企业应采取清洁生产等措施，从源头减少危险废物的产生量和危害性，优先实行企业内部资源化利用危险废物。</w:t>
            </w:r>
          </w:p>
        </w:tc>
        <w:tc>
          <w:tcPr>
            <w:tcW w:w="1166"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市生态环境局</w:t>
            </w:r>
          </w:p>
        </w:tc>
        <w:tc>
          <w:tcPr>
            <w:tcW w:w="2390"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市卫健委、市工信局、市应急管理局、市交通运输局、市自然资源和规划局、市住建局、市科技局、市水利局</w:t>
            </w:r>
          </w:p>
        </w:tc>
        <w:tc>
          <w:tcPr>
            <w:tcW w:w="1579"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2022年12月31日</w:t>
            </w:r>
          </w:p>
        </w:tc>
      </w:tr>
      <w:tr>
        <w:tblPrEx>
          <w:tblCellMar>
            <w:top w:w="0" w:type="dxa"/>
            <w:left w:w="108" w:type="dxa"/>
            <w:bottom w:w="0" w:type="dxa"/>
            <w:right w:w="108" w:type="dxa"/>
          </w:tblCellMar>
        </w:tblPrEx>
        <w:trPr>
          <w:trHeight w:val="1418" w:hRule="atLeast"/>
        </w:trPr>
        <w:tc>
          <w:tcPr>
            <w:tcW w:w="162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9</w:t>
            </w:r>
          </w:p>
        </w:tc>
        <w:tc>
          <w:tcPr>
            <w:tcW w:w="7103"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宋体" w:eastAsia="仿宋_GB2312" w:cs="Courier New"/>
                <w:color w:val="000000"/>
                <w:szCs w:val="21"/>
              </w:rPr>
            </w:pPr>
            <w:r>
              <w:rPr>
                <w:rFonts w:hint="eastAsia" w:ascii="仿宋_GB2312" w:hAnsi="宋体" w:eastAsia="仿宋_GB2312" w:cs="Courier New"/>
                <w:color w:val="000000"/>
                <w:szCs w:val="21"/>
              </w:rPr>
              <w:t>推动医疗废物处置设施建设。加强与卫生健康部门配合，制定医疗废物集中处置设施建设规划，并建立医疗废物协同应急处置机制，保障突发疫情、处置设施检修等期间医疗废物应急处置能力。</w:t>
            </w:r>
          </w:p>
        </w:tc>
        <w:tc>
          <w:tcPr>
            <w:tcW w:w="116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市生态环境局</w:t>
            </w:r>
          </w:p>
        </w:tc>
        <w:tc>
          <w:tcPr>
            <w:tcW w:w="239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市卫健委、市工信局、市应急管理局、市交通运输局、市自然资源和规划局、市住建局、市科技局、市水利局</w:t>
            </w:r>
          </w:p>
        </w:tc>
        <w:tc>
          <w:tcPr>
            <w:tcW w:w="157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2022年12月31日</w:t>
            </w:r>
          </w:p>
        </w:tc>
      </w:tr>
      <w:tr>
        <w:tblPrEx>
          <w:tblCellMar>
            <w:top w:w="0" w:type="dxa"/>
            <w:left w:w="108" w:type="dxa"/>
            <w:bottom w:w="0" w:type="dxa"/>
            <w:right w:w="108" w:type="dxa"/>
          </w:tblCellMar>
        </w:tblPrEx>
        <w:trPr>
          <w:trHeight w:val="1854" w:hRule="atLeast"/>
        </w:trPr>
        <w:tc>
          <w:tcPr>
            <w:tcW w:w="162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10</w:t>
            </w:r>
          </w:p>
        </w:tc>
        <w:tc>
          <w:tcPr>
            <w:tcW w:w="7103"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宋体" w:eastAsia="仿宋_GB2312" w:cs="Courier New"/>
                <w:color w:val="000000"/>
                <w:szCs w:val="21"/>
              </w:rPr>
            </w:pPr>
            <w:r>
              <w:rPr>
                <w:rFonts w:hint="eastAsia" w:ascii="仿宋_GB2312" w:hAnsi="宋体" w:eastAsia="仿宋_GB2312" w:cs="Courier New"/>
                <w:color w:val="000000"/>
                <w:szCs w:val="21"/>
              </w:rPr>
              <w:t>规范水泥窑及工业炉窑协同处置。适度发展水泥窑协同处置危险废物项目，将其作为危险废物利用处置能力的有益补充。消除处置能力瓶颈，严防因处置不及时造成的安全风险。</w:t>
            </w:r>
          </w:p>
        </w:tc>
        <w:tc>
          <w:tcPr>
            <w:tcW w:w="1166"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市生态环境局</w:t>
            </w:r>
          </w:p>
        </w:tc>
        <w:tc>
          <w:tcPr>
            <w:tcW w:w="2390"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市卫健委、市工信局、市应急管理局、市交通运输局、市自然资源和规划局、市住建局、市科技局、市水利局</w:t>
            </w:r>
          </w:p>
        </w:tc>
        <w:tc>
          <w:tcPr>
            <w:tcW w:w="1579"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2022年12月31日</w:t>
            </w:r>
          </w:p>
        </w:tc>
      </w:tr>
      <w:tr>
        <w:tblPrEx>
          <w:tblCellMar>
            <w:top w:w="0" w:type="dxa"/>
            <w:left w:w="108" w:type="dxa"/>
            <w:bottom w:w="0" w:type="dxa"/>
            <w:right w:w="108" w:type="dxa"/>
          </w:tblCellMar>
        </w:tblPrEx>
        <w:trPr>
          <w:trHeight w:val="1540" w:hRule="atLeast"/>
        </w:trPr>
        <w:tc>
          <w:tcPr>
            <w:tcW w:w="1626"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11</w:t>
            </w:r>
          </w:p>
        </w:tc>
        <w:tc>
          <w:tcPr>
            <w:tcW w:w="7103" w:type="dxa"/>
            <w:tcBorders>
              <w:top w:val="nil"/>
              <w:left w:val="nil"/>
              <w:bottom w:val="single" w:color="auto" w:sz="4" w:space="0"/>
              <w:right w:val="single" w:color="auto" w:sz="4" w:space="0"/>
            </w:tcBorders>
            <w:noWrap w:val="0"/>
            <w:vAlign w:val="center"/>
          </w:tcPr>
          <w:p>
            <w:pPr>
              <w:spacing w:line="280" w:lineRule="exact"/>
              <w:rPr>
                <w:rFonts w:hint="eastAsia" w:ascii="仿宋_GB2312" w:hAnsi="宋体" w:eastAsia="仿宋_GB2312" w:cs="Courier New"/>
                <w:color w:val="000000"/>
                <w:szCs w:val="21"/>
              </w:rPr>
            </w:pPr>
            <w:r>
              <w:rPr>
                <w:rFonts w:hint="eastAsia" w:ascii="仿宋_GB2312" w:hAnsi="宋体" w:eastAsia="仿宋_GB2312" w:cs="Courier New"/>
                <w:color w:val="000000"/>
                <w:szCs w:val="21"/>
              </w:rPr>
              <w:t>整治城市生活垃圾处理场安全隐患，建立城市建筑垃圾消纳场常态监测机制，对垃圾堆体稳定性、可能存在的风险和应急预案可靠性等进行评估，取缔非法渣土场。</w:t>
            </w:r>
          </w:p>
        </w:tc>
        <w:tc>
          <w:tcPr>
            <w:tcW w:w="1166"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市城管执法局</w:t>
            </w:r>
          </w:p>
        </w:tc>
        <w:tc>
          <w:tcPr>
            <w:tcW w:w="2390"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市住建局，市生态环境局、市工信局、市发展改革委、市自然资源和规划局、市水利局</w:t>
            </w:r>
          </w:p>
        </w:tc>
        <w:tc>
          <w:tcPr>
            <w:tcW w:w="1579"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2022年12月31日</w:t>
            </w:r>
          </w:p>
        </w:tc>
      </w:tr>
      <w:tr>
        <w:tblPrEx>
          <w:tblCellMar>
            <w:top w:w="0" w:type="dxa"/>
            <w:left w:w="108" w:type="dxa"/>
            <w:bottom w:w="0" w:type="dxa"/>
            <w:right w:w="108" w:type="dxa"/>
          </w:tblCellMar>
        </w:tblPrEx>
        <w:trPr>
          <w:trHeight w:val="1972" w:hRule="atLeast"/>
        </w:trPr>
        <w:tc>
          <w:tcPr>
            <w:tcW w:w="162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12</w:t>
            </w:r>
          </w:p>
        </w:tc>
        <w:tc>
          <w:tcPr>
            <w:tcW w:w="7103"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宋体" w:eastAsia="仿宋_GB2312" w:cs="Courier New"/>
                <w:color w:val="000000"/>
                <w:szCs w:val="21"/>
              </w:rPr>
            </w:pPr>
            <w:r>
              <w:rPr>
                <w:rFonts w:hint="eastAsia" w:ascii="仿宋_GB2312" w:hAnsi="宋体" w:eastAsia="仿宋_GB2312" w:cs="Courier New"/>
                <w:color w:val="000000"/>
                <w:szCs w:val="21"/>
              </w:rPr>
              <w:t>指导地方有关部门对轻工、纺织行业企业污水罐等环保设施开展安全隐患排查，摸清污水处理等环保设施安全现状，重点排查污水罐等环保设施的规划、选址、设计、建造、使用、报废等各环节存在的重大安全隐患，评估污水罐坍塌等安全风险及影响范围。</w:t>
            </w:r>
          </w:p>
        </w:tc>
        <w:tc>
          <w:tcPr>
            <w:tcW w:w="116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市生态环境局</w:t>
            </w:r>
          </w:p>
        </w:tc>
        <w:tc>
          <w:tcPr>
            <w:tcW w:w="239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市工信局、市发展改革委、市自然资源和规划局、市住建局、市应急管理局</w:t>
            </w:r>
          </w:p>
        </w:tc>
        <w:tc>
          <w:tcPr>
            <w:tcW w:w="157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2020年12月31日</w:t>
            </w:r>
          </w:p>
        </w:tc>
      </w:tr>
      <w:tr>
        <w:tblPrEx>
          <w:tblCellMar>
            <w:top w:w="0" w:type="dxa"/>
            <w:left w:w="108" w:type="dxa"/>
            <w:bottom w:w="0" w:type="dxa"/>
            <w:right w:w="108" w:type="dxa"/>
          </w:tblCellMar>
        </w:tblPrEx>
        <w:trPr>
          <w:trHeight w:val="1135" w:hRule="atLeast"/>
        </w:trPr>
        <w:tc>
          <w:tcPr>
            <w:tcW w:w="1626" w:type="dxa"/>
            <w:gridSpan w:val="2"/>
            <w:tcBorders>
              <w:top w:val="nil"/>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13</w:t>
            </w:r>
          </w:p>
        </w:tc>
        <w:tc>
          <w:tcPr>
            <w:tcW w:w="7103" w:type="dxa"/>
            <w:tcBorders>
              <w:top w:val="nil"/>
              <w:left w:val="nil"/>
              <w:bottom w:val="single" w:color="auto" w:sz="4" w:space="0"/>
              <w:right w:val="single" w:color="auto" w:sz="4" w:space="0"/>
            </w:tcBorders>
            <w:noWrap w:val="0"/>
            <w:vAlign w:val="center"/>
          </w:tcPr>
          <w:p>
            <w:pPr>
              <w:spacing w:line="280" w:lineRule="exact"/>
              <w:rPr>
                <w:rFonts w:hint="eastAsia" w:ascii="仿宋_GB2312" w:hAnsi="宋体" w:eastAsia="仿宋_GB2312" w:cs="Courier New"/>
                <w:color w:val="000000"/>
                <w:szCs w:val="21"/>
              </w:rPr>
            </w:pPr>
            <w:r>
              <w:rPr>
                <w:rFonts w:hint="eastAsia" w:ascii="仿宋_GB2312" w:hAnsi="宋体" w:eastAsia="仿宋_GB2312" w:cs="Courier New"/>
                <w:color w:val="000000"/>
                <w:szCs w:val="21"/>
              </w:rPr>
              <w:t>按照部门分工要求，分解细化工作任务，加强统筹协调，落实尾矿库隐患排查治理工作，确保尾矿库安全。</w:t>
            </w:r>
          </w:p>
        </w:tc>
        <w:tc>
          <w:tcPr>
            <w:tcW w:w="1166"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市应急管理局</w:t>
            </w:r>
          </w:p>
        </w:tc>
        <w:tc>
          <w:tcPr>
            <w:tcW w:w="2390"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市生态环境局、市工信局、市发展改革委、市自然资源和规划局、市住建局</w:t>
            </w:r>
          </w:p>
        </w:tc>
        <w:tc>
          <w:tcPr>
            <w:tcW w:w="1579"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2020年12月31日</w:t>
            </w:r>
          </w:p>
        </w:tc>
      </w:tr>
      <w:tr>
        <w:tblPrEx>
          <w:tblCellMar>
            <w:top w:w="0" w:type="dxa"/>
            <w:left w:w="108" w:type="dxa"/>
            <w:bottom w:w="0" w:type="dxa"/>
            <w:right w:w="108" w:type="dxa"/>
          </w:tblCellMar>
        </w:tblPrEx>
        <w:trPr>
          <w:trHeight w:val="1548" w:hRule="atLeast"/>
        </w:trPr>
        <w:tc>
          <w:tcPr>
            <w:tcW w:w="1626"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14</w:t>
            </w:r>
          </w:p>
        </w:tc>
        <w:tc>
          <w:tcPr>
            <w:tcW w:w="7103"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宋体" w:eastAsia="仿宋_GB2312" w:cs="Courier New"/>
                <w:color w:val="000000"/>
                <w:szCs w:val="21"/>
              </w:rPr>
            </w:pPr>
            <w:r>
              <w:rPr>
                <w:rFonts w:hint="eastAsia" w:ascii="仿宋_GB2312" w:hAnsi="宋体" w:eastAsia="仿宋_GB2312" w:cs="Courier New"/>
                <w:color w:val="000000"/>
                <w:szCs w:val="21"/>
              </w:rPr>
              <w:t>组织开展企业重点环保设施和项目的全面摸排，建立台账；督促企业自行或委托第三方开展安全评估，根据评估结果，形成问题清单，制定防范措施并组织实施；组织开展对评估和治理结果的监督检查，对不落实相关评估要求和防范措施的，严肃依法查处。</w:t>
            </w:r>
          </w:p>
        </w:tc>
        <w:tc>
          <w:tcPr>
            <w:tcW w:w="116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市应急管理局</w:t>
            </w:r>
          </w:p>
        </w:tc>
        <w:tc>
          <w:tcPr>
            <w:tcW w:w="239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市生态环境局、市工信局、市自然资源和规划局、市住建局</w:t>
            </w:r>
          </w:p>
        </w:tc>
        <w:tc>
          <w:tcPr>
            <w:tcW w:w="157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2022年12月31日</w:t>
            </w:r>
          </w:p>
        </w:tc>
      </w:tr>
      <w:tr>
        <w:tblPrEx>
          <w:tblCellMar>
            <w:top w:w="0" w:type="dxa"/>
            <w:left w:w="108" w:type="dxa"/>
            <w:bottom w:w="0" w:type="dxa"/>
            <w:right w:w="108" w:type="dxa"/>
          </w:tblCellMar>
        </w:tblPrEx>
        <w:trPr>
          <w:trHeight w:val="1965" w:hRule="atLeast"/>
        </w:trPr>
        <w:tc>
          <w:tcPr>
            <w:tcW w:w="1626" w:type="dxa"/>
            <w:gridSpan w:val="2"/>
            <w:tcBorders>
              <w:top w:val="nil"/>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15</w:t>
            </w:r>
          </w:p>
        </w:tc>
        <w:tc>
          <w:tcPr>
            <w:tcW w:w="7103" w:type="dxa"/>
            <w:tcBorders>
              <w:top w:val="nil"/>
              <w:left w:val="nil"/>
              <w:bottom w:val="single" w:color="auto" w:sz="4" w:space="0"/>
              <w:right w:val="single" w:color="auto" w:sz="4" w:space="0"/>
            </w:tcBorders>
            <w:noWrap w:val="0"/>
            <w:vAlign w:val="center"/>
          </w:tcPr>
          <w:p>
            <w:pPr>
              <w:spacing w:line="280" w:lineRule="exact"/>
              <w:rPr>
                <w:rFonts w:hint="eastAsia" w:ascii="仿宋_GB2312" w:hAnsi="宋体" w:eastAsia="仿宋_GB2312" w:cs="Courier New"/>
                <w:color w:val="000000"/>
                <w:szCs w:val="21"/>
              </w:rPr>
            </w:pPr>
            <w:r>
              <w:rPr>
                <w:rFonts w:hint="eastAsia" w:ascii="仿宋_GB2312" w:hAnsi="宋体" w:eastAsia="仿宋_GB2312" w:cs="Courier New"/>
                <w:color w:val="000000"/>
                <w:szCs w:val="21"/>
              </w:rPr>
              <w:t>根据燃气发展规划，结合散煤治理等工作开展情况，科学确定煤改气工程燃气管道走向、敷设方式和燃气设备设施的布局，加强施工安全管理，进一步明确相关主管部门、属地政府、燃气供应企业、燃气施工企业、用户的安全管理职责，加大入户检查指导的频次。</w:t>
            </w:r>
          </w:p>
        </w:tc>
        <w:tc>
          <w:tcPr>
            <w:tcW w:w="1166"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市住建局</w:t>
            </w:r>
          </w:p>
        </w:tc>
        <w:tc>
          <w:tcPr>
            <w:tcW w:w="2390"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市发展改革委、市工信局、市自然资源和规划局</w:t>
            </w:r>
          </w:p>
        </w:tc>
        <w:tc>
          <w:tcPr>
            <w:tcW w:w="1579"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2022年12月31日</w:t>
            </w:r>
          </w:p>
        </w:tc>
      </w:tr>
      <w:tr>
        <w:tblPrEx>
          <w:tblCellMar>
            <w:top w:w="0" w:type="dxa"/>
            <w:left w:w="108" w:type="dxa"/>
            <w:bottom w:w="0" w:type="dxa"/>
            <w:right w:w="108" w:type="dxa"/>
          </w:tblCellMar>
        </w:tblPrEx>
        <w:trPr>
          <w:trHeight w:val="1689" w:hRule="atLeast"/>
        </w:trPr>
        <w:tc>
          <w:tcPr>
            <w:tcW w:w="162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16</w:t>
            </w:r>
          </w:p>
        </w:tc>
        <w:tc>
          <w:tcPr>
            <w:tcW w:w="7103"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宋体" w:eastAsia="仿宋_GB2312" w:cs="Courier New"/>
                <w:color w:val="000000"/>
                <w:szCs w:val="21"/>
              </w:rPr>
            </w:pPr>
            <w:r>
              <w:rPr>
                <w:rFonts w:hint="eastAsia" w:ascii="仿宋_GB2312" w:hAnsi="宋体" w:eastAsia="仿宋_GB2312" w:cs="Courier New"/>
                <w:color w:val="000000"/>
                <w:szCs w:val="21"/>
              </w:rPr>
              <w:t>构建洁净型煤推广使用过程的安全风险防控机制，指导地方有关部门进村入户排查洁净型煤炉具密封不严、积灰堵塞、排气不畅、私自加盖密封盖等问题隐患，积极推广使用一氧化碳浓度报警等安全装置。加大安全宣传教育培训力度，切实提高安全意识，严防中毒等事故发生。</w:t>
            </w:r>
          </w:p>
        </w:tc>
        <w:tc>
          <w:tcPr>
            <w:tcW w:w="1166"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市住建局</w:t>
            </w:r>
          </w:p>
        </w:tc>
        <w:tc>
          <w:tcPr>
            <w:tcW w:w="2390"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市发展改革委、市工信局、市自然资源和规划局</w:t>
            </w:r>
          </w:p>
        </w:tc>
        <w:tc>
          <w:tcPr>
            <w:tcW w:w="1579"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2022年12月31日</w:t>
            </w:r>
          </w:p>
        </w:tc>
      </w:tr>
      <w:tr>
        <w:tblPrEx>
          <w:tblCellMar>
            <w:top w:w="0" w:type="dxa"/>
            <w:left w:w="108" w:type="dxa"/>
            <w:bottom w:w="0" w:type="dxa"/>
            <w:right w:w="108" w:type="dxa"/>
          </w:tblCellMar>
        </w:tblPrEx>
        <w:trPr>
          <w:trHeight w:val="2539" w:hRule="atLeast"/>
        </w:trPr>
        <w:tc>
          <w:tcPr>
            <w:tcW w:w="1626" w:type="dxa"/>
            <w:gridSpan w:val="2"/>
            <w:tcBorders>
              <w:top w:val="single" w:color="auto" w:sz="4" w:space="0"/>
              <w:left w:val="single" w:color="auto" w:sz="4" w:space="0"/>
              <w:bottom w:val="single" w:color="auto" w:sz="4" w:space="0"/>
              <w:right w:val="single" w:color="auto" w:sz="4" w:space="0"/>
            </w:tcBorders>
            <w:noWrap/>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17</w:t>
            </w:r>
          </w:p>
        </w:tc>
        <w:tc>
          <w:tcPr>
            <w:tcW w:w="7103"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加强粉尘涉爆企业除尘环保项目源头把关，严格安全评估和审核验收，确保粉尘收集、输送、贮存等环节的环保设施设备符合粉尘防爆安全标准要求。进一步排查涉爆粉尘企业底数和安全状况，督促企业强化安全风险管控和隐患排查治理，以粉尘作业场所10人及以上企业为重点，聚焦除尘系统防爆、防范点燃源措施、粉尘清理处置等重点环节，继续分级分类组织开展粉尘危害专项治理，严厉打击违法违规行为，杜绝粉尘爆炸较大及以上生产安全事故发生。</w:t>
            </w:r>
          </w:p>
        </w:tc>
        <w:tc>
          <w:tcPr>
            <w:tcW w:w="1166"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市应急管理局</w:t>
            </w:r>
          </w:p>
        </w:tc>
        <w:tc>
          <w:tcPr>
            <w:tcW w:w="2390"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市卫健委、市生态环境局、市工信局、市住建局、市市场监管局、市农业农村局</w:t>
            </w:r>
          </w:p>
        </w:tc>
        <w:tc>
          <w:tcPr>
            <w:tcW w:w="1579" w:type="dxa"/>
            <w:tcBorders>
              <w:top w:val="single" w:color="auto" w:sz="4" w:space="0"/>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2022年12月31日</w:t>
            </w:r>
          </w:p>
        </w:tc>
      </w:tr>
      <w:tr>
        <w:tblPrEx>
          <w:tblCellMar>
            <w:top w:w="0" w:type="dxa"/>
            <w:left w:w="108" w:type="dxa"/>
            <w:bottom w:w="0" w:type="dxa"/>
            <w:right w:w="108" w:type="dxa"/>
          </w:tblCellMar>
        </w:tblPrEx>
        <w:trPr>
          <w:trHeight w:val="1727" w:hRule="atLeast"/>
        </w:trPr>
        <w:tc>
          <w:tcPr>
            <w:tcW w:w="162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18</w:t>
            </w:r>
          </w:p>
        </w:tc>
        <w:tc>
          <w:tcPr>
            <w:tcW w:w="7103" w:type="dxa"/>
            <w:tcBorders>
              <w:top w:val="single" w:color="auto" w:sz="4" w:space="0"/>
              <w:left w:val="nil"/>
              <w:bottom w:val="single" w:color="auto" w:sz="4" w:space="0"/>
              <w:right w:val="single" w:color="auto" w:sz="4" w:space="0"/>
            </w:tcBorders>
            <w:noWrap w:val="0"/>
            <w:vAlign w:val="center"/>
          </w:tcPr>
          <w:p>
            <w:pPr>
              <w:spacing w:line="280" w:lineRule="exact"/>
              <w:rPr>
                <w:rFonts w:hint="eastAsia" w:ascii="仿宋_GB2312" w:hAnsi="宋体" w:eastAsia="仿宋_GB2312" w:cs="Courier New"/>
                <w:color w:val="000000"/>
                <w:szCs w:val="21"/>
              </w:rPr>
            </w:pPr>
            <w:r>
              <w:rPr>
                <w:rFonts w:hint="eastAsia" w:ascii="仿宋_GB2312" w:hAnsi="宋体" w:eastAsia="仿宋_GB2312" w:cs="Courier New"/>
                <w:color w:val="000000"/>
                <w:szCs w:val="21"/>
              </w:rPr>
              <w:t>按照“摸清底数、突出重点、淘汰落后、综合治理”的原则，深入开展尘肺病易发高发行业领域的粉尘危害专项治理工作，督促用人单位落实粉尘防控主体责任，确保实现治理目标。</w:t>
            </w:r>
          </w:p>
        </w:tc>
        <w:tc>
          <w:tcPr>
            <w:tcW w:w="1166"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市卫健委</w:t>
            </w:r>
          </w:p>
        </w:tc>
        <w:tc>
          <w:tcPr>
            <w:tcW w:w="2390"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市应急管理局、市工信局、市住建局、市市场监管局、市农业农村局</w:t>
            </w:r>
          </w:p>
        </w:tc>
        <w:tc>
          <w:tcPr>
            <w:tcW w:w="1579" w:type="dxa"/>
            <w:tcBorders>
              <w:top w:val="nil"/>
              <w:left w:val="nil"/>
              <w:bottom w:val="single" w:color="auto" w:sz="4" w:space="0"/>
              <w:right w:val="single" w:color="auto" w:sz="4" w:space="0"/>
            </w:tcBorders>
            <w:noWrap w:val="0"/>
            <w:vAlign w:val="center"/>
          </w:tcPr>
          <w:p>
            <w:pPr>
              <w:spacing w:line="280" w:lineRule="exact"/>
              <w:jc w:val="center"/>
              <w:rPr>
                <w:rFonts w:hint="eastAsia" w:ascii="仿宋_GB2312" w:hAnsi="宋体" w:eastAsia="仿宋_GB2312" w:cs="Courier New"/>
                <w:color w:val="000000"/>
                <w:szCs w:val="21"/>
              </w:rPr>
            </w:pPr>
            <w:r>
              <w:rPr>
                <w:rFonts w:hint="eastAsia" w:ascii="仿宋_GB2312" w:hAnsi="宋体" w:eastAsia="仿宋_GB2312" w:cs="Courier New"/>
                <w:color w:val="000000"/>
                <w:szCs w:val="21"/>
              </w:rPr>
              <w:t>2022年12月31日</w:t>
            </w:r>
          </w:p>
        </w:tc>
      </w:tr>
    </w:tbl>
    <w:p>
      <w:pPr>
        <w:spacing w:line="280" w:lineRule="exact"/>
        <w:rPr>
          <w:rFonts w:hint="eastAsia" w:ascii="仿宋_GB2312" w:eastAsia="仿宋_GB2312"/>
          <w:color w:val="000000"/>
          <w:szCs w:val="21"/>
        </w:rPr>
      </w:pPr>
      <w:r>
        <w:rPr>
          <w:rFonts w:hint="eastAsia" w:ascii="仿宋_GB2312" w:eastAsia="仿宋_GB2312"/>
          <w:color w:val="000000"/>
          <w:szCs w:val="21"/>
        </w:rPr>
        <w:t xml:space="preserve">     </w:t>
      </w:r>
    </w:p>
    <w:p>
      <w:pPr>
        <w:tabs>
          <w:tab w:val="left" w:pos="7513"/>
        </w:tabs>
        <w:adjustRightInd w:val="0"/>
        <w:snapToGrid w:val="0"/>
        <w:spacing w:line="600" w:lineRule="exact"/>
        <w:jc w:val="center"/>
        <w:rPr>
          <w:rFonts w:hint="eastAsia" w:ascii="仿宋_GB2312" w:eastAsia="仿宋_GB2312"/>
          <w:color w:val="000000"/>
          <w:szCs w:val="21"/>
        </w:rPr>
      </w:pPr>
    </w:p>
    <w:p>
      <w:pPr>
        <w:tabs>
          <w:tab w:val="left" w:pos="7513"/>
        </w:tabs>
        <w:adjustRightInd w:val="0"/>
        <w:snapToGrid w:val="0"/>
        <w:spacing w:line="600" w:lineRule="exact"/>
        <w:jc w:val="center"/>
        <w:rPr>
          <w:rFonts w:hint="eastAsia" w:ascii="仿宋_GB2312" w:eastAsia="仿宋_GB2312"/>
          <w:color w:val="000000"/>
          <w:szCs w:val="21"/>
        </w:rPr>
      </w:pPr>
    </w:p>
    <w:p>
      <w:pPr>
        <w:tabs>
          <w:tab w:val="left" w:pos="7513"/>
        </w:tabs>
        <w:adjustRightInd w:val="0"/>
        <w:snapToGrid w:val="0"/>
        <w:spacing w:line="600" w:lineRule="exact"/>
        <w:jc w:val="center"/>
        <w:rPr>
          <w:rFonts w:hint="eastAsia" w:ascii="仿宋_GB2312" w:eastAsia="仿宋_GB2312"/>
          <w:color w:val="000000"/>
          <w:szCs w:val="21"/>
        </w:rPr>
      </w:pPr>
    </w:p>
    <w:p>
      <w:pPr>
        <w:tabs>
          <w:tab w:val="left" w:pos="7513"/>
        </w:tabs>
        <w:adjustRightInd w:val="0"/>
        <w:snapToGrid w:val="0"/>
        <w:spacing w:line="600" w:lineRule="exact"/>
        <w:jc w:val="center"/>
        <w:rPr>
          <w:rFonts w:ascii="仿宋_GB2312" w:eastAsia="仿宋_GB2312"/>
          <w:color w:val="000000"/>
          <w:sz w:val="32"/>
          <w:szCs w:val="32"/>
        </w:rPr>
      </w:pPr>
    </w:p>
    <w:p>
      <w:pPr>
        <w:tabs>
          <w:tab w:val="left" w:pos="7513"/>
        </w:tabs>
        <w:adjustRightInd w:val="0"/>
        <w:snapToGrid w:val="0"/>
        <w:spacing w:line="600" w:lineRule="exact"/>
        <w:jc w:val="center"/>
        <w:rPr>
          <w:rFonts w:ascii="仿宋_GB2312" w:eastAsia="仿宋_GB2312"/>
          <w:color w:val="000000"/>
          <w:sz w:val="32"/>
          <w:szCs w:val="32"/>
        </w:rPr>
      </w:pPr>
    </w:p>
    <w:p>
      <w:pPr>
        <w:tabs>
          <w:tab w:val="left" w:pos="7513"/>
        </w:tabs>
        <w:adjustRightInd w:val="0"/>
        <w:snapToGrid w:val="0"/>
        <w:spacing w:line="600" w:lineRule="exact"/>
        <w:jc w:val="center"/>
        <w:rPr>
          <w:rFonts w:ascii="仿宋_GB2312" w:eastAsia="仿宋_GB2312"/>
          <w:color w:val="000000"/>
          <w:sz w:val="32"/>
          <w:szCs w:val="32"/>
        </w:rPr>
      </w:pPr>
    </w:p>
    <w:p>
      <w:pPr>
        <w:rPr>
          <w:color w:val="000000"/>
          <w:sz w:val="32"/>
        </w:rPr>
      </w:pPr>
    </w:p>
    <w:p/>
    <w:sectPr>
      <w:footerReference r:id="rId3" w:type="first"/>
      <w:pgSz w:w="16838" w:h="11906" w:orient="landscape"/>
      <w:pgMar w:top="1588" w:right="2098" w:bottom="1474" w:left="1985" w:header="851"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02B26A6-8383-4A02-8B64-6481D9BE5300}"/>
  </w:font>
  <w:font w:name="Courier New">
    <w:panose1 w:val="02070309020205020404"/>
    <w:charset w:val="01"/>
    <w:family w:val="modern"/>
    <w:pitch w:val="default"/>
    <w:sig w:usb0="E0002AFF" w:usb1="C0007843" w:usb2="00000009" w:usb3="00000000" w:csb0="400001FF" w:csb1="FFFF0000"/>
    <w:embedRegular r:id="rId2" w:fontKey="{880BEAB2-349F-431D-9447-4E722772FAF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D8E86F7C-1651-4B33-A60C-67D9242E2E8E}"/>
  </w:font>
  <w:font w:name="方正小标宋简体">
    <w:altName w:val="仿宋_GB2312"/>
    <w:panose1 w:val="02010601030101010101"/>
    <w:charset w:val="86"/>
    <w:family w:val="script"/>
    <w:pitch w:val="default"/>
    <w:sig w:usb0="00000000" w:usb1="00000000" w:usb2="00000000" w:usb3="00000000" w:csb0="00040000" w:csb1="00000000"/>
    <w:embedRegular r:id="rId4" w:fontKey="{9A9890C0-900D-4304-A61C-D4A558E9D652}"/>
  </w:font>
  <w:font w:name="仿宋_GB2312">
    <w:panose1 w:val="02010609030101010101"/>
    <w:charset w:val="86"/>
    <w:family w:val="auto"/>
    <w:pitch w:val="default"/>
    <w:sig w:usb0="00000001" w:usb1="080E0000" w:usb2="00000000" w:usb3="00000000" w:csb0="00040000" w:csb1="00000000"/>
    <w:embedRegular r:id="rId5" w:fontKey="{BCB69366-1331-40F6-9AA8-CCE74E4535C5}"/>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6" w:fontKey="{E8BC76EA-68AF-4B37-BC54-CBAB70A7DE72}"/>
  </w:font>
  <w:font w:name="方正小标宋_GBK">
    <w:panose1 w:val="02000000000000000000"/>
    <w:charset w:val="86"/>
    <w:family w:val="script"/>
    <w:pitch w:val="default"/>
    <w:sig w:usb0="A00002BF" w:usb1="38CF7CFA" w:usb2="00082016" w:usb3="00000000" w:csb0="00040001" w:csb1="00000000"/>
    <w:embedRegular r:id="rId7" w:fontKey="{EFCC5801-64AE-4B21-A9D0-FEE8261A28AA}"/>
  </w:font>
  <w:font w:name="华文仿宋">
    <w:altName w:val="仿宋"/>
    <w:panose1 w:val="02010600040101010101"/>
    <w:charset w:val="86"/>
    <w:family w:val="auto"/>
    <w:pitch w:val="default"/>
    <w:sig w:usb0="00000000" w:usb1="00000000" w:usb2="00000000" w:usb3="00000000" w:csb0="0004009F" w:csb1="DFD70000"/>
    <w:embedRegular r:id="rId8" w:fontKey="{927A803F-A85A-4D8F-9BDA-660DA53E0F4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219 -</w:t>
    </w:r>
    <w:r>
      <w:rPr>
        <w:rFonts w:ascii="宋体" w:hAnsi="宋体"/>
        <w:sz w:val="28"/>
        <w:szCs w:val="28"/>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B8BD35"/>
    <w:multiLevelType w:val="singleLevel"/>
    <w:tmpl w:val="C7B8BD3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iODFhNjY5MGEwODk0YWNmMjVjZmU2YWFmNTYyYjMifQ=="/>
  </w:docVars>
  <w:rsids>
    <w:rsidRoot w:val="1C231ED9"/>
    <w:rsid w:val="1C231ED9"/>
    <w:rsid w:val="61482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customStyle="1" w:styleId="6">
    <w:name w:val="15"/>
    <w:basedOn w:val="5"/>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33797</Words>
  <Characters>35070</Characters>
  <Lines>0</Lines>
  <Paragraphs>0</Paragraphs>
  <TotalTime>0</TotalTime>
  <ScaleCrop>false</ScaleCrop>
  <LinksUpToDate>false</LinksUpToDate>
  <CharactersWithSpaces>35091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2020-08-14T02:01:00Z</dcterms:created>
  <dc:creator>大个子</dc:creator>
  <cp:lastModifiedBy>张展铧</cp:lastModifiedBy>
  <dcterms:modified xsi:type="dcterms:W3CDTF">2022-06-08T00:08:44Z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8D768D2541E040C99BCFBAE9C3FBEA76</vt:lpwstr>
  </property>
</Properties>
</file>